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E2C6A5" w14:textId="77777777" w:rsidR="000E14DD" w:rsidRPr="002E26D2" w:rsidRDefault="000E14DD" w:rsidP="000E14DD">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6A62E1" wp14:editId="5560395D">
            <wp:extent cx="2340000" cy="1499923"/>
            <wp:effectExtent l="0" t="0" r="317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0000" cy="1499923"/>
                    </a:xfrm>
                    <a:prstGeom prst="rect">
                      <a:avLst/>
                    </a:prstGeom>
                    <a:noFill/>
                  </pic:spPr>
                </pic:pic>
              </a:graphicData>
            </a:graphic>
          </wp:inline>
        </w:drawing>
      </w:r>
    </w:p>
    <w:p w14:paraId="73EB4B14" w14:textId="77777777" w:rsidR="000E14DD" w:rsidRPr="00517DFF" w:rsidRDefault="000E14DD" w:rsidP="000E14DD">
      <w:pPr>
        <w:spacing w:after="0" w:line="360" w:lineRule="auto"/>
        <w:jc w:val="center"/>
        <w:rPr>
          <w:rFonts w:ascii="Arial" w:hAnsi="Arial" w:cs="Arial"/>
          <w:sz w:val="32"/>
          <w:szCs w:val="32"/>
        </w:rPr>
      </w:pPr>
      <w:r w:rsidRPr="00517DFF">
        <w:rPr>
          <w:rFonts w:ascii="Arial" w:hAnsi="Arial" w:cs="Arial"/>
          <w:sz w:val="32"/>
          <w:szCs w:val="32"/>
        </w:rPr>
        <w:t>FACULTY OF SCIENCE</w:t>
      </w:r>
    </w:p>
    <w:p w14:paraId="24AC45BE" w14:textId="77777777" w:rsidR="000E14DD" w:rsidRPr="00517DFF" w:rsidRDefault="000E14DD" w:rsidP="000E14DD">
      <w:pPr>
        <w:spacing w:line="360" w:lineRule="auto"/>
        <w:jc w:val="center"/>
        <w:rPr>
          <w:rFonts w:ascii="Arial" w:hAnsi="Arial" w:cs="Arial"/>
          <w:sz w:val="32"/>
          <w:szCs w:val="32"/>
        </w:rPr>
      </w:pPr>
      <w:r w:rsidRPr="00517DFF">
        <w:rPr>
          <w:rFonts w:ascii="Arial" w:hAnsi="Arial" w:cs="Arial"/>
          <w:sz w:val="32"/>
          <w:szCs w:val="32"/>
        </w:rPr>
        <w:t>DEPARTMENT OF BIOLOGY</w:t>
      </w:r>
    </w:p>
    <w:p w14:paraId="7FFC3DCC" w14:textId="77777777" w:rsidR="000E14DD" w:rsidRPr="00517DFF" w:rsidRDefault="000E14DD" w:rsidP="000E14DD">
      <w:pPr>
        <w:spacing w:line="360" w:lineRule="auto"/>
        <w:jc w:val="center"/>
        <w:rPr>
          <w:rFonts w:ascii="Arial" w:hAnsi="Arial" w:cs="Arial"/>
          <w:sz w:val="32"/>
          <w:szCs w:val="32"/>
        </w:rPr>
      </w:pPr>
    </w:p>
    <w:p w14:paraId="0ADBA8A8" w14:textId="77777777" w:rsidR="000E14DD" w:rsidRPr="00517DFF" w:rsidRDefault="000E14DD" w:rsidP="000E14DD">
      <w:pPr>
        <w:spacing w:line="360" w:lineRule="auto"/>
        <w:jc w:val="center"/>
        <w:rPr>
          <w:rFonts w:ascii="Arial" w:hAnsi="Arial" w:cs="Arial"/>
          <w:sz w:val="32"/>
          <w:szCs w:val="32"/>
        </w:rPr>
      </w:pPr>
      <w:r w:rsidRPr="00517DFF">
        <w:rPr>
          <w:rFonts w:ascii="Arial" w:hAnsi="Arial" w:cs="Arial"/>
          <w:sz w:val="32"/>
          <w:szCs w:val="32"/>
        </w:rPr>
        <w:t>Bastien Proust</w:t>
      </w:r>
    </w:p>
    <w:p w14:paraId="27E1FE17" w14:textId="77777777" w:rsidR="000E14DD" w:rsidRPr="00517DFF" w:rsidRDefault="000E14DD" w:rsidP="000E14DD">
      <w:pPr>
        <w:spacing w:line="360" w:lineRule="auto"/>
        <w:jc w:val="center"/>
        <w:rPr>
          <w:rFonts w:ascii="Arial" w:hAnsi="Arial" w:cs="Arial"/>
          <w:sz w:val="32"/>
          <w:szCs w:val="32"/>
        </w:rPr>
      </w:pPr>
    </w:p>
    <w:p w14:paraId="23DD6FA8" w14:textId="77777777" w:rsidR="000E14DD" w:rsidRPr="00517DFF" w:rsidRDefault="000E14DD" w:rsidP="000E14DD">
      <w:pPr>
        <w:spacing w:line="360" w:lineRule="auto"/>
        <w:jc w:val="center"/>
        <w:rPr>
          <w:rFonts w:ascii="Arial" w:hAnsi="Arial" w:cs="Arial"/>
          <w:b/>
          <w:sz w:val="44"/>
          <w:szCs w:val="44"/>
        </w:rPr>
      </w:pPr>
      <w:r w:rsidRPr="00517DFF">
        <w:rPr>
          <w:rFonts w:ascii="Arial" w:hAnsi="Arial" w:cs="Arial"/>
          <w:b/>
          <w:sz w:val="44"/>
          <w:szCs w:val="44"/>
        </w:rPr>
        <w:t>HUMAN NME6 PROTEIN: SUBCELLULAR LOCALIZATION, STRUCTURE AND FUNCTION</w:t>
      </w:r>
    </w:p>
    <w:p w14:paraId="01113576" w14:textId="77777777" w:rsidR="000E14DD" w:rsidRPr="00517DFF" w:rsidRDefault="000E14DD" w:rsidP="000E14DD">
      <w:pPr>
        <w:spacing w:line="360" w:lineRule="auto"/>
        <w:jc w:val="center"/>
        <w:rPr>
          <w:rFonts w:ascii="Arial" w:hAnsi="Arial" w:cs="Arial"/>
          <w:sz w:val="32"/>
          <w:szCs w:val="32"/>
        </w:rPr>
      </w:pPr>
    </w:p>
    <w:p w14:paraId="0C3C908A" w14:textId="77777777" w:rsidR="000E14DD" w:rsidRPr="00517DFF" w:rsidRDefault="000E14DD" w:rsidP="000E14DD">
      <w:pPr>
        <w:spacing w:line="360" w:lineRule="auto"/>
        <w:jc w:val="center"/>
        <w:rPr>
          <w:rFonts w:ascii="Arial" w:hAnsi="Arial" w:cs="Arial"/>
          <w:sz w:val="32"/>
          <w:szCs w:val="32"/>
        </w:rPr>
      </w:pPr>
      <w:r w:rsidRPr="00517DFF">
        <w:rPr>
          <w:rFonts w:ascii="Arial" w:hAnsi="Arial" w:cs="Arial"/>
          <w:sz w:val="32"/>
          <w:szCs w:val="32"/>
        </w:rPr>
        <w:t>DOCTORAL THESIS</w:t>
      </w:r>
    </w:p>
    <w:p w14:paraId="0A81B91B" w14:textId="77777777" w:rsidR="000E14DD" w:rsidRDefault="000E14DD" w:rsidP="000E14DD">
      <w:pPr>
        <w:spacing w:after="0" w:line="360" w:lineRule="auto"/>
        <w:jc w:val="center"/>
        <w:rPr>
          <w:rFonts w:ascii="Arial" w:hAnsi="Arial" w:cs="Arial"/>
          <w:sz w:val="32"/>
          <w:szCs w:val="32"/>
        </w:rPr>
      </w:pPr>
    </w:p>
    <w:p w14:paraId="2DA6FDEA" w14:textId="77777777" w:rsidR="000E14DD" w:rsidRPr="00517DFF" w:rsidRDefault="000E14DD" w:rsidP="000E14DD">
      <w:pPr>
        <w:spacing w:after="0" w:line="360" w:lineRule="auto"/>
        <w:jc w:val="center"/>
        <w:rPr>
          <w:rFonts w:ascii="Arial" w:hAnsi="Arial" w:cs="Arial"/>
          <w:sz w:val="32"/>
          <w:szCs w:val="32"/>
        </w:rPr>
      </w:pPr>
    </w:p>
    <w:p w14:paraId="7A67C592" w14:textId="77777777" w:rsidR="000E14DD" w:rsidRPr="00517DFF" w:rsidRDefault="000E14DD" w:rsidP="000E14DD">
      <w:pPr>
        <w:spacing w:after="0" w:line="360" w:lineRule="auto"/>
        <w:jc w:val="center"/>
        <w:rPr>
          <w:rFonts w:ascii="Arial" w:hAnsi="Arial" w:cs="Arial"/>
          <w:sz w:val="32"/>
          <w:szCs w:val="32"/>
        </w:rPr>
      </w:pPr>
      <w:r w:rsidRPr="00517DFF">
        <w:rPr>
          <w:rFonts w:ascii="Arial" w:hAnsi="Arial" w:cs="Arial"/>
          <w:sz w:val="32"/>
          <w:szCs w:val="32"/>
        </w:rPr>
        <w:t>Supervisor:</w:t>
      </w:r>
    </w:p>
    <w:p w14:paraId="7A136623" w14:textId="77777777" w:rsidR="000E14DD" w:rsidRPr="00517DFF" w:rsidRDefault="000E14DD" w:rsidP="000E14DD">
      <w:pPr>
        <w:spacing w:line="360" w:lineRule="auto"/>
        <w:jc w:val="center"/>
        <w:rPr>
          <w:rFonts w:ascii="Arial" w:hAnsi="Arial" w:cs="Arial"/>
          <w:sz w:val="32"/>
          <w:szCs w:val="32"/>
        </w:rPr>
      </w:pPr>
      <w:r w:rsidRPr="00517DFF">
        <w:rPr>
          <w:rFonts w:ascii="Arial" w:hAnsi="Arial" w:cs="Arial"/>
          <w:sz w:val="32"/>
          <w:szCs w:val="32"/>
        </w:rPr>
        <w:t>Dr. Maja Herak Bosnar</w:t>
      </w:r>
    </w:p>
    <w:p w14:paraId="55424B1E" w14:textId="77777777" w:rsidR="000E14DD" w:rsidRPr="00517DFF" w:rsidRDefault="000E14DD" w:rsidP="000E14DD">
      <w:pPr>
        <w:spacing w:line="360" w:lineRule="auto"/>
        <w:jc w:val="center"/>
        <w:rPr>
          <w:rFonts w:ascii="Arial" w:hAnsi="Arial" w:cs="Arial"/>
          <w:sz w:val="32"/>
          <w:szCs w:val="32"/>
        </w:rPr>
      </w:pPr>
    </w:p>
    <w:p w14:paraId="6B48A838" w14:textId="77777777" w:rsidR="000E14DD" w:rsidRDefault="000E14DD" w:rsidP="000E14DD">
      <w:pPr>
        <w:spacing w:line="360" w:lineRule="auto"/>
        <w:jc w:val="center"/>
        <w:rPr>
          <w:rFonts w:ascii="Arial" w:hAnsi="Arial" w:cs="Arial"/>
          <w:sz w:val="28"/>
          <w:szCs w:val="28"/>
        </w:rPr>
      </w:pPr>
      <w:r w:rsidRPr="00517DFF">
        <w:rPr>
          <w:rFonts w:ascii="Arial" w:hAnsi="Arial" w:cs="Arial"/>
          <w:sz w:val="28"/>
          <w:szCs w:val="28"/>
        </w:rPr>
        <w:t>Zagreb, 2022.</w:t>
      </w:r>
    </w:p>
    <w:p w14:paraId="53CB78A4" w14:textId="56F6254D" w:rsidR="0093131E" w:rsidRPr="002E26D2" w:rsidRDefault="00DD2051" w:rsidP="004927BB">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D56F0F8" wp14:editId="3C01CCDF">
            <wp:extent cx="2340000" cy="1470239"/>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0000" cy="1470239"/>
                    </a:xfrm>
                    <a:prstGeom prst="rect">
                      <a:avLst/>
                    </a:prstGeom>
                    <a:noFill/>
                  </pic:spPr>
                </pic:pic>
              </a:graphicData>
            </a:graphic>
          </wp:inline>
        </w:drawing>
      </w:r>
    </w:p>
    <w:p w14:paraId="35A3B14C" w14:textId="77441B96" w:rsidR="0093131E" w:rsidRPr="00517DFF" w:rsidRDefault="0093131E" w:rsidP="004927BB">
      <w:pPr>
        <w:spacing w:after="0" w:line="360" w:lineRule="auto"/>
        <w:jc w:val="center"/>
        <w:rPr>
          <w:rFonts w:ascii="Arial" w:hAnsi="Arial" w:cs="Arial"/>
          <w:sz w:val="32"/>
          <w:szCs w:val="32"/>
        </w:rPr>
      </w:pPr>
      <w:r w:rsidRPr="00517DFF">
        <w:rPr>
          <w:rFonts w:ascii="Arial" w:hAnsi="Arial" w:cs="Arial"/>
          <w:sz w:val="32"/>
          <w:szCs w:val="32"/>
        </w:rPr>
        <w:t>PRIRODOSLOVNO-MATEMATIČK</w:t>
      </w:r>
      <w:r w:rsidR="00F433EA">
        <w:rPr>
          <w:rFonts w:ascii="Arial" w:hAnsi="Arial" w:cs="Arial"/>
          <w:sz w:val="32"/>
          <w:szCs w:val="32"/>
        </w:rPr>
        <w:t>I</w:t>
      </w:r>
      <w:r w:rsidR="0085673C">
        <w:rPr>
          <w:rFonts w:ascii="Arial" w:hAnsi="Arial" w:cs="Arial"/>
          <w:sz w:val="32"/>
          <w:szCs w:val="32"/>
        </w:rPr>
        <w:t xml:space="preserve"> </w:t>
      </w:r>
      <w:r w:rsidRPr="00517DFF">
        <w:rPr>
          <w:rFonts w:ascii="Arial" w:hAnsi="Arial" w:cs="Arial"/>
          <w:sz w:val="32"/>
          <w:szCs w:val="32"/>
        </w:rPr>
        <w:t>FAKULTET</w:t>
      </w:r>
    </w:p>
    <w:p w14:paraId="6E12B7C4" w14:textId="6BC853C3" w:rsidR="0093131E" w:rsidRPr="00517DFF" w:rsidRDefault="0093131E" w:rsidP="004927BB">
      <w:pPr>
        <w:spacing w:after="0" w:line="360" w:lineRule="auto"/>
        <w:jc w:val="center"/>
        <w:rPr>
          <w:rFonts w:ascii="Arial" w:hAnsi="Arial" w:cs="Arial"/>
          <w:sz w:val="32"/>
          <w:szCs w:val="32"/>
        </w:rPr>
      </w:pPr>
      <w:r w:rsidRPr="00517DFF">
        <w:rPr>
          <w:rFonts w:ascii="Arial" w:hAnsi="Arial" w:cs="Arial"/>
          <w:sz w:val="32"/>
          <w:szCs w:val="32"/>
        </w:rPr>
        <w:t>BIOLOŠKI ODSJEK</w:t>
      </w:r>
    </w:p>
    <w:p w14:paraId="5F20DBFA" w14:textId="77777777" w:rsidR="0093131E" w:rsidRPr="00517DFF" w:rsidRDefault="0093131E" w:rsidP="004927BB">
      <w:pPr>
        <w:spacing w:line="360" w:lineRule="auto"/>
        <w:jc w:val="center"/>
        <w:rPr>
          <w:rFonts w:ascii="Arial" w:hAnsi="Arial" w:cs="Arial"/>
          <w:sz w:val="32"/>
          <w:szCs w:val="32"/>
        </w:rPr>
      </w:pPr>
    </w:p>
    <w:p w14:paraId="4F3D803C" w14:textId="77777777" w:rsidR="0093131E" w:rsidRPr="00517DFF" w:rsidRDefault="0093131E" w:rsidP="004927BB">
      <w:pPr>
        <w:spacing w:line="360" w:lineRule="auto"/>
        <w:jc w:val="center"/>
        <w:rPr>
          <w:rFonts w:ascii="Arial" w:hAnsi="Arial" w:cs="Arial"/>
          <w:sz w:val="32"/>
          <w:szCs w:val="32"/>
        </w:rPr>
      </w:pPr>
      <w:r w:rsidRPr="00517DFF">
        <w:rPr>
          <w:rFonts w:ascii="Arial" w:hAnsi="Arial" w:cs="Arial"/>
          <w:sz w:val="32"/>
          <w:szCs w:val="32"/>
        </w:rPr>
        <w:t>Bastien Proust</w:t>
      </w:r>
    </w:p>
    <w:p w14:paraId="056D53E5" w14:textId="77777777" w:rsidR="0093131E" w:rsidRPr="00517DFF" w:rsidRDefault="0093131E" w:rsidP="004927BB">
      <w:pPr>
        <w:spacing w:line="360" w:lineRule="auto"/>
        <w:jc w:val="center"/>
        <w:rPr>
          <w:rFonts w:ascii="Arial" w:hAnsi="Arial" w:cs="Arial"/>
          <w:sz w:val="32"/>
          <w:szCs w:val="32"/>
        </w:rPr>
      </w:pPr>
    </w:p>
    <w:p w14:paraId="5A3E0452" w14:textId="3210A79A" w:rsidR="0093131E" w:rsidRPr="00517DFF" w:rsidRDefault="0093131E" w:rsidP="004927BB">
      <w:pPr>
        <w:spacing w:line="360" w:lineRule="auto"/>
        <w:jc w:val="center"/>
        <w:rPr>
          <w:rFonts w:ascii="Arial" w:hAnsi="Arial" w:cs="Arial"/>
          <w:b/>
          <w:sz w:val="44"/>
          <w:szCs w:val="44"/>
        </w:rPr>
      </w:pPr>
      <w:r w:rsidRPr="00517DFF">
        <w:rPr>
          <w:rFonts w:ascii="Arial" w:hAnsi="Arial" w:cs="Arial"/>
          <w:b/>
          <w:sz w:val="44"/>
          <w:szCs w:val="44"/>
        </w:rPr>
        <w:t>UNUTARSTANIČNI SMJEŠTAJ, STRUKTURA I FUNKCIJA PROTEINA NME6 U ČOVJEKA</w:t>
      </w:r>
    </w:p>
    <w:p w14:paraId="4F515F52" w14:textId="77777777" w:rsidR="0093131E" w:rsidRPr="00517DFF" w:rsidRDefault="0093131E" w:rsidP="004927BB">
      <w:pPr>
        <w:spacing w:line="360" w:lineRule="auto"/>
        <w:jc w:val="center"/>
        <w:rPr>
          <w:rFonts w:ascii="Arial" w:hAnsi="Arial" w:cs="Arial"/>
          <w:sz w:val="32"/>
          <w:szCs w:val="32"/>
        </w:rPr>
      </w:pPr>
    </w:p>
    <w:p w14:paraId="7FC2B995" w14:textId="4ED1D8B0" w:rsidR="0093131E" w:rsidRPr="00517DFF" w:rsidRDefault="0093131E" w:rsidP="004927BB">
      <w:pPr>
        <w:spacing w:line="360" w:lineRule="auto"/>
        <w:jc w:val="center"/>
        <w:rPr>
          <w:rFonts w:ascii="Arial" w:hAnsi="Arial" w:cs="Arial"/>
          <w:sz w:val="32"/>
          <w:szCs w:val="32"/>
        </w:rPr>
      </w:pPr>
      <w:r w:rsidRPr="00517DFF">
        <w:rPr>
          <w:rFonts w:ascii="Arial" w:hAnsi="Arial" w:cs="Arial"/>
          <w:sz w:val="32"/>
          <w:szCs w:val="32"/>
        </w:rPr>
        <w:t>DOKTORSKI RAD</w:t>
      </w:r>
    </w:p>
    <w:p w14:paraId="4D63E4B2" w14:textId="4766E9E0" w:rsidR="0093131E" w:rsidRDefault="0093131E" w:rsidP="004927BB">
      <w:pPr>
        <w:spacing w:line="360" w:lineRule="auto"/>
        <w:jc w:val="center"/>
        <w:rPr>
          <w:rFonts w:ascii="Arial" w:hAnsi="Arial" w:cs="Arial"/>
          <w:sz w:val="32"/>
          <w:szCs w:val="32"/>
        </w:rPr>
      </w:pPr>
    </w:p>
    <w:p w14:paraId="52271AA1" w14:textId="77777777" w:rsidR="00517DFF" w:rsidRPr="00517DFF" w:rsidRDefault="00517DFF" w:rsidP="004927BB">
      <w:pPr>
        <w:spacing w:line="360" w:lineRule="auto"/>
        <w:jc w:val="center"/>
        <w:rPr>
          <w:rFonts w:ascii="Arial" w:hAnsi="Arial" w:cs="Arial"/>
          <w:sz w:val="32"/>
          <w:szCs w:val="32"/>
        </w:rPr>
      </w:pPr>
    </w:p>
    <w:p w14:paraId="0C4967FE" w14:textId="7D324C34" w:rsidR="0093131E" w:rsidRPr="00517DFF" w:rsidRDefault="0093131E" w:rsidP="004927BB">
      <w:pPr>
        <w:spacing w:after="0" w:line="360" w:lineRule="auto"/>
        <w:jc w:val="center"/>
        <w:rPr>
          <w:rFonts w:ascii="Arial" w:hAnsi="Arial" w:cs="Arial"/>
          <w:sz w:val="32"/>
          <w:szCs w:val="32"/>
        </w:rPr>
      </w:pPr>
      <w:r w:rsidRPr="00517DFF">
        <w:rPr>
          <w:rFonts w:ascii="Arial" w:hAnsi="Arial" w:cs="Arial"/>
          <w:sz w:val="32"/>
          <w:szCs w:val="32"/>
        </w:rPr>
        <w:t>Mentor:</w:t>
      </w:r>
    </w:p>
    <w:p w14:paraId="77274141" w14:textId="34794BDD" w:rsidR="0093131E" w:rsidRPr="00517DFF" w:rsidRDefault="0093131E" w:rsidP="004927BB">
      <w:pPr>
        <w:spacing w:line="360" w:lineRule="auto"/>
        <w:jc w:val="center"/>
        <w:rPr>
          <w:rFonts w:ascii="Arial" w:hAnsi="Arial" w:cs="Arial"/>
          <w:sz w:val="32"/>
          <w:szCs w:val="32"/>
        </w:rPr>
      </w:pPr>
      <w:r w:rsidRPr="00517DFF">
        <w:rPr>
          <w:rFonts w:ascii="Arial" w:hAnsi="Arial" w:cs="Arial"/>
          <w:sz w:val="32"/>
          <w:szCs w:val="32"/>
        </w:rPr>
        <w:t>Dr. sc. Maja Herak Bosnar</w:t>
      </w:r>
    </w:p>
    <w:p w14:paraId="584C2CB1" w14:textId="77777777" w:rsidR="0093131E" w:rsidRPr="00517DFF" w:rsidRDefault="0093131E" w:rsidP="004927BB">
      <w:pPr>
        <w:spacing w:line="360" w:lineRule="auto"/>
        <w:jc w:val="center"/>
        <w:rPr>
          <w:rFonts w:ascii="Arial" w:hAnsi="Arial" w:cs="Arial"/>
          <w:sz w:val="32"/>
          <w:szCs w:val="32"/>
        </w:rPr>
      </w:pPr>
    </w:p>
    <w:p w14:paraId="0127C7F2" w14:textId="7D5B674D" w:rsidR="0093131E" w:rsidRPr="00517DFF" w:rsidRDefault="0093131E" w:rsidP="004927BB">
      <w:pPr>
        <w:spacing w:line="360" w:lineRule="auto"/>
        <w:jc w:val="center"/>
        <w:rPr>
          <w:rFonts w:ascii="Arial" w:hAnsi="Arial" w:cs="Arial"/>
          <w:sz w:val="28"/>
          <w:szCs w:val="28"/>
        </w:rPr>
      </w:pPr>
      <w:r w:rsidRPr="00517DFF">
        <w:rPr>
          <w:rFonts w:ascii="Arial" w:hAnsi="Arial" w:cs="Arial"/>
          <w:sz w:val="28"/>
          <w:szCs w:val="28"/>
        </w:rPr>
        <w:t>Zagreb, 2022.</w:t>
      </w:r>
    </w:p>
    <w:p w14:paraId="3CD3F96E" w14:textId="77777777" w:rsidR="00386B81" w:rsidRDefault="00386B81">
      <w:pPr>
        <w:rPr>
          <w:rFonts w:ascii="Arial" w:hAnsi="Arial" w:cs="Arial"/>
          <w:sz w:val="28"/>
          <w:szCs w:val="28"/>
        </w:rPr>
        <w:sectPr w:rsidR="00386B81" w:rsidSect="00386B81">
          <w:pgSz w:w="11906" w:h="16838"/>
          <w:pgMar w:top="1701" w:right="1701" w:bottom="1701" w:left="1701" w:header="709" w:footer="709" w:gutter="0"/>
          <w:cols w:space="708"/>
          <w:docGrid w:linePitch="360"/>
        </w:sectPr>
      </w:pPr>
    </w:p>
    <w:p w14:paraId="6CE26703" w14:textId="77777777" w:rsidR="00685B68" w:rsidRDefault="00685B68" w:rsidP="004927BB">
      <w:pPr>
        <w:spacing w:line="360" w:lineRule="auto"/>
        <w:jc w:val="center"/>
        <w:rPr>
          <w:rFonts w:ascii="Times New Roman" w:hAnsi="Times New Roman" w:cs="Times New Roman"/>
          <w:sz w:val="24"/>
          <w:szCs w:val="24"/>
        </w:rPr>
      </w:pPr>
    </w:p>
    <w:p w14:paraId="01E06801" w14:textId="5CAFBD5C" w:rsidR="00517DFF" w:rsidRDefault="00517DFF" w:rsidP="004927BB">
      <w:pPr>
        <w:spacing w:line="360" w:lineRule="auto"/>
        <w:jc w:val="center"/>
        <w:rPr>
          <w:rFonts w:ascii="Times New Roman" w:hAnsi="Times New Roman" w:cs="Times New Roman"/>
          <w:sz w:val="24"/>
          <w:szCs w:val="24"/>
        </w:rPr>
      </w:pPr>
    </w:p>
    <w:p w14:paraId="5D00528E" w14:textId="7F0722FB" w:rsidR="00B45690" w:rsidRDefault="00B45690" w:rsidP="004927BB">
      <w:pPr>
        <w:spacing w:line="360" w:lineRule="auto"/>
        <w:jc w:val="center"/>
        <w:rPr>
          <w:rFonts w:ascii="Times New Roman" w:hAnsi="Times New Roman" w:cs="Times New Roman"/>
          <w:sz w:val="24"/>
          <w:szCs w:val="24"/>
        </w:rPr>
      </w:pPr>
    </w:p>
    <w:p w14:paraId="4FD5E76D" w14:textId="01E8740E" w:rsidR="00B45690" w:rsidRDefault="00B45690" w:rsidP="004927BB">
      <w:pPr>
        <w:spacing w:line="360" w:lineRule="auto"/>
        <w:jc w:val="center"/>
        <w:rPr>
          <w:rFonts w:ascii="Times New Roman" w:hAnsi="Times New Roman" w:cs="Times New Roman"/>
          <w:sz w:val="24"/>
          <w:szCs w:val="24"/>
        </w:rPr>
      </w:pPr>
    </w:p>
    <w:p w14:paraId="4DB8E386" w14:textId="522D7731" w:rsidR="00B45690" w:rsidRDefault="00B45690" w:rsidP="004927BB">
      <w:pPr>
        <w:spacing w:line="360" w:lineRule="auto"/>
        <w:jc w:val="center"/>
        <w:rPr>
          <w:rFonts w:ascii="Times New Roman" w:hAnsi="Times New Roman" w:cs="Times New Roman"/>
          <w:sz w:val="24"/>
          <w:szCs w:val="24"/>
        </w:rPr>
      </w:pPr>
    </w:p>
    <w:p w14:paraId="354275C8" w14:textId="486A6FF0" w:rsidR="00B45690" w:rsidRDefault="00B45690" w:rsidP="004927BB">
      <w:pPr>
        <w:spacing w:line="360" w:lineRule="auto"/>
        <w:jc w:val="center"/>
        <w:rPr>
          <w:rFonts w:ascii="Times New Roman" w:hAnsi="Times New Roman" w:cs="Times New Roman"/>
          <w:sz w:val="24"/>
          <w:szCs w:val="24"/>
        </w:rPr>
      </w:pPr>
    </w:p>
    <w:p w14:paraId="36551E1C" w14:textId="77777777" w:rsidR="00B45690" w:rsidRPr="002E26D2" w:rsidRDefault="00B45690" w:rsidP="004927BB">
      <w:pPr>
        <w:spacing w:line="360" w:lineRule="auto"/>
        <w:jc w:val="center"/>
        <w:rPr>
          <w:rFonts w:ascii="Times New Roman" w:hAnsi="Times New Roman" w:cs="Times New Roman"/>
          <w:sz w:val="24"/>
          <w:szCs w:val="24"/>
        </w:rPr>
      </w:pPr>
    </w:p>
    <w:p w14:paraId="2DBC88EE" w14:textId="77777777" w:rsidR="00685B68" w:rsidRPr="002E26D2" w:rsidRDefault="00685B68" w:rsidP="004927BB">
      <w:pPr>
        <w:spacing w:line="360" w:lineRule="auto"/>
        <w:jc w:val="center"/>
        <w:rPr>
          <w:rFonts w:ascii="Times New Roman" w:hAnsi="Times New Roman" w:cs="Times New Roman"/>
          <w:sz w:val="24"/>
          <w:szCs w:val="24"/>
        </w:rPr>
      </w:pPr>
    </w:p>
    <w:p w14:paraId="0D845844" w14:textId="11FECBD5" w:rsidR="00543299" w:rsidRPr="002E26D2" w:rsidRDefault="00864E4F" w:rsidP="004927BB">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 xml:space="preserve">This doctoral thesis </w:t>
      </w:r>
      <w:r w:rsidR="007A2031" w:rsidRPr="002E26D2">
        <w:rPr>
          <w:rFonts w:ascii="Times New Roman" w:hAnsi="Times New Roman" w:cs="Times New Roman"/>
          <w:sz w:val="24"/>
          <w:szCs w:val="24"/>
        </w:rPr>
        <w:t>was</w:t>
      </w:r>
      <w:r w:rsidRPr="002E26D2">
        <w:rPr>
          <w:rFonts w:ascii="Times New Roman" w:hAnsi="Times New Roman" w:cs="Times New Roman"/>
          <w:sz w:val="24"/>
          <w:szCs w:val="24"/>
        </w:rPr>
        <w:t xml:space="preserve"> </w:t>
      </w:r>
      <w:r w:rsidR="00DA2C1B">
        <w:rPr>
          <w:rFonts w:ascii="Times New Roman" w:hAnsi="Times New Roman" w:cs="Times New Roman"/>
          <w:sz w:val="24"/>
          <w:szCs w:val="24"/>
        </w:rPr>
        <w:t>prepared</w:t>
      </w:r>
      <w:r w:rsidRPr="002E26D2">
        <w:rPr>
          <w:rFonts w:ascii="Times New Roman" w:hAnsi="Times New Roman" w:cs="Times New Roman"/>
          <w:sz w:val="24"/>
          <w:szCs w:val="24"/>
        </w:rPr>
        <w:t xml:space="preserve"> in the Laboratory for Protein Dynamic</w:t>
      </w:r>
      <w:r w:rsidR="00F433EA">
        <w:rPr>
          <w:rFonts w:ascii="Times New Roman" w:hAnsi="Times New Roman" w:cs="Times New Roman"/>
          <w:sz w:val="24"/>
          <w:szCs w:val="24"/>
        </w:rPr>
        <w:t>s</w:t>
      </w:r>
      <w:r w:rsidRPr="002E26D2">
        <w:rPr>
          <w:rFonts w:ascii="Times New Roman" w:hAnsi="Times New Roman" w:cs="Times New Roman"/>
          <w:sz w:val="24"/>
          <w:szCs w:val="24"/>
        </w:rPr>
        <w:t xml:space="preserve"> of the D</w:t>
      </w:r>
      <w:r w:rsidR="00F433EA">
        <w:rPr>
          <w:rFonts w:ascii="Times New Roman" w:hAnsi="Times New Roman" w:cs="Times New Roman"/>
          <w:sz w:val="24"/>
          <w:szCs w:val="24"/>
        </w:rPr>
        <w:t>ivision</w:t>
      </w:r>
      <w:r w:rsidRPr="002E26D2">
        <w:rPr>
          <w:rFonts w:ascii="Times New Roman" w:hAnsi="Times New Roman" w:cs="Times New Roman"/>
          <w:sz w:val="24"/>
          <w:szCs w:val="24"/>
        </w:rPr>
        <w:t xml:space="preserve"> of Molecular Medicine</w:t>
      </w:r>
      <w:r w:rsidR="00F433EA">
        <w:rPr>
          <w:rFonts w:ascii="Times New Roman" w:hAnsi="Times New Roman" w:cs="Times New Roman"/>
          <w:sz w:val="24"/>
          <w:szCs w:val="24"/>
        </w:rPr>
        <w:t>,</w:t>
      </w:r>
      <w:r w:rsidRPr="002E26D2">
        <w:rPr>
          <w:rFonts w:ascii="Times New Roman" w:hAnsi="Times New Roman" w:cs="Times New Roman"/>
          <w:sz w:val="24"/>
          <w:szCs w:val="24"/>
        </w:rPr>
        <w:t xml:space="preserve"> Ruđer Bošković Institute in Zagreb, under the supervision of Dr. Maja Herak Bosnar, </w:t>
      </w:r>
      <w:r w:rsidR="00DA2C1B">
        <w:rPr>
          <w:rFonts w:ascii="Times New Roman" w:hAnsi="Times New Roman" w:cs="Times New Roman"/>
          <w:sz w:val="24"/>
          <w:szCs w:val="24"/>
        </w:rPr>
        <w:t>within</w:t>
      </w:r>
      <w:r w:rsidRPr="002E26D2">
        <w:rPr>
          <w:rFonts w:ascii="Times New Roman" w:hAnsi="Times New Roman" w:cs="Times New Roman"/>
          <w:sz w:val="24"/>
          <w:szCs w:val="24"/>
        </w:rPr>
        <w:t xml:space="preserve"> the </w:t>
      </w:r>
      <w:r w:rsidR="00DA2C1B">
        <w:rPr>
          <w:rFonts w:ascii="Times New Roman" w:hAnsi="Times New Roman" w:cs="Times New Roman"/>
          <w:sz w:val="24"/>
          <w:szCs w:val="24"/>
        </w:rPr>
        <w:t>U</w:t>
      </w:r>
      <w:r w:rsidR="005F7C1C" w:rsidRPr="002E26D2">
        <w:rPr>
          <w:rFonts w:ascii="Times New Roman" w:hAnsi="Times New Roman" w:cs="Times New Roman"/>
          <w:sz w:val="24"/>
          <w:szCs w:val="24"/>
        </w:rPr>
        <w:t>niversity</w:t>
      </w:r>
      <w:r w:rsidR="00DA2C1B">
        <w:rPr>
          <w:rFonts w:ascii="Times New Roman" w:hAnsi="Times New Roman" w:cs="Times New Roman"/>
          <w:sz w:val="24"/>
          <w:szCs w:val="24"/>
        </w:rPr>
        <w:t xml:space="preserve"> Postgraduate</w:t>
      </w:r>
      <w:r w:rsidR="005F7C1C" w:rsidRPr="002E26D2">
        <w:rPr>
          <w:rFonts w:ascii="Times New Roman" w:hAnsi="Times New Roman" w:cs="Times New Roman"/>
          <w:sz w:val="24"/>
          <w:szCs w:val="24"/>
        </w:rPr>
        <w:t xml:space="preserve"> </w:t>
      </w:r>
      <w:r w:rsidR="00DA2C1B">
        <w:rPr>
          <w:rFonts w:ascii="Times New Roman" w:hAnsi="Times New Roman" w:cs="Times New Roman"/>
          <w:sz w:val="24"/>
          <w:szCs w:val="24"/>
        </w:rPr>
        <w:t>D</w:t>
      </w:r>
      <w:r w:rsidR="005F7C1C" w:rsidRPr="002E26D2">
        <w:rPr>
          <w:rFonts w:ascii="Times New Roman" w:hAnsi="Times New Roman" w:cs="Times New Roman"/>
          <w:sz w:val="24"/>
          <w:szCs w:val="24"/>
        </w:rPr>
        <w:t xml:space="preserve">octoral </w:t>
      </w:r>
      <w:r w:rsidR="00DA2C1B">
        <w:rPr>
          <w:rFonts w:ascii="Times New Roman" w:hAnsi="Times New Roman" w:cs="Times New Roman"/>
          <w:sz w:val="24"/>
          <w:szCs w:val="24"/>
        </w:rPr>
        <w:t>S</w:t>
      </w:r>
      <w:r w:rsidR="005F7C1C" w:rsidRPr="002E26D2">
        <w:rPr>
          <w:rFonts w:ascii="Times New Roman" w:hAnsi="Times New Roman" w:cs="Times New Roman"/>
          <w:sz w:val="24"/>
          <w:szCs w:val="24"/>
        </w:rPr>
        <w:t xml:space="preserve">tudy of </w:t>
      </w:r>
      <w:r w:rsidR="00DA2C1B">
        <w:rPr>
          <w:rFonts w:ascii="Times New Roman" w:hAnsi="Times New Roman" w:cs="Times New Roman"/>
          <w:sz w:val="24"/>
          <w:szCs w:val="24"/>
        </w:rPr>
        <w:t>B</w:t>
      </w:r>
      <w:r w:rsidR="005F7C1C" w:rsidRPr="002E26D2">
        <w:rPr>
          <w:rFonts w:ascii="Times New Roman" w:hAnsi="Times New Roman" w:cs="Times New Roman"/>
          <w:sz w:val="24"/>
          <w:szCs w:val="24"/>
        </w:rPr>
        <w:t>iology</w:t>
      </w:r>
      <w:r w:rsidR="00DA2C1B">
        <w:rPr>
          <w:rFonts w:ascii="Times New Roman" w:hAnsi="Times New Roman" w:cs="Times New Roman"/>
          <w:sz w:val="24"/>
          <w:szCs w:val="24"/>
        </w:rPr>
        <w:t xml:space="preserve"> at the </w:t>
      </w:r>
      <w:r w:rsidR="005F7C1C" w:rsidRPr="002E26D2">
        <w:rPr>
          <w:rFonts w:ascii="Times New Roman" w:hAnsi="Times New Roman" w:cs="Times New Roman"/>
          <w:sz w:val="24"/>
          <w:szCs w:val="24"/>
        </w:rPr>
        <w:t>Department of Biology, Faculty of Science, University of Zagreb.</w:t>
      </w:r>
    </w:p>
    <w:p w14:paraId="7E34CB4F" w14:textId="77777777" w:rsidR="00304102" w:rsidRPr="002E26D2" w:rsidRDefault="00304102" w:rsidP="004927BB">
      <w:pPr>
        <w:spacing w:line="360" w:lineRule="auto"/>
        <w:jc w:val="center"/>
        <w:rPr>
          <w:rFonts w:ascii="Times New Roman" w:hAnsi="Times New Roman" w:cs="Times New Roman"/>
          <w:sz w:val="24"/>
          <w:szCs w:val="24"/>
        </w:rPr>
      </w:pPr>
    </w:p>
    <w:p w14:paraId="59915C0A" w14:textId="77777777" w:rsidR="00F42401" w:rsidRPr="002E26D2" w:rsidRDefault="00F42401" w:rsidP="004927BB">
      <w:pPr>
        <w:spacing w:line="360" w:lineRule="auto"/>
        <w:jc w:val="center"/>
        <w:rPr>
          <w:rFonts w:ascii="Times New Roman" w:hAnsi="Times New Roman" w:cs="Times New Roman"/>
          <w:sz w:val="24"/>
          <w:szCs w:val="24"/>
        </w:rPr>
      </w:pPr>
    </w:p>
    <w:p w14:paraId="6213D506" w14:textId="61822ADE" w:rsidR="00F42401" w:rsidRPr="002E26D2" w:rsidRDefault="00F42401" w:rsidP="004927BB">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 xml:space="preserve">The dissertation was </w:t>
      </w:r>
      <w:r w:rsidR="005B1757" w:rsidRPr="002E26D2">
        <w:rPr>
          <w:rFonts w:ascii="Times New Roman" w:hAnsi="Times New Roman" w:cs="Times New Roman"/>
          <w:sz w:val="24"/>
          <w:szCs w:val="24"/>
        </w:rPr>
        <w:t>prepared within</w:t>
      </w:r>
      <w:r w:rsidRPr="002E26D2">
        <w:rPr>
          <w:rFonts w:ascii="Times New Roman" w:hAnsi="Times New Roman" w:cs="Times New Roman"/>
          <w:sz w:val="24"/>
          <w:szCs w:val="24"/>
        </w:rPr>
        <w:t xml:space="preserve"> the project of the Croatian Science Foundation entitled “Nemo6 - Structure, Function and Evolution of Nme6/Nm23-H6 Protein” (IP-2016-06-4021).</w:t>
      </w:r>
      <w:r w:rsidR="005B1757" w:rsidRPr="002E26D2">
        <w:rPr>
          <w:rFonts w:ascii="Times New Roman" w:hAnsi="Times New Roman" w:cs="Times New Roman"/>
          <w:sz w:val="24"/>
          <w:szCs w:val="24"/>
        </w:rPr>
        <w:t xml:space="preserve"> </w:t>
      </w:r>
    </w:p>
    <w:p w14:paraId="59B367D4" w14:textId="77777777" w:rsidR="00304102" w:rsidRPr="002E26D2" w:rsidRDefault="00304102" w:rsidP="004927BB">
      <w:pPr>
        <w:spacing w:line="360" w:lineRule="auto"/>
        <w:jc w:val="center"/>
        <w:rPr>
          <w:rFonts w:ascii="Times New Roman" w:hAnsi="Times New Roman" w:cs="Times New Roman"/>
          <w:sz w:val="24"/>
          <w:szCs w:val="24"/>
        </w:rPr>
      </w:pPr>
    </w:p>
    <w:p w14:paraId="2EB3CE7B" w14:textId="64A985DF" w:rsidR="005B1757" w:rsidRPr="002E26D2" w:rsidRDefault="005B1757" w:rsidP="004927BB">
      <w:pPr>
        <w:spacing w:line="360" w:lineRule="auto"/>
        <w:jc w:val="center"/>
        <w:rPr>
          <w:rFonts w:ascii="Times New Roman" w:hAnsi="Times New Roman" w:cs="Times New Roman"/>
          <w:sz w:val="24"/>
          <w:szCs w:val="24"/>
        </w:rPr>
      </w:pPr>
    </w:p>
    <w:p w14:paraId="6E94BFFD" w14:textId="08E1F645" w:rsidR="005705C5" w:rsidRPr="002E26D2" w:rsidRDefault="005705C5" w:rsidP="004927BB">
      <w:pPr>
        <w:spacing w:line="360" w:lineRule="auto"/>
        <w:jc w:val="center"/>
        <w:rPr>
          <w:rFonts w:ascii="Times New Roman" w:hAnsi="Times New Roman" w:cs="Times New Roman"/>
          <w:sz w:val="24"/>
          <w:szCs w:val="24"/>
        </w:rPr>
      </w:pPr>
    </w:p>
    <w:p w14:paraId="5FB17C40" w14:textId="48446643" w:rsidR="00304102" w:rsidRDefault="00304102" w:rsidP="004927BB">
      <w:pPr>
        <w:spacing w:line="360" w:lineRule="auto"/>
        <w:jc w:val="center"/>
        <w:rPr>
          <w:rFonts w:ascii="Times New Roman" w:hAnsi="Times New Roman" w:cs="Times New Roman"/>
          <w:sz w:val="24"/>
          <w:szCs w:val="24"/>
        </w:rPr>
      </w:pPr>
    </w:p>
    <w:p w14:paraId="0313E3CC" w14:textId="1EC8D717" w:rsidR="00B45690" w:rsidRDefault="00B45690" w:rsidP="004927BB">
      <w:pPr>
        <w:spacing w:line="360" w:lineRule="auto"/>
        <w:jc w:val="center"/>
        <w:rPr>
          <w:rFonts w:ascii="Times New Roman" w:hAnsi="Times New Roman" w:cs="Times New Roman"/>
          <w:sz w:val="24"/>
          <w:szCs w:val="24"/>
        </w:rPr>
      </w:pPr>
    </w:p>
    <w:p w14:paraId="19F06194" w14:textId="532CF81A" w:rsidR="00B45690" w:rsidRDefault="00B45690" w:rsidP="004927BB">
      <w:pPr>
        <w:spacing w:line="360" w:lineRule="auto"/>
        <w:jc w:val="center"/>
        <w:rPr>
          <w:rFonts w:ascii="Times New Roman" w:hAnsi="Times New Roman" w:cs="Times New Roman"/>
          <w:sz w:val="24"/>
          <w:szCs w:val="24"/>
        </w:rPr>
      </w:pPr>
    </w:p>
    <w:p w14:paraId="7F36D362" w14:textId="39AA614C" w:rsidR="00B45690" w:rsidRDefault="00B45690" w:rsidP="004927BB">
      <w:pPr>
        <w:spacing w:line="360" w:lineRule="auto"/>
        <w:jc w:val="center"/>
        <w:rPr>
          <w:rFonts w:ascii="Times New Roman" w:hAnsi="Times New Roman" w:cs="Times New Roman"/>
          <w:sz w:val="24"/>
          <w:szCs w:val="24"/>
        </w:rPr>
      </w:pPr>
    </w:p>
    <w:p w14:paraId="6BCA5065" w14:textId="77777777" w:rsidR="00B45690" w:rsidRPr="002E26D2" w:rsidRDefault="00B45690" w:rsidP="004927BB">
      <w:pPr>
        <w:spacing w:line="360" w:lineRule="auto"/>
        <w:jc w:val="center"/>
        <w:rPr>
          <w:rFonts w:ascii="Times New Roman" w:hAnsi="Times New Roman" w:cs="Times New Roman"/>
          <w:sz w:val="24"/>
          <w:szCs w:val="24"/>
        </w:rPr>
      </w:pPr>
    </w:p>
    <w:p w14:paraId="6E826F8E" w14:textId="14AD6798" w:rsidR="00543299" w:rsidRDefault="00543299" w:rsidP="004927BB">
      <w:pPr>
        <w:spacing w:line="360" w:lineRule="auto"/>
        <w:rPr>
          <w:rFonts w:ascii="Times New Roman" w:hAnsi="Times New Roman" w:cs="Times New Roman"/>
          <w:sz w:val="24"/>
          <w:szCs w:val="24"/>
        </w:rPr>
      </w:pPr>
      <w:r w:rsidRPr="002E26D2">
        <w:rPr>
          <w:rFonts w:ascii="Times New Roman" w:hAnsi="Times New Roman" w:cs="Times New Roman"/>
          <w:sz w:val="24"/>
          <w:szCs w:val="24"/>
        </w:rPr>
        <w:br w:type="page"/>
      </w:r>
    </w:p>
    <w:p w14:paraId="750547ED" w14:textId="2FF64D5C" w:rsidR="000D50DC" w:rsidRDefault="000D50DC" w:rsidP="00CD76B0">
      <w:pPr>
        <w:jc w:val="center"/>
        <w:rPr>
          <w:rFonts w:ascii="Times New Roman" w:hAnsi="Times New Roman" w:cs="Times New Roman"/>
          <w:b/>
          <w:sz w:val="24"/>
          <w:szCs w:val="24"/>
        </w:rPr>
      </w:pPr>
      <w:r w:rsidRPr="000D50DC">
        <w:rPr>
          <w:rFonts w:ascii="Times New Roman" w:hAnsi="Times New Roman" w:cs="Times New Roman"/>
          <w:b/>
          <w:sz w:val="24"/>
          <w:szCs w:val="24"/>
        </w:rPr>
        <w:lastRenderedPageBreak/>
        <w:t>SUPERVISOR BIOGRAPHY</w:t>
      </w:r>
    </w:p>
    <w:p w14:paraId="17028C3B" w14:textId="77777777" w:rsidR="000D50DC" w:rsidRPr="000D50DC" w:rsidRDefault="000D50DC">
      <w:pPr>
        <w:rPr>
          <w:rFonts w:ascii="Times New Roman" w:hAnsi="Times New Roman" w:cs="Times New Roman"/>
          <w:b/>
          <w:sz w:val="24"/>
          <w:szCs w:val="24"/>
        </w:rPr>
      </w:pPr>
    </w:p>
    <w:p w14:paraId="6B6FBE78" w14:textId="1DD5A2FE" w:rsidR="000D50DC" w:rsidRDefault="000D50DC" w:rsidP="000D50DC">
      <w:pPr>
        <w:spacing w:line="360" w:lineRule="auto"/>
        <w:jc w:val="both"/>
        <w:rPr>
          <w:rFonts w:ascii="Times New Roman" w:hAnsi="Times New Roman" w:cs="Times New Roman"/>
          <w:sz w:val="24"/>
          <w:szCs w:val="24"/>
        </w:rPr>
      </w:pPr>
      <w:r w:rsidRPr="2ACD72AF">
        <w:rPr>
          <w:rFonts w:ascii="Times New Roman" w:hAnsi="Times New Roman" w:cs="Times New Roman"/>
          <w:sz w:val="24"/>
          <w:szCs w:val="24"/>
        </w:rPr>
        <w:t xml:space="preserve">Maja Herak Bosnar, PhD, obtained her Bachelor, Master degree and PhD from </w:t>
      </w:r>
      <w:r w:rsidR="2EAF8957" w:rsidRPr="2ACD72AF">
        <w:rPr>
          <w:rFonts w:ascii="Times New Roman" w:hAnsi="Times New Roman" w:cs="Times New Roman"/>
          <w:sz w:val="24"/>
          <w:szCs w:val="24"/>
        </w:rPr>
        <w:t xml:space="preserve">the </w:t>
      </w:r>
      <w:r w:rsidRPr="2ACD72AF">
        <w:rPr>
          <w:rFonts w:ascii="Times New Roman" w:hAnsi="Times New Roman" w:cs="Times New Roman"/>
          <w:sz w:val="24"/>
          <w:szCs w:val="24"/>
        </w:rPr>
        <w:t xml:space="preserve">Faculty of Science, University of Zagreb. She is currently a senior scientist and a group leader at the Laboratory for Protein Dynamics, at Ruđer Bošković Institute, Zagreb. Her main field of interest is the structure, function and evolution of NME/NDPK/Nm23 family of proteins and their involvement in tumor progression. She published 38 scientific papers </w:t>
      </w:r>
      <w:r w:rsidR="00DF57F8" w:rsidRPr="2ACD72AF">
        <w:rPr>
          <w:rFonts w:ascii="Times New Roman" w:hAnsi="Times New Roman" w:cs="Times New Roman"/>
          <w:sz w:val="24"/>
          <w:szCs w:val="24"/>
        </w:rPr>
        <w:t>mostly</w:t>
      </w:r>
      <w:r w:rsidRPr="2ACD72AF">
        <w:rPr>
          <w:rFonts w:ascii="Times New Roman" w:hAnsi="Times New Roman" w:cs="Times New Roman"/>
          <w:sz w:val="24"/>
          <w:szCs w:val="24"/>
        </w:rPr>
        <w:t xml:space="preserve"> linked to this and related topics. She was a principal investigator of </w:t>
      </w:r>
      <w:r w:rsidR="1024E7B0" w:rsidRPr="2ACD72AF">
        <w:rPr>
          <w:rFonts w:ascii="Times New Roman" w:hAnsi="Times New Roman" w:cs="Times New Roman"/>
          <w:sz w:val="24"/>
          <w:szCs w:val="24"/>
        </w:rPr>
        <w:t xml:space="preserve">a </w:t>
      </w:r>
      <w:r w:rsidRPr="2ACD72AF">
        <w:rPr>
          <w:rFonts w:ascii="Times New Roman" w:hAnsi="Times New Roman" w:cs="Times New Roman"/>
          <w:sz w:val="24"/>
          <w:szCs w:val="24"/>
        </w:rPr>
        <w:t xml:space="preserve">scientific project financed by </w:t>
      </w:r>
      <w:r w:rsidR="34F4AA39" w:rsidRPr="2ACD72AF">
        <w:rPr>
          <w:rFonts w:ascii="Times New Roman" w:hAnsi="Times New Roman" w:cs="Times New Roman"/>
          <w:sz w:val="24"/>
          <w:szCs w:val="24"/>
        </w:rPr>
        <w:t xml:space="preserve">the </w:t>
      </w:r>
      <w:r w:rsidRPr="2ACD72AF">
        <w:rPr>
          <w:rFonts w:ascii="Times New Roman" w:hAnsi="Times New Roman" w:cs="Times New Roman"/>
          <w:sz w:val="24"/>
          <w:szCs w:val="24"/>
        </w:rPr>
        <w:t xml:space="preserve">Croatian Ministry for Science and Education and the Croatian Science Foundation, as well as two French-Croatian bilateral projects. She was also a work package leader of the FP7/Regpot-Innomol project (2013-2016). She organized several scientific conferences and was the main organizer of the International Conference on Nm23/NME/NDPK in Dubrovnik in 2016. She is currently a vice president of the Croatian Microscopy Society and a member of the Oversight Committee of the Croatian Branch of </w:t>
      </w:r>
      <w:r w:rsidR="6E48520C" w:rsidRPr="2ACD72AF">
        <w:rPr>
          <w:rFonts w:ascii="Times New Roman" w:hAnsi="Times New Roman" w:cs="Times New Roman"/>
          <w:sz w:val="24"/>
          <w:szCs w:val="24"/>
        </w:rPr>
        <w:t>t</w:t>
      </w:r>
      <w:r w:rsidR="25175232" w:rsidRPr="2ACD72AF">
        <w:rPr>
          <w:rFonts w:ascii="Times New Roman" w:hAnsi="Times New Roman" w:cs="Times New Roman"/>
          <w:sz w:val="24"/>
          <w:szCs w:val="24"/>
        </w:rPr>
        <w:t xml:space="preserve">he </w:t>
      </w:r>
      <w:r w:rsidRPr="2ACD72AF">
        <w:rPr>
          <w:rFonts w:ascii="Times New Roman" w:hAnsi="Times New Roman" w:cs="Times New Roman"/>
          <w:sz w:val="24"/>
          <w:szCs w:val="24"/>
        </w:rPr>
        <w:t>European Association of Cancer Research. MHB was also a member of the Scientific Council of the Ruđer Bošković Institute (2016-2022) and its vice president (2019-2022). MHB is associate professor at University J.J. Strossmeyer in Osijek and a course leader at the Faculty of Science, University of Zagreb. To this date</w:t>
      </w:r>
      <w:r w:rsidR="50B8D995" w:rsidRPr="2ACD72AF">
        <w:rPr>
          <w:rFonts w:ascii="Times New Roman" w:hAnsi="Times New Roman" w:cs="Times New Roman"/>
          <w:sz w:val="24"/>
          <w:szCs w:val="24"/>
        </w:rPr>
        <w:t>,</w:t>
      </w:r>
      <w:r w:rsidRPr="2ACD72AF">
        <w:rPr>
          <w:rFonts w:ascii="Times New Roman" w:hAnsi="Times New Roman" w:cs="Times New Roman"/>
          <w:sz w:val="24"/>
          <w:szCs w:val="24"/>
        </w:rPr>
        <w:t xml:space="preserve"> she mentored five doctoral and four master </w:t>
      </w:r>
      <w:r w:rsidR="00130897" w:rsidRPr="2ACD72AF">
        <w:rPr>
          <w:rFonts w:ascii="Times New Roman" w:hAnsi="Times New Roman" w:cs="Times New Roman"/>
          <w:sz w:val="24"/>
          <w:szCs w:val="24"/>
        </w:rPr>
        <w:t>theses</w:t>
      </w:r>
      <w:r w:rsidRPr="2ACD72AF">
        <w:rPr>
          <w:rFonts w:ascii="Times New Roman" w:hAnsi="Times New Roman" w:cs="Times New Roman"/>
          <w:sz w:val="24"/>
          <w:szCs w:val="24"/>
        </w:rPr>
        <w:t xml:space="preserve">. She gave several invited lectures </w:t>
      </w:r>
      <w:r w:rsidR="096FFCED" w:rsidRPr="2ACD72AF">
        <w:rPr>
          <w:rFonts w:ascii="Times New Roman" w:hAnsi="Times New Roman" w:cs="Times New Roman"/>
          <w:sz w:val="24"/>
          <w:szCs w:val="24"/>
        </w:rPr>
        <w:t xml:space="preserve">at </w:t>
      </w:r>
      <w:r w:rsidRPr="2ACD72AF">
        <w:rPr>
          <w:rFonts w:ascii="Times New Roman" w:hAnsi="Times New Roman" w:cs="Times New Roman"/>
          <w:sz w:val="24"/>
          <w:szCs w:val="24"/>
        </w:rPr>
        <w:t xml:space="preserve">international and domestic conferences. For almost 10 years she was involved as a course leader in Courses in Biology and Medicine organized </w:t>
      </w:r>
      <w:r w:rsidR="7D0A5BEC" w:rsidRPr="2ACD72AF">
        <w:rPr>
          <w:rFonts w:ascii="Times New Roman" w:hAnsi="Times New Roman" w:cs="Times New Roman"/>
          <w:sz w:val="24"/>
          <w:szCs w:val="24"/>
        </w:rPr>
        <w:t xml:space="preserve">by </w:t>
      </w:r>
      <w:r w:rsidRPr="2ACD72AF">
        <w:rPr>
          <w:rFonts w:ascii="Times New Roman" w:hAnsi="Times New Roman" w:cs="Times New Roman"/>
          <w:sz w:val="24"/>
          <w:szCs w:val="24"/>
        </w:rPr>
        <w:t xml:space="preserve">Ruđer Bošković Institute and reviewed a number of high school textbooks published by Neodidacta d.o.o. Maja Herak Bosnar is one of the editors and authors of the university textbook </w:t>
      </w:r>
      <w:r w:rsidR="00DF57F8" w:rsidRPr="2ACD72AF">
        <w:rPr>
          <w:rFonts w:ascii="Times New Roman" w:hAnsi="Times New Roman" w:cs="Times New Roman"/>
          <w:sz w:val="24"/>
          <w:szCs w:val="24"/>
        </w:rPr>
        <w:t>“</w:t>
      </w:r>
      <w:r w:rsidRPr="2ACD72AF">
        <w:rPr>
          <w:rFonts w:ascii="Times New Roman" w:hAnsi="Times New Roman" w:cs="Times New Roman"/>
          <w:sz w:val="24"/>
          <w:szCs w:val="24"/>
        </w:rPr>
        <w:t>Metode u molekularnoj biologiji</w:t>
      </w:r>
      <w:r w:rsidR="00DF57F8" w:rsidRPr="2ACD72AF">
        <w:rPr>
          <w:rFonts w:ascii="Times New Roman" w:hAnsi="Times New Roman" w:cs="Times New Roman"/>
          <w:sz w:val="24"/>
          <w:szCs w:val="24"/>
        </w:rPr>
        <w:t>”</w:t>
      </w:r>
      <w:r w:rsidRPr="2ACD72AF">
        <w:rPr>
          <w:rFonts w:ascii="Times New Roman" w:hAnsi="Times New Roman" w:cs="Times New Roman"/>
          <w:sz w:val="24"/>
          <w:szCs w:val="24"/>
        </w:rPr>
        <w:t xml:space="preserve"> published by Ruđer Bošković Institute</w:t>
      </w:r>
      <w:r w:rsidR="03096689" w:rsidRPr="2ACD72AF">
        <w:rPr>
          <w:rFonts w:ascii="Times New Roman" w:hAnsi="Times New Roman" w:cs="Times New Roman"/>
          <w:sz w:val="24"/>
          <w:szCs w:val="24"/>
        </w:rPr>
        <w:t>,</w:t>
      </w:r>
      <w:r w:rsidRPr="2ACD72AF">
        <w:rPr>
          <w:rFonts w:ascii="Times New Roman" w:hAnsi="Times New Roman" w:cs="Times New Roman"/>
          <w:sz w:val="24"/>
          <w:szCs w:val="24"/>
        </w:rPr>
        <w:t xml:space="preserve"> awarded by the Croatian Academy of Sciences and Arts and Zagreb Fair for the best scientific publishing achievement in 2007. Maja Herak Bosnar is active in promotion of science, she is the editor-in-chief of the scientific journal Periodicum biologorum and is a member of the National Council for Cancer Therapy Guided by Comprehensive Gene Profiling. </w:t>
      </w:r>
    </w:p>
    <w:p w14:paraId="5B6BFBA6" w14:textId="2F82DC5B" w:rsidR="002C48F7" w:rsidRDefault="000D50DC">
      <w:pPr>
        <w:rPr>
          <w:rFonts w:ascii="Times New Roman" w:hAnsi="Times New Roman" w:cs="Times New Roman"/>
          <w:sz w:val="24"/>
          <w:szCs w:val="24"/>
        </w:rPr>
      </w:pPr>
      <w:r>
        <w:rPr>
          <w:rFonts w:ascii="Times New Roman" w:hAnsi="Times New Roman" w:cs="Times New Roman"/>
          <w:sz w:val="24"/>
          <w:szCs w:val="24"/>
        </w:rPr>
        <w:br w:type="page"/>
      </w:r>
    </w:p>
    <w:p w14:paraId="1DCC6711" w14:textId="77777777" w:rsidR="00CD76B0" w:rsidRPr="00BA6BA1" w:rsidRDefault="00CD76B0" w:rsidP="00CD76B0">
      <w:pPr>
        <w:jc w:val="center"/>
        <w:rPr>
          <w:rFonts w:ascii="Times New Roman" w:hAnsi="Times New Roman" w:cs="Times New Roman"/>
          <w:b/>
          <w:sz w:val="24"/>
          <w:szCs w:val="24"/>
        </w:rPr>
      </w:pPr>
      <w:r w:rsidRPr="00BA6BA1">
        <w:rPr>
          <w:rFonts w:ascii="Times New Roman" w:hAnsi="Times New Roman" w:cs="Times New Roman"/>
          <w:b/>
          <w:sz w:val="24"/>
          <w:szCs w:val="24"/>
        </w:rPr>
        <w:lastRenderedPageBreak/>
        <w:t>ACKNOWLEDGMENTS</w:t>
      </w:r>
    </w:p>
    <w:p w14:paraId="459AB79D" w14:textId="77777777" w:rsidR="00CD76B0" w:rsidRDefault="00CD76B0" w:rsidP="00CD76B0">
      <w:pPr>
        <w:jc w:val="center"/>
      </w:pPr>
    </w:p>
    <w:p w14:paraId="5B82E3F7" w14:textId="77777777" w:rsidR="00CD76B0" w:rsidRPr="00CD76B0" w:rsidRDefault="00CD76B0" w:rsidP="00CD76B0">
      <w:pPr>
        <w:spacing w:line="276" w:lineRule="auto"/>
        <w:jc w:val="center"/>
        <w:rPr>
          <w:rFonts w:ascii="Times New Roman" w:hAnsi="Times New Roman" w:cs="Times New Roman"/>
          <w:i/>
          <w:sz w:val="24"/>
          <w:szCs w:val="24"/>
        </w:rPr>
      </w:pPr>
      <w:r w:rsidRPr="00CD76B0">
        <w:rPr>
          <w:rFonts w:ascii="Times New Roman" w:hAnsi="Times New Roman" w:cs="Times New Roman"/>
          <w:i/>
          <w:sz w:val="24"/>
          <w:szCs w:val="24"/>
        </w:rPr>
        <w:t>First, I would like to express my gratitude to my supervisor dr. sc. Maja Herak Bosnar, for giving me the opportunity to learn and work at her side. Thank you for putting your trust in me and for offering this nice, human working atmosphere, where everything is discussable on equal terms, without the burden of ranks or titles. Our team is the best!</w:t>
      </w:r>
    </w:p>
    <w:p w14:paraId="47706414" w14:textId="0E99FDCC" w:rsidR="00CD76B0" w:rsidRPr="00CD76B0" w:rsidRDefault="00026B38" w:rsidP="00CD76B0">
      <w:pPr>
        <w:spacing w:line="276" w:lineRule="auto"/>
        <w:jc w:val="center"/>
        <w:rPr>
          <w:rFonts w:ascii="Times New Roman" w:hAnsi="Times New Roman" w:cs="Times New Roman"/>
          <w:i/>
          <w:sz w:val="24"/>
          <w:szCs w:val="24"/>
        </w:rPr>
      </w:pPr>
      <w:r w:rsidRPr="00026B38">
        <w:rPr>
          <w:rFonts w:ascii="Times New Roman" w:hAnsi="Times New Roman" w:cs="Times New Roman"/>
          <w:i/>
          <w:sz w:val="24"/>
          <w:szCs w:val="24"/>
        </w:rPr>
        <w:t>Thanks to dr. sc. Neda Slade, the head of the Laboratory for Protein Dynamics, for accepting me in the Lab as a Master student during my first visit to Croatia, for her time, patience and kindness over those years. Thanks to all Lab members</w:t>
      </w:r>
      <w:r w:rsidR="00CD76B0" w:rsidRPr="00CD76B0">
        <w:rPr>
          <w:rFonts w:ascii="Times New Roman" w:hAnsi="Times New Roman" w:cs="Times New Roman"/>
          <w:i/>
          <w:sz w:val="24"/>
          <w:szCs w:val="24"/>
        </w:rPr>
        <w:t>, Ana Tadijan and Anđela Horvat for helping me with flow cytometry, Ignacija Vlašić and Maja Jazvinšćak Jembrek, and to the members of Laboratory for Hereditary Cancer, Maja Sabol for our very appreciable morning coffees, Sonja Levanat,</w:t>
      </w:r>
      <w:r w:rsidR="00CD76B0" w:rsidRPr="00CD76B0">
        <w:rPr>
          <w:i/>
        </w:rPr>
        <w:t xml:space="preserve"> </w:t>
      </w:r>
      <w:r w:rsidR="00CD76B0" w:rsidRPr="00CD76B0">
        <w:rPr>
          <w:rFonts w:ascii="Times New Roman" w:hAnsi="Times New Roman" w:cs="Times New Roman"/>
          <w:i/>
          <w:sz w:val="24"/>
          <w:szCs w:val="24"/>
        </w:rPr>
        <w:t>Petar Ozretić, Vesna Musani,</w:t>
      </w:r>
      <w:r w:rsidR="00CD76B0" w:rsidRPr="00CD76B0">
        <w:rPr>
          <w:i/>
        </w:rPr>
        <w:t xml:space="preserve"> </w:t>
      </w:r>
      <w:r w:rsidR="00CD76B0" w:rsidRPr="00CD76B0">
        <w:rPr>
          <w:rFonts w:ascii="Times New Roman" w:hAnsi="Times New Roman" w:cs="Times New Roman"/>
          <w:i/>
          <w:sz w:val="24"/>
          <w:szCs w:val="24"/>
        </w:rPr>
        <w:t>Tina Petrić, Josipa Čonkaš, Nikolina Piteša and Matea Kurtović for the fun gathering moments we spent together and for your endless tips and tricks regarding experiments. An immense thanks to Martina Pehar, who watches over the smooth running of the laboratory, and without whom our work would be terribly difficult. The validation of a doctoral dissertation is an individual reward that would be impossible without an intense teamwork.</w:t>
      </w:r>
    </w:p>
    <w:p w14:paraId="3DBC3BF1" w14:textId="77777777" w:rsidR="00CD76B0" w:rsidRPr="00CD76B0" w:rsidRDefault="00CD76B0" w:rsidP="00CD76B0">
      <w:pPr>
        <w:spacing w:line="276" w:lineRule="auto"/>
        <w:jc w:val="center"/>
        <w:rPr>
          <w:rFonts w:ascii="Times New Roman" w:hAnsi="Times New Roman" w:cs="Times New Roman"/>
          <w:i/>
          <w:sz w:val="24"/>
          <w:szCs w:val="24"/>
        </w:rPr>
      </w:pPr>
      <w:r w:rsidRPr="00CD76B0">
        <w:rPr>
          <w:rFonts w:ascii="Times New Roman" w:hAnsi="Times New Roman" w:cs="Times New Roman"/>
          <w:i/>
          <w:sz w:val="24"/>
          <w:szCs w:val="24"/>
        </w:rPr>
        <w:t xml:space="preserve">Special thanks to my best teammates Nikolina Škrobot Vidaček and Martina Radić. Nikolina, you did teach me so much during those years, and still are. Thanks for all those fun moments we had in the lab. Tina, we went together through the craziness of the doctorate, and survived! Thank you for your help, your patience, and your unlimited kindness. </w:t>
      </w:r>
    </w:p>
    <w:p w14:paraId="79545CDF" w14:textId="77777777" w:rsidR="00CD76B0" w:rsidRPr="00CD76B0" w:rsidRDefault="00CD76B0" w:rsidP="00CD76B0">
      <w:pPr>
        <w:spacing w:line="276" w:lineRule="auto"/>
        <w:jc w:val="center"/>
        <w:rPr>
          <w:rFonts w:ascii="Times New Roman" w:hAnsi="Times New Roman" w:cs="Times New Roman"/>
          <w:i/>
          <w:sz w:val="24"/>
          <w:szCs w:val="24"/>
        </w:rPr>
      </w:pPr>
      <w:r w:rsidRPr="00CD76B0">
        <w:rPr>
          <w:rFonts w:ascii="Times New Roman" w:hAnsi="Times New Roman" w:cs="Times New Roman"/>
          <w:i/>
          <w:sz w:val="24"/>
          <w:szCs w:val="24"/>
        </w:rPr>
        <w:t>Thanks to dr. sc. Helena Ćetković, for the help, tips and tricks she gave us, that were essential for a successful cloning, protein production and many other experiments.</w:t>
      </w:r>
    </w:p>
    <w:p w14:paraId="347BCC6D" w14:textId="77777777" w:rsidR="00CD76B0" w:rsidRPr="00CD76B0" w:rsidRDefault="00CD76B0" w:rsidP="00CD76B0">
      <w:pPr>
        <w:spacing w:line="276" w:lineRule="auto"/>
        <w:jc w:val="center"/>
        <w:rPr>
          <w:rFonts w:ascii="Times New Roman" w:hAnsi="Times New Roman" w:cs="Times New Roman"/>
          <w:i/>
          <w:sz w:val="24"/>
          <w:szCs w:val="24"/>
        </w:rPr>
      </w:pPr>
      <w:r w:rsidRPr="00CD76B0">
        <w:rPr>
          <w:rFonts w:ascii="Times New Roman" w:hAnsi="Times New Roman" w:cs="Times New Roman"/>
          <w:i/>
          <w:sz w:val="24"/>
          <w:szCs w:val="24"/>
        </w:rPr>
        <w:t>To all colleagues from the Division of Molecular Medicine and the Division of Molecular Biology, thanks for the support, experiment counselling and help.</w:t>
      </w:r>
    </w:p>
    <w:p w14:paraId="0C5E3D5B" w14:textId="77777777" w:rsidR="00CD76B0" w:rsidRPr="00CD76B0" w:rsidRDefault="00CD76B0" w:rsidP="00CD76B0">
      <w:pPr>
        <w:spacing w:line="276" w:lineRule="auto"/>
        <w:jc w:val="center"/>
        <w:rPr>
          <w:rFonts w:ascii="Times New Roman" w:hAnsi="Times New Roman" w:cs="Times New Roman"/>
          <w:i/>
          <w:sz w:val="24"/>
          <w:szCs w:val="24"/>
        </w:rPr>
      </w:pPr>
      <w:r w:rsidRPr="00CD76B0">
        <w:rPr>
          <w:rFonts w:ascii="Times New Roman" w:hAnsi="Times New Roman" w:cs="Times New Roman"/>
          <w:i/>
          <w:sz w:val="24"/>
          <w:szCs w:val="24"/>
        </w:rPr>
        <w:t>Special thanks to Prof. Uwe Schlattner for enabling my venue in his laboratory. Thanks to all the members of the Laboratory of Fundamental and Applied Bioenergetics, for the warm welcome, the intense brainstorming and working sessions and the successful collaboration. Thanks to dr. Malgorzata Tokarska-Schlattner for teaching me the delicate subfractionation of mitochondria.</w:t>
      </w:r>
    </w:p>
    <w:p w14:paraId="166471AD" w14:textId="77777777" w:rsidR="00CD76B0" w:rsidRPr="00CD76B0" w:rsidRDefault="00CD76B0" w:rsidP="00CD76B0">
      <w:pPr>
        <w:spacing w:line="276" w:lineRule="auto"/>
        <w:jc w:val="center"/>
        <w:rPr>
          <w:rFonts w:ascii="Times New Roman" w:hAnsi="Times New Roman" w:cs="Times New Roman"/>
          <w:i/>
          <w:sz w:val="24"/>
          <w:szCs w:val="24"/>
        </w:rPr>
      </w:pPr>
      <w:r w:rsidRPr="00CD76B0">
        <w:rPr>
          <w:rFonts w:ascii="Times New Roman" w:hAnsi="Times New Roman" w:cs="Times New Roman"/>
          <w:i/>
          <w:sz w:val="24"/>
          <w:szCs w:val="24"/>
        </w:rPr>
        <w:t>I want to thank my family, who contributed in making who I am today. Thanks to my parents Marie-Claire and Philippe for their love, for supporting my education and my choices, even the crazy idea of quitting everything to live on the other side of Europe. Thanks to Đana and Slavko for welcoming me with open heart in their home. Without your help none of this would have been possible.</w:t>
      </w:r>
    </w:p>
    <w:p w14:paraId="4A4C4934" w14:textId="2511543D" w:rsidR="001C2E2D" w:rsidRDefault="00CD76B0" w:rsidP="00026B38">
      <w:pPr>
        <w:spacing w:line="276" w:lineRule="auto"/>
        <w:jc w:val="center"/>
        <w:rPr>
          <w:rFonts w:ascii="Times New Roman" w:hAnsi="Times New Roman" w:cs="Times New Roman"/>
          <w:sz w:val="24"/>
          <w:szCs w:val="24"/>
        </w:rPr>
      </w:pPr>
      <w:r w:rsidRPr="00CD76B0">
        <w:rPr>
          <w:rFonts w:ascii="Times New Roman" w:hAnsi="Times New Roman" w:cs="Times New Roman"/>
          <w:i/>
          <w:sz w:val="24"/>
          <w:szCs w:val="24"/>
        </w:rPr>
        <w:t xml:space="preserve">Finally, an immense thanks to the loves of my life. Maja you are the origin of this story, the solution of most problems and the sunshine in my life. Thank you for sharing this journey with me, for the support you bring in every aspect of my life, I love you. To Gabriel and Ema, you are the most precious treasures in this world… </w:t>
      </w:r>
      <w:r w:rsidRPr="000E14DD">
        <w:rPr>
          <w:rFonts w:ascii="Times New Roman" w:hAnsi="Times New Roman" w:cs="Times New Roman"/>
          <w:i/>
          <w:sz w:val="24"/>
          <w:szCs w:val="24"/>
        </w:rPr>
        <w:t>Papa vous aime.</w:t>
      </w:r>
      <w:r w:rsidR="001C2E2D">
        <w:rPr>
          <w:rFonts w:ascii="Times New Roman" w:hAnsi="Times New Roman" w:cs="Times New Roman"/>
          <w:sz w:val="24"/>
          <w:szCs w:val="24"/>
        </w:rPr>
        <w:br w:type="page"/>
      </w:r>
    </w:p>
    <w:p w14:paraId="23559DFC" w14:textId="77777777" w:rsidR="0070592F" w:rsidRPr="002E26D2" w:rsidRDefault="0070592F" w:rsidP="0070592F">
      <w:pPr>
        <w:spacing w:line="240" w:lineRule="auto"/>
        <w:jc w:val="both"/>
        <w:rPr>
          <w:rFonts w:ascii="Times New Roman" w:hAnsi="Times New Roman" w:cs="Times New Roman"/>
          <w:sz w:val="24"/>
          <w:szCs w:val="24"/>
        </w:rPr>
      </w:pPr>
      <w:r w:rsidRPr="002E26D2">
        <w:rPr>
          <w:rFonts w:ascii="Times New Roman" w:hAnsi="Times New Roman" w:cs="Times New Roman"/>
          <w:sz w:val="24"/>
          <w:szCs w:val="24"/>
        </w:rPr>
        <w:lastRenderedPageBreak/>
        <w:t>University of Zagreb</w:t>
      </w:r>
      <w:r w:rsidRPr="002E26D2">
        <w:rPr>
          <w:rFonts w:ascii="Times New Roman" w:hAnsi="Times New Roman" w:cs="Times New Roman"/>
          <w:sz w:val="24"/>
          <w:szCs w:val="24"/>
        </w:rPr>
        <w:tab/>
      </w:r>
      <w:r w:rsidRPr="002E26D2">
        <w:rPr>
          <w:rFonts w:ascii="Times New Roman" w:hAnsi="Times New Roman" w:cs="Times New Roman"/>
          <w:sz w:val="24"/>
          <w:szCs w:val="24"/>
        </w:rPr>
        <w:tab/>
      </w:r>
      <w:r w:rsidRPr="002E26D2">
        <w:rPr>
          <w:rFonts w:ascii="Times New Roman" w:hAnsi="Times New Roman" w:cs="Times New Roman"/>
          <w:sz w:val="24"/>
          <w:szCs w:val="24"/>
        </w:rPr>
        <w:tab/>
      </w:r>
      <w:r w:rsidRPr="002E26D2">
        <w:rPr>
          <w:rFonts w:ascii="Times New Roman" w:hAnsi="Times New Roman" w:cs="Times New Roman"/>
          <w:sz w:val="24"/>
          <w:szCs w:val="24"/>
        </w:rPr>
        <w:tab/>
      </w:r>
      <w:r w:rsidRPr="002E26D2">
        <w:rPr>
          <w:rFonts w:ascii="Times New Roman" w:hAnsi="Times New Roman" w:cs="Times New Roman"/>
          <w:sz w:val="24"/>
          <w:szCs w:val="24"/>
        </w:rPr>
        <w:tab/>
      </w:r>
      <w:r w:rsidRPr="002E26D2">
        <w:rPr>
          <w:rFonts w:ascii="Times New Roman" w:hAnsi="Times New Roman" w:cs="Times New Roman"/>
          <w:sz w:val="24"/>
          <w:szCs w:val="24"/>
        </w:rPr>
        <w:tab/>
        <w:t xml:space="preserve">     </w:t>
      </w:r>
      <w:r w:rsidRPr="002E26D2">
        <w:rPr>
          <w:rFonts w:ascii="Times New Roman" w:hAnsi="Times New Roman" w:cs="Times New Roman"/>
          <w:sz w:val="24"/>
          <w:szCs w:val="24"/>
        </w:rPr>
        <w:tab/>
      </w:r>
      <w:r w:rsidRPr="002E26D2">
        <w:rPr>
          <w:rFonts w:ascii="Times New Roman" w:hAnsi="Times New Roman" w:cs="Times New Roman"/>
          <w:sz w:val="24"/>
          <w:szCs w:val="24"/>
        </w:rPr>
        <w:tab/>
        <w:t xml:space="preserve">      Doctoral thesis</w:t>
      </w:r>
    </w:p>
    <w:p w14:paraId="269A84D2" w14:textId="77777777" w:rsidR="0070592F" w:rsidRPr="002E26D2" w:rsidRDefault="0070592F" w:rsidP="0070592F">
      <w:pPr>
        <w:spacing w:line="240" w:lineRule="auto"/>
        <w:rPr>
          <w:rFonts w:ascii="Times New Roman" w:hAnsi="Times New Roman" w:cs="Times New Roman"/>
          <w:sz w:val="24"/>
          <w:szCs w:val="24"/>
        </w:rPr>
      </w:pPr>
      <w:r w:rsidRPr="002E26D2">
        <w:rPr>
          <w:rFonts w:ascii="Times New Roman" w:hAnsi="Times New Roman" w:cs="Times New Roman"/>
          <w:sz w:val="24"/>
          <w:szCs w:val="24"/>
        </w:rPr>
        <w:t>Faculty of Science</w:t>
      </w:r>
    </w:p>
    <w:p w14:paraId="10E62F94" w14:textId="77777777" w:rsidR="0070592F" w:rsidRDefault="0070592F" w:rsidP="0070592F">
      <w:pPr>
        <w:spacing w:line="240" w:lineRule="auto"/>
        <w:rPr>
          <w:rFonts w:ascii="Times New Roman" w:hAnsi="Times New Roman" w:cs="Times New Roman"/>
          <w:b/>
          <w:sz w:val="24"/>
          <w:szCs w:val="24"/>
        </w:rPr>
      </w:pPr>
      <w:r w:rsidRPr="0070081A">
        <w:rPr>
          <w:rFonts w:ascii="Times New Roman" w:hAnsi="Times New Roman" w:cs="Times New Roman"/>
          <w:b/>
          <w:sz w:val="24"/>
          <w:szCs w:val="24"/>
        </w:rPr>
        <w:t>Department of Biology</w:t>
      </w:r>
    </w:p>
    <w:p w14:paraId="69BBF896" w14:textId="77777777" w:rsidR="0070592F" w:rsidRPr="0070081A" w:rsidRDefault="0070592F" w:rsidP="0070592F">
      <w:pPr>
        <w:spacing w:line="240" w:lineRule="auto"/>
        <w:rPr>
          <w:rFonts w:ascii="Times New Roman" w:hAnsi="Times New Roman" w:cs="Times New Roman"/>
          <w:b/>
          <w:sz w:val="24"/>
          <w:szCs w:val="24"/>
        </w:rPr>
      </w:pPr>
    </w:p>
    <w:p w14:paraId="6B3C78B1" w14:textId="77777777" w:rsidR="0070592F" w:rsidRPr="009653DD" w:rsidRDefault="0070592F" w:rsidP="0070592F">
      <w:pPr>
        <w:spacing w:line="360" w:lineRule="auto"/>
        <w:jc w:val="center"/>
        <w:rPr>
          <w:rFonts w:ascii="Times New Roman" w:hAnsi="Times New Roman" w:cs="Times New Roman"/>
          <w:b/>
          <w:sz w:val="32"/>
          <w:szCs w:val="32"/>
        </w:rPr>
      </w:pPr>
      <w:r w:rsidRPr="009653DD">
        <w:rPr>
          <w:rFonts w:ascii="Times New Roman" w:hAnsi="Times New Roman" w:cs="Times New Roman"/>
          <w:b/>
          <w:sz w:val="32"/>
          <w:szCs w:val="32"/>
        </w:rPr>
        <w:t>ABSTRACT</w:t>
      </w:r>
    </w:p>
    <w:p w14:paraId="09EF1537" w14:textId="77777777" w:rsidR="0070592F" w:rsidRPr="002E26D2" w:rsidRDefault="0070592F" w:rsidP="0070592F">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HUMAN NME6 PROTEIN: SUBCELLULAR LOCALIZATION, STRUCTURE AND FUNCTION</w:t>
      </w:r>
    </w:p>
    <w:p w14:paraId="340D9CA6" w14:textId="77777777" w:rsidR="0070592F" w:rsidRPr="002E26D2" w:rsidRDefault="0070592F" w:rsidP="0070592F">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BASTIEN PROUST</w:t>
      </w:r>
    </w:p>
    <w:p w14:paraId="093F5297" w14:textId="77777777" w:rsidR="0070592F" w:rsidRPr="002E26D2" w:rsidRDefault="0070592F" w:rsidP="0070592F">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Ruđer Bošković Institute</w:t>
      </w:r>
    </w:p>
    <w:p w14:paraId="5D502CDE" w14:textId="54CD9D4C" w:rsidR="0070592F" w:rsidRDefault="0070592F" w:rsidP="0070592F">
      <w:pPr>
        <w:spacing w:line="360" w:lineRule="auto"/>
        <w:jc w:val="both"/>
        <w:rPr>
          <w:rFonts w:ascii="Times New Roman" w:hAnsi="Times New Roman" w:cs="Times New Roman"/>
          <w:sz w:val="24"/>
          <w:szCs w:val="24"/>
        </w:rPr>
      </w:pPr>
      <w:r w:rsidRPr="00F32CE7">
        <w:rPr>
          <w:rFonts w:ascii="Times New Roman" w:hAnsi="Times New Roman" w:cs="Times New Roman"/>
          <w:sz w:val="24"/>
          <w:szCs w:val="24"/>
        </w:rPr>
        <w:t>Nucleoside diphosphate kinase (NDPK/NME/N</w:t>
      </w:r>
      <w:r w:rsidR="00B60111">
        <w:rPr>
          <w:rFonts w:ascii="Times New Roman" w:hAnsi="Times New Roman" w:cs="Times New Roman"/>
          <w:sz w:val="24"/>
          <w:szCs w:val="24"/>
        </w:rPr>
        <w:t>M</w:t>
      </w:r>
      <w:r w:rsidRPr="00F32CE7">
        <w:rPr>
          <w:rFonts w:ascii="Times New Roman" w:hAnsi="Times New Roman" w:cs="Times New Roman"/>
          <w:sz w:val="24"/>
          <w:szCs w:val="24"/>
        </w:rPr>
        <w:t>23) family of enzymes catalyze the transfer of gamma phosphate group from nucleoside triphosphates to nucleoside diphosphates. The family sparked interest after the discovery of metastasis suppressor activity of NME1, leading to a comprehensive characterization of Group I members (NME1-NME4). In contrast, the evolutionary ancient Group II members (NME5-NME9) are to date barely explored.</w:t>
      </w:r>
      <w:r>
        <w:rPr>
          <w:rFonts w:ascii="Times New Roman" w:hAnsi="Times New Roman" w:cs="Times New Roman"/>
          <w:sz w:val="24"/>
          <w:szCs w:val="24"/>
        </w:rPr>
        <w:t xml:space="preserve"> </w:t>
      </w:r>
      <w:r w:rsidRPr="00F32CE7">
        <w:rPr>
          <w:rFonts w:ascii="Times New Roman" w:hAnsi="Times New Roman" w:cs="Times New Roman"/>
          <w:sz w:val="24"/>
          <w:szCs w:val="24"/>
        </w:rPr>
        <w:t xml:space="preserve">We aimed to produce an extensive description of the human NME6 protein, by revealing its expression pattern, enzymatic activity, subcellular localization, quaternary structure and cellular function. Our results show the ubiquitous expression of NME6. We demonstrated a lack of enzymatic activity linked to oligomerization deficiency. We confirmed the mitochondrial localization and refined it to a matrix-facing protein, partially bound to the mitochondrial inner membrane, where NME6 interacts with RCC1L protein. Finally, we unraveled a negative impact of NME6 on mitochondrial respiration, possibly linked to the regulation of mitochondria-encoded protein expression. </w:t>
      </w:r>
    </w:p>
    <w:p w14:paraId="67D61B76" w14:textId="77777777" w:rsidR="0070592F" w:rsidRPr="002E26D2" w:rsidRDefault="0070592F" w:rsidP="0070592F">
      <w:pPr>
        <w:spacing w:line="360" w:lineRule="auto"/>
        <w:rPr>
          <w:rFonts w:ascii="Times New Roman" w:hAnsi="Times New Roman" w:cs="Times New Roman"/>
          <w:sz w:val="24"/>
          <w:szCs w:val="24"/>
        </w:rPr>
      </w:pPr>
      <w:r w:rsidRPr="0061083A">
        <w:rPr>
          <w:rFonts w:ascii="Times New Roman" w:hAnsi="Times New Roman" w:cs="Times New Roman"/>
          <w:sz w:val="24"/>
          <w:szCs w:val="24"/>
        </w:rPr>
        <w:t xml:space="preserve">(137 pages, </w:t>
      </w:r>
      <w:r>
        <w:rPr>
          <w:rFonts w:ascii="Times New Roman" w:hAnsi="Times New Roman" w:cs="Times New Roman"/>
          <w:sz w:val="24"/>
          <w:szCs w:val="24"/>
        </w:rPr>
        <w:t>50</w:t>
      </w:r>
      <w:r w:rsidRPr="0061083A">
        <w:rPr>
          <w:rFonts w:ascii="Times New Roman" w:hAnsi="Times New Roman" w:cs="Times New Roman"/>
          <w:sz w:val="24"/>
          <w:szCs w:val="24"/>
        </w:rPr>
        <w:t xml:space="preserve"> figures, </w:t>
      </w:r>
      <w:r>
        <w:rPr>
          <w:rFonts w:ascii="Times New Roman" w:hAnsi="Times New Roman" w:cs="Times New Roman"/>
          <w:sz w:val="24"/>
          <w:szCs w:val="24"/>
        </w:rPr>
        <w:t>24</w:t>
      </w:r>
      <w:r w:rsidRPr="0061083A">
        <w:rPr>
          <w:rFonts w:ascii="Times New Roman" w:hAnsi="Times New Roman" w:cs="Times New Roman"/>
          <w:sz w:val="24"/>
          <w:szCs w:val="24"/>
        </w:rPr>
        <w:t xml:space="preserve"> tables, </w:t>
      </w:r>
      <w:r>
        <w:rPr>
          <w:rFonts w:ascii="Times New Roman" w:hAnsi="Times New Roman" w:cs="Times New Roman"/>
          <w:sz w:val="24"/>
          <w:szCs w:val="24"/>
        </w:rPr>
        <w:t>149</w:t>
      </w:r>
      <w:r w:rsidRPr="0061083A">
        <w:rPr>
          <w:rFonts w:ascii="Times New Roman" w:hAnsi="Times New Roman" w:cs="Times New Roman"/>
          <w:sz w:val="24"/>
          <w:szCs w:val="24"/>
        </w:rPr>
        <w:t xml:space="preserve"> references, original in English)</w:t>
      </w:r>
    </w:p>
    <w:p w14:paraId="1BE85D67" w14:textId="77777777" w:rsidR="0070592F" w:rsidRPr="002E26D2" w:rsidRDefault="0070592F" w:rsidP="0070592F">
      <w:pPr>
        <w:spacing w:line="360" w:lineRule="auto"/>
        <w:rPr>
          <w:rFonts w:ascii="Times New Roman" w:hAnsi="Times New Roman" w:cs="Times New Roman"/>
          <w:sz w:val="24"/>
          <w:szCs w:val="24"/>
        </w:rPr>
      </w:pPr>
      <w:r w:rsidRPr="002E26D2">
        <w:rPr>
          <w:rFonts w:ascii="Times New Roman" w:hAnsi="Times New Roman" w:cs="Times New Roman"/>
          <w:sz w:val="24"/>
          <w:szCs w:val="24"/>
        </w:rPr>
        <w:t>Keywords: NME, NM23, NDPK, NME6, RCC1L, WBSCR16, Mitochondria</w:t>
      </w:r>
    </w:p>
    <w:p w14:paraId="3C540299" w14:textId="77777777" w:rsidR="0070592F" w:rsidRPr="002E26D2" w:rsidRDefault="0070592F" w:rsidP="0070592F">
      <w:pPr>
        <w:spacing w:line="360" w:lineRule="auto"/>
        <w:rPr>
          <w:rFonts w:ascii="Times New Roman" w:hAnsi="Times New Roman" w:cs="Times New Roman"/>
          <w:sz w:val="24"/>
          <w:szCs w:val="24"/>
        </w:rPr>
      </w:pPr>
      <w:r w:rsidRPr="002E26D2">
        <w:rPr>
          <w:rFonts w:ascii="Times New Roman" w:hAnsi="Times New Roman" w:cs="Times New Roman"/>
          <w:sz w:val="24"/>
          <w:szCs w:val="24"/>
        </w:rPr>
        <w:t xml:space="preserve">Supervisor: Dr. Maja Herak Bosnar, </w:t>
      </w:r>
      <w:r>
        <w:rPr>
          <w:rFonts w:ascii="Times New Roman" w:hAnsi="Times New Roman" w:cs="Times New Roman"/>
          <w:sz w:val="24"/>
          <w:szCs w:val="24"/>
        </w:rPr>
        <w:t>s</w:t>
      </w:r>
      <w:r w:rsidRPr="002E26D2">
        <w:rPr>
          <w:rFonts w:ascii="Times New Roman" w:hAnsi="Times New Roman" w:cs="Times New Roman"/>
          <w:sz w:val="24"/>
          <w:szCs w:val="24"/>
        </w:rPr>
        <w:t xml:space="preserve">enior </w:t>
      </w:r>
      <w:r>
        <w:rPr>
          <w:rFonts w:ascii="Times New Roman" w:hAnsi="Times New Roman" w:cs="Times New Roman"/>
          <w:sz w:val="24"/>
          <w:szCs w:val="24"/>
        </w:rPr>
        <w:t>s</w:t>
      </w:r>
      <w:r w:rsidRPr="002E26D2">
        <w:rPr>
          <w:rFonts w:ascii="Times New Roman" w:hAnsi="Times New Roman" w:cs="Times New Roman"/>
          <w:sz w:val="24"/>
          <w:szCs w:val="24"/>
        </w:rPr>
        <w:t>cientist</w:t>
      </w:r>
    </w:p>
    <w:p w14:paraId="7DF47AAD" w14:textId="77777777" w:rsidR="0070592F" w:rsidRPr="002E26D2" w:rsidRDefault="0070592F" w:rsidP="0070592F">
      <w:pPr>
        <w:spacing w:after="0" w:line="360" w:lineRule="auto"/>
        <w:rPr>
          <w:rFonts w:ascii="Times New Roman" w:hAnsi="Times New Roman" w:cs="Times New Roman"/>
          <w:sz w:val="24"/>
          <w:szCs w:val="24"/>
        </w:rPr>
      </w:pPr>
      <w:r w:rsidRPr="002E26D2">
        <w:rPr>
          <w:rFonts w:ascii="Times New Roman" w:hAnsi="Times New Roman" w:cs="Times New Roman"/>
          <w:sz w:val="24"/>
          <w:szCs w:val="24"/>
        </w:rPr>
        <w:t>Reviewers:</w:t>
      </w:r>
    </w:p>
    <w:p w14:paraId="2713298C" w14:textId="77777777" w:rsidR="0070592F" w:rsidRPr="009653DD" w:rsidRDefault="0070592F" w:rsidP="0070592F">
      <w:pPr>
        <w:pStyle w:val="ListParagraph"/>
        <w:numPr>
          <w:ilvl w:val="0"/>
          <w:numId w:val="14"/>
        </w:numPr>
        <w:spacing w:line="360" w:lineRule="auto"/>
        <w:rPr>
          <w:rFonts w:ascii="Times New Roman" w:hAnsi="Times New Roman" w:cs="Times New Roman"/>
          <w:sz w:val="24"/>
          <w:szCs w:val="24"/>
        </w:rPr>
      </w:pPr>
      <w:r w:rsidRPr="009653DD">
        <w:rPr>
          <w:rFonts w:ascii="Times New Roman" w:hAnsi="Times New Roman" w:cs="Times New Roman"/>
          <w:sz w:val="24"/>
          <w:szCs w:val="24"/>
        </w:rPr>
        <w:t>Assoc. prof. dr. Maja Matulić</w:t>
      </w:r>
    </w:p>
    <w:p w14:paraId="252DAC83" w14:textId="77777777" w:rsidR="0070592F" w:rsidRDefault="0070592F" w:rsidP="0070592F">
      <w:pPr>
        <w:pStyle w:val="ListParagraph"/>
        <w:numPr>
          <w:ilvl w:val="0"/>
          <w:numId w:val="14"/>
        </w:numPr>
        <w:spacing w:line="360" w:lineRule="auto"/>
        <w:rPr>
          <w:rFonts w:ascii="Times New Roman" w:hAnsi="Times New Roman" w:cs="Times New Roman"/>
          <w:sz w:val="24"/>
          <w:szCs w:val="24"/>
        </w:rPr>
      </w:pPr>
      <w:r w:rsidRPr="009653DD">
        <w:rPr>
          <w:rFonts w:ascii="Times New Roman" w:hAnsi="Times New Roman" w:cs="Times New Roman"/>
          <w:sz w:val="24"/>
          <w:szCs w:val="24"/>
        </w:rPr>
        <w:t xml:space="preserve">Prof. dr. Biljana Balen </w:t>
      </w:r>
    </w:p>
    <w:p w14:paraId="03F8B4AA" w14:textId="5C342247" w:rsidR="0070592F" w:rsidRPr="00732F2D" w:rsidRDefault="0070592F" w:rsidP="00732F2D">
      <w:pPr>
        <w:pStyle w:val="ListParagraph"/>
        <w:numPr>
          <w:ilvl w:val="0"/>
          <w:numId w:val="14"/>
        </w:numPr>
        <w:spacing w:line="360" w:lineRule="auto"/>
        <w:rPr>
          <w:rFonts w:ascii="Times New Roman" w:hAnsi="Times New Roman" w:cs="Times New Roman"/>
          <w:sz w:val="24"/>
          <w:szCs w:val="24"/>
        </w:rPr>
      </w:pPr>
      <w:r w:rsidRPr="009653DD">
        <w:rPr>
          <w:rFonts w:ascii="Times New Roman" w:hAnsi="Times New Roman" w:cs="Times New Roman"/>
          <w:sz w:val="24"/>
          <w:szCs w:val="24"/>
        </w:rPr>
        <w:t>Prof. dr. Uwe Schlattner</w:t>
      </w:r>
      <w:r w:rsidRPr="00732F2D">
        <w:rPr>
          <w:rFonts w:ascii="Times New Roman" w:hAnsi="Times New Roman" w:cs="Times New Roman"/>
          <w:sz w:val="24"/>
          <w:szCs w:val="24"/>
        </w:rPr>
        <w:br w:type="page"/>
      </w:r>
    </w:p>
    <w:p w14:paraId="0894A368" w14:textId="77777777" w:rsidR="005972BF" w:rsidRPr="002E26D2" w:rsidRDefault="005972BF" w:rsidP="009653DD">
      <w:pPr>
        <w:spacing w:line="240" w:lineRule="auto"/>
        <w:jc w:val="both"/>
        <w:rPr>
          <w:rFonts w:ascii="Times New Roman" w:hAnsi="Times New Roman" w:cs="Times New Roman"/>
          <w:sz w:val="24"/>
          <w:szCs w:val="24"/>
          <w:lang w:val="hr-HR"/>
        </w:rPr>
      </w:pPr>
      <w:r w:rsidRPr="002E26D2">
        <w:rPr>
          <w:rFonts w:ascii="Times New Roman" w:hAnsi="Times New Roman" w:cs="Times New Roman"/>
          <w:sz w:val="24"/>
          <w:szCs w:val="24"/>
          <w:lang w:val="hr-HR"/>
        </w:rPr>
        <w:lastRenderedPageBreak/>
        <w:t>Sveučilište u Zagrebu</w:t>
      </w:r>
      <w:r w:rsidRPr="002E26D2">
        <w:rPr>
          <w:rFonts w:ascii="Times New Roman" w:hAnsi="Times New Roman" w:cs="Times New Roman"/>
          <w:sz w:val="24"/>
          <w:szCs w:val="24"/>
          <w:lang w:val="hr-HR"/>
        </w:rPr>
        <w:tab/>
      </w:r>
      <w:r w:rsidRPr="002E26D2">
        <w:rPr>
          <w:rFonts w:ascii="Times New Roman" w:hAnsi="Times New Roman" w:cs="Times New Roman"/>
          <w:sz w:val="24"/>
          <w:szCs w:val="24"/>
          <w:lang w:val="hr-HR"/>
        </w:rPr>
        <w:tab/>
      </w:r>
      <w:r w:rsidRPr="002E26D2">
        <w:rPr>
          <w:rFonts w:ascii="Times New Roman" w:hAnsi="Times New Roman" w:cs="Times New Roman"/>
          <w:sz w:val="24"/>
          <w:szCs w:val="24"/>
          <w:lang w:val="hr-HR"/>
        </w:rPr>
        <w:tab/>
      </w:r>
      <w:r w:rsidRPr="002E26D2">
        <w:rPr>
          <w:rFonts w:ascii="Times New Roman" w:hAnsi="Times New Roman" w:cs="Times New Roman"/>
          <w:sz w:val="24"/>
          <w:szCs w:val="24"/>
          <w:lang w:val="hr-HR"/>
        </w:rPr>
        <w:tab/>
      </w:r>
      <w:r w:rsidRPr="002E26D2">
        <w:rPr>
          <w:rFonts w:ascii="Times New Roman" w:hAnsi="Times New Roman" w:cs="Times New Roman"/>
          <w:sz w:val="24"/>
          <w:szCs w:val="24"/>
          <w:lang w:val="hr-HR"/>
        </w:rPr>
        <w:tab/>
      </w:r>
      <w:r w:rsidRPr="002E26D2">
        <w:rPr>
          <w:rFonts w:ascii="Times New Roman" w:hAnsi="Times New Roman" w:cs="Times New Roman"/>
          <w:sz w:val="24"/>
          <w:szCs w:val="24"/>
          <w:lang w:val="hr-HR"/>
        </w:rPr>
        <w:tab/>
      </w:r>
      <w:r w:rsidRPr="002E26D2">
        <w:rPr>
          <w:rFonts w:ascii="Times New Roman" w:hAnsi="Times New Roman" w:cs="Times New Roman"/>
          <w:sz w:val="24"/>
          <w:szCs w:val="24"/>
          <w:lang w:val="hr-HR"/>
        </w:rPr>
        <w:tab/>
      </w:r>
      <w:r>
        <w:rPr>
          <w:rFonts w:ascii="Times New Roman" w:hAnsi="Times New Roman" w:cs="Times New Roman"/>
          <w:sz w:val="24"/>
          <w:szCs w:val="24"/>
          <w:lang w:val="hr-HR"/>
        </w:rPr>
        <w:tab/>
        <w:t xml:space="preserve"> </w:t>
      </w:r>
      <w:r w:rsidRPr="002E26D2">
        <w:rPr>
          <w:rFonts w:ascii="Times New Roman" w:hAnsi="Times New Roman" w:cs="Times New Roman"/>
          <w:sz w:val="24"/>
          <w:szCs w:val="24"/>
          <w:lang w:val="hr-HR"/>
        </w:rPr>
        <w:t xml:space="preserve">       Doktorski rad</w:t>
      </w:r>
    </w:p>
    <w:p w14:paraId="494D8042" w14:textId="77777777" w:rsidR="005972BF" w:rsidRPr="002E26D2" w:rsidRDefault="005972BF" w:rsidP="009653DD">
      <w:pPr>
        <w:spacing w:line="240" w:lineRule="auto"/>
        <w:rPr>
          <w:rFonts w:ascii="Times New Roman" w:hAnsi="Times New Roman" w:cs="Times New Roman"/>
          <w:sz w:val="24"/>
          <w:szCs w:val="24"/>
          <w:lang w:val="hr-HR"/>
        </w:rPr>
      </w:pPr>
      <w:r w:rsidRPr="002E26D2">
        <w:rPr>
          <w:rFonts w:ascii="Times New Roman" w:hAnsi="Times New Roman" w:cs="Times New Roman"/>
          <w:sz w:val="24"/>
          <w:szCs w:val="24"/>
          <w:lang w:val="hr-HR"/>
        </w:rPr>
        <w:t>Prirodoslovno-matematičk</w:t>
      </w:r>
      <w:r>
        <w:rPr>
          <w:rFonts w:ascii="Times New Roman" w:hAnsi="Times New Roman" w:cs="Times New Roman"/>
          <w:sz w:val="24"/>
          <w:szCs w:val="24"/>
          <w:lang w:val="hr-HR"/>
        </w:rPr>
        <w:t>i</w:t>
      </w:r>
      <w:r w:rsidRPr="002E26D2">
        <w:rPr>
          <w:rFonts w:ascii="Times New Roman" w:hAnsi="Times New Roman" w:cs="Times New Roman"/>
          <w:sz w:val="24"/>
          <w:szCs w:val="24"/>
          <w:lang w:val="hr-HR"/>
        </w:rPr>
        <w:t xml:space="preserve"> fakultet</w:t>
      </w:r>
    </w:p>
    <w:p w14:paraId="3D3E35A6" w14:textId="7C5E668A" w:rsidR="005972BF" w:rsidRDefault="005972BF" w:rsidP="009653DD">
      <w:pPr>
        <w:spacing w:line="240" w:lineRule="auto"/>
        <w:rPr>
          <w:rFonts w:ascii="Times New Roman" w:hAnsi="Times New Roman" w:cs="Times New Roman"/>
          <w:b/>
          <w:sz w:val="24"/>
          <w:szCs w:val="24"/>
          <w:lang w:val="hr-HR"/>
        </w:rPr>
      </w:pPr>
      <w:r w:rsidRPr="002E26D2">
        <w:rPr>
          <w:rFonts w:ascii="Times New Roman" w:hAnsi="Times New Roman" w:cs="Times New Roman"/>
          <w:b/>
          <w:sz w:val="24"/>
          <w:szCs w:val="24"/>
          <w:lang w:val="hr-HR"/>
        </w:rPr>
        <w:t>Biološki odsjek</w:t>
      </w:r>
    </w:p>
    <w:p w14:paraId="4C90C6E6" w14:textId="77777777" w:rsidR="009653DD" w:rsidRPr="002E26D2" w:rsidRDefault="009653DD" w:rsidP="009653DD">
      <w:pPr>
        <w:spacing w:line="240" w:lineRule="auto"/>
        <w:rPr>
          <w:rFonts w:ascii="Times New Roman" w:hAnsi="Times New Roman" w:cs="Times New Roman"/>
          <w:b/>
          <w:sz w:val="24"/>
          <w:szCs w:val="24"/>
          <w:lang w:val="hr-HR"/>
        </w:rPr>
      </w:pPr>
    </w:p>
    <w:p w14:paraId="169CFAB2" w14:textId="77777777" w:rsidR="005972BF" w:rsidRPr="009653DD" w:rsidRDefault="005972BF" w:rsidP="005972BF">
      <w:pPr>
        <w:spacing w:line="360" w:lineRule="auto"/>
        <w:jc w:val="center"/>
        <w:rPr>
          <w:rFonts w:ascii="Times New Roman" w:hAnsi="Times New Roman" w:cs="Times New Roman"/>
          <w:b/>
          <w:sz w:val="32"/>
          <w:szCs w:val="32"/>
          <w:lang w:val="hr-HR"/>
        </w:rPr>
      </w:pPr>
      <w:r w:rsidRPr="009653DD">
        <w:rPr>
          <w:rFonts w:ascii="Times New Roman" w:hAnsi="Times New Roman" w:cs="Times New Roman"/>
          <w:b/>
          <w:sz w:val="32"/>
          <w:szCs w:val="32"/>
          <w:lang w:val="hr-HR"/>
        </w:rPr>
        <w:t>SAŽETAK</w:t>
      </w:r>
    </w:p>
    <w:p w14:paraId="1F4A4CE4" w14:textId="77777777" w:rsidR="005972BF" w:rsidRPr="002E26D2" w:rsidRDefault="005972BF" w:rsidP="005972BF">
      <w:pPr>
        <w:spacing w:line="360" w:lineRule="auto"/>
        <w:jc w:val="center"/>
        <w:rPr>
          <w:rFonts w:ascii="Times New Roman" w:hAnsi="Times New Roman" w:cs="Times New Roman"/>
          <w:sz w:val="24"/>
          <w:szCs w:val="24"/>
          <w:lang w:val="hr-HR"/>
        </w:rPr>
      </w:pPr>
      <w:r w:rsidRPr="002E26D2">
        <w:rPr>
          <w:rFonts w:ascii="Times New Roman" w:hAnsi="Times New Roman" w:cs="Times New Roman"/>
          <w:sz w:val="24"/>
          <w:szCs w:val="24"/>
          <w:lang w:val="hr-HR"/>
        </w:rPr>
        <w:t>UNUTARSTANIČNI SMJEŠTAJ, STRUKTURA I FUNKCIJA PROTEINA NME6 U ČOVJEKA</w:t>
      </w:r>
    </w:p>
    <w:p w14:paraId="00749296" w14:textId="77777777" w:rsidR="005972BF" w:rsidRPr="002E26D2" w:rsidRDefault="005972BF" w:rsidP="005972BF">
      <w:pPr>
        <w:spacing w:line="360" w:lineRule="auto"/>
        <w:jc w:val="center"/>
        <w:rPr>
          <w:rFonts w:ascii="Times New Roman" w:hAnsi="Times New Roman" w:cs="Times New Roman"/>
          <w:sz w:val="24"/>
          <w:szCs w:val="24"/>
          <w:lang w:val="hr-HR"/>
        </w:rPr>
      </w:pPr>
      <w:r w:rsidRPr="002E26D2">
        <w:rPr>
          <w:rFonts w:ascii="Times New Roman" w:hAnsi="Times New Roman" w:cs="Times New Roman"/>
          <w:sz w:val="24"/>
          <w:szCs w:val="24"/>
          <w:lang w:val="hr-HR"/>
        </w:rPr>
        <w:t>BASTIEN PROUST</w:t>
      </w:r>
    </w:p>
    <w:p w14:paraId="13282A1C" w14:textId="77777777" w:rsidR="005972BF" w:rsidRPr="002E26D2" w:rsidRDefault="005972BF" w:rsidP="005972BF">
      <w:pPr>
        <w:spacing w:line="360" w:lineRule="auto"/>
        <w:jc w:val="center"/>
        <w:rPr>
          <w:rFonts w:ascii="Times New Roman" w:hAnsi="Times New Roman" w:cs="Times New Roman"/>
          <w:sz w:val="24"/>
          <w:szCs w:val="24"/>
          <w:lang w:val="hr-HR"/>
        </w:rPr>
      </w:pPr>
      <w:r w:rsidRPr="002E26D2">
        <w:rPr>
          <w:rFonts w:ascii="Times New Roman" w:hAnsi="Times New Roman" w:cs="Times New Roman"/>
          <w:sz w:val="24"/>
          <w:szCs w:val="24"/>
          <w:lang w:val="hr-HR"/>
        </w:rPr>
        <w:t>Institute Ruđer Bošković</w:t>
      </w:r>
    </w:p>
    <w:p w14:paraId="06E42EB2" w14:textId="36BBB9E1" w:rsidR="005972BF" w:rsidRPr="002E26D2" w:rsidRDefault="00F5521D" w:rsidP="00F5521D">
      <w:pPr>
        <w:spacing w:line="360" w:lineRule="auto"/>
        <w:jc w:val="both"/>
        <w:rPr>
          <w:rFonts w:ascii="Times New Roman" w:hAnsi="Times New Roman" w:cs="Times New Roman"/>
          <w:sz w:val="24"/>
          <w:szCs w:val="24"/>
          <w:lang w:val="hr-HR"/>
        </w:rPr>
      </w:pPr>
      <w:r w:rsidRPr="2ACD72AF">
        <w:rPr>
          <w:rFonts w:ascii="Times New Roman" w:hAnsi="Times New Roman" w:cs="Times New Roman"/>
          <w:sz w:val="24"/>
          <w:szCs w:val="24"/>
          <w:lang w:val="hr-HR"/>
        </w:rPr>
        <w:t xml:space="preserve">Nukleozid </w:t>
      </w:r>
      <w:r w:rsidR="00AC16CA" w:rsidRPr="2ACD72AF">
        <w:rPr>
          <w:rFonts w:ascii="Times New Roman" w:hAnsi="Times New Roman" w:cs="Times New Roman"/>
          <w:sz w:val="24"/>
          <w:szCs w:val="24"/>
          <w:lang w:val="hr-HR"/>
        </w:rPr>
        <w:t xml:space="preserve">difosfatske </w:t>
      </w:r>
      <w:r w:rsidRPr="2ACD72AF">
        <w:rPr>
          <w:rFonts w:ascii="Times New Roman" w:hAnsi="Times New Roman" w:cs="Times New Roman"/>
          <w:sz w:val="24"/>
          <w:szCs w:val="24"/>
          <w:lang w:val="hr-HR"/>
        </w:rPr>
        <w:t>kinaze, (NDPK/NME/N</w:t>
      </w:r>
      <w:r w:rsidR="00AB237D" w:rsidRPr="2ACD72AF">
        <w:rPr>
          <w:rFonts w:ascii="Times New Roman" w:hAnsi="Times New Roman" w:cs="Times New Roman"/>
          <w:sz w:val="24"/>
          <w:szCs w:val="24"/>
          <w:lang w:val="hr-HR"/>
        </w:rPr>
        <w:t>M</w:t>
      </w:r>
      <w:r w:rsidRPr="2ACD72AF">
        <w:rPr>
          <w:rFonts w:ascii="Times New Roman" w:hAnsi="Times New Roman" w:cs="Times New Roman"/>
          <w:sz w:val="24"/>
          <w:szCs w:val="24"/>
          <w:lang w:val="hr-HR"/>
        </w:rPr>
        <w:t>23), kataliziraju prijenos gama fosfata s nukleozid trifosfata na nukleozid difosfate. Ova obitelj enzima privukla je veliku pozornost nakon otkrića da je jedan od njenih članova, NME1, uključen u sprječavanje nastanka metastaza. To je dovelo do sveobuhvatnih istraživanja članova NME iz skupine I (od NME1 do NME4). Nasuprot tome, evolucijski „stariji“ članovi Grupe II (od NME5 do NME9) do danas su vrlo malo istraženi. Cilj ovog rada bio je detaljnije istražiti ljudski protein NME6, utvrditi njegovu ekspresiju, enzimsku aktivnosti, unutarstanični smještaj, kvarternu strukturu i stanične funkcije. Naši rezultati pokazuju sveprisutnu ekspresiju proteina NME6. Pokazali smo da NME6 ne stvara oligomere te da, u vezi s time, ne pokazuje ni enzimatsku aktivnost. Pokazali smo da je protein smješten u matriksu mitohondrija, vjerojatno djelomično vezan na unutarnju membranu, gdje stupa u interakciju s proteinom RCC1L. Konačno, otkrili smo negativan utjecaj pojačane ekspresije NME6 na stanično disanje</w:t>
      </w:r>
      <w:r w:rsidR="008756E0" w:rsidRPr="2ACD72AF">
        <w:rPr>
          <w:rFonts w:ascii="Times New Roman" w:hAnsi="Times New Roman" w:cs="Times New Roman"/>
          <w:sz w:val="24"/>
          <w:szCs w:val="24"/>
          <w:lang w:val="hr-HR"/>
        </w:rPr>
        <w:t>,</w:t>
      </w:r>
      <w:r w:rsidRPr="2ACD72AF">
        <w:rPr>
          <w:rFonts w:ascii="Times New Roman" w:hAnsi="Times New Roman" w:cs="Times New Roman"/>
          <w:sz w:val="24"/>
          <w:szCs w:val="24"/>
          <w:lang w:val="hr-HR"/>
        </w:rPr>
        <w:t xml:space="preserve"> što je vjerojatno povezano s regulacijom ekspresije proteina kodiranih mitohondrijskom </w:t>
      </w:r>
      <w:r w:rsidRPr="0011755E">
        <w:rPr>
          <w:rFonts w:ascii="Times New Roman" w:hAnsi="Times New Roman" w:cs="Times New Roman"/>
          <w:sz w:val="24"/>
          <w:szCs w:val="24"/>
          <w:lang w:val="hr-HR"/>
        </w:rPr>
        <w:t>DNA.</w:t>
      </w:r>
    </w:p>
    <w:p w14:paraId="7AE01C51" w14:textId="0F4D06E5" w:rsidR="005972BF" w:rsidRPr="002E26D2" w:rsidRDefault="005972BF" w:rsidP="005972BF">
      <w:pPr>
        <w:spacing w:line="360" w:lineRule="auto"/>
        <w:rPr>
          <w:rFonts w:ascii="Times New Roman" w:hAnsi="Times New Roman" w:cs="Times New Roman"/>
          <w:sz w:val="24"/>
          <w:szCs w:val="24"/>
          <w:lang w:val="hr-HR"/>
        </w:rPr>
      </w:pPr>
      <w:r w:rsidRPr="0061083A">
        <w:rPr>
          <w:rFonts w:ascii="Times New Roman" w:hAnsi="Times New Roman" w:cs="Times New Roman"/>
          <w:sz w:val="24"/>
          <w:szCs w:val="24"/>
          <w:lang w:val="hr-HR"/>
        </w:rPr>
        <w:t>(</w:t>
      </w:r>
      <w:r w:rsidR="0061083A" w:rsidRPr="0061083A">
        <w:rPr>
          <w:rFonts w:ascii="Times New Roman" w:hAnsi="Times New Roman" w:cs="Times New Roman"/>
          <w:sz w:val="24"/>
          <w:szCs w:val="24"/>
          <w:lang w:val="hr-HR"/>
        </w:rPr>
        <w:t>137</w:t>
      </w:r>
      <w:r w:rsidRPr="0061083A">
        <w:rPr>
          <w:rFonts w:ascii="Times New Roman" w:hAnsi="Times New Roman" w:cs="Times New Roman"/>
          <w:sz w:val="24"/>
          <w:szCs w:val="24"/>
          <w:lang w:val="hr-HR"/>
        </w:rPr>
        <w:t xml:space="preserve"> stranica, </w:t>
      </w:r>
      <w:r w:rsidR="0061083A" w:rsidRPr="0061083A">
        <w:rPr>
          <w:rFonts w:ascii="Times New Roman" w:hAnsi="Times New Roman" w:cs="Times New Roman"/>
          <w:sz w:val="24"/>
          <w:szCs w:val="24"/>
          <w:lang w:val="hr-HR"/>
        </w:rPr>
        <w:t>50</w:t>
      </w:r>
      <w:r w:rsidRPr="0061083A">
        <w:rPr>
          <w:rFonts w:ascii="Times New Roman" w:hAnsi="Times New Roman" w:cs="Times New Roman"/>
          <w:sz w:val="24"/>
          <w:szCs w:val="24"/>
          <w:lang w:val="hr-HR"/>
        </w:rPr>
        <w:t xml:space="preserve"> slika, </w:t>
      </w:r>
      <w:r w:rsidR="0061083A" w:rsidRPr="0061083A">
        <w:rPr>
          <w:rFonts w:ascii="Times New Roman" w:hAnsi="Times New Roman" w:cs="Times New Roman"/>
          <w:sz w:val="24"/>
          <w:szCs w:val="24"/>
          <w:lang w:val="hr-HR"/>
        </w:rPr>
        <w:t>24</w:t>
      </w:r>
      <w:r w:rsidRPr="0061083A">
        <w:rPr>
          <w:rFonts w:ascii="Times New Roman" w:hAnsi="Times New Roman" w:cs="Times New Roman"/>
          <w:sz w:val="24"/>
          <w:szCs w:val="24"/>
          <w:lang w:val="hr-HR"/>
        </w:rPr>
        <w:t xml:space="preserve"> tablica, </w:t>
      </w:r>
      <w:r w:rsidR="0061083A" w:rsidRPr="0061083A">
        <w:rPr>
          <w:rFonts w:ascii="Times New Roman" w:hAnsi="Times New Roman" w:cs="Times New Roman"/>
          <w:sz w:val="24"/>
          <w:szCs w:val="24"/>
          <w:lang w:val="hr-HR"/>
        </w:rPr>
        <w:t>149</w:t>
      </w:r>
      <w:r w:rsidRPr="0061083A">
        <w:rPr>
          <w:rFonts w:ascii="Times New Roman" w:hAnsi="Times New Roman" w:cs="Times New Roman"/>
          <w:sz w:val="24"/>
          <w:szCs w:val="24"/>
          <w:lang w:val="hr-HR"/>
        </w:rPr>
        <w:t xml:space="preserve"> literaturnih navoda, jezik izvornika: Engleski)</w:t>
      </w:r>
    </w:p>
    <w:p w14:paraId="02AB5A16" w14:textId="67EEFDA1" w:rsidR="005972BF" w:rsidRPr="002E26D2" w:rsidRDefault="005972BF" w:rsidP="005972BF">
      <w:pPr>
        <w:spacing w:line="360" w:lineRule="auto"/>
        <w:rPr>
          <w:rFonts w:ascii="Times New Roman" w:hAnsi="Times New Roman" w:cs="Times New Roman"/>
          <w:sz w:val="24"/>
          <w:szCs w:val="24"/>
          <w:lang w:val="hr-HR"/>
        </w:rPr>
      </w:pPr>
      <w:r w:rsidRPr="002E26D2">
        <w:rPr>
          <w:rFonts w:ascii="Times New Roman" w:hAnsi="Times New Roman" w:cs="Times New Roman"/>
          <w:sz w:val="24"/>
          <w:szCs w:val="24"/>
          <w:lang w:val="hr-HR"/>
        </w:rPr>
        <w:t>Ključne riječi: NME, NM23, NDPK, NME6, RCC1L, WBSCR16, Mitohondrij</w:t>
      </w:r>
    </w:p>
    <w:p w14:paraId="02ABA33C" w14:textId="271997E0" w:rsidR="005972BF" w:rsidRPr="002E26D2" w:rsidRDefault="005972BF" w:rsidP="005972BF">
      <w:pPr>
        <w:spacing w:line="360" w:lineRule="auto"/>
        <w:rPr>
          <w:rFonts w:ascii="Times New Roman" w:hAnsi="Times New Roman" w:cs="Times New Roman"/>
          <w:sz w:val="24"/>
          <w:szCs w:val="24"/>
          <w:lang w:val="hr-HR"/>
        </w:rPr>
      </w:pPr>
      <w:r w:rsidRPr="002E26D2">
        <w:rPr>
          <w:rFonts w:ascii="Times New Roman" w:hAnsi="Times New Roman" w:cs="Times New Roman"/>
          <w:sz w:val="24"/>
          <w:szCs w:val="24"/>
          <w:lang w:val="hr-HR"/>
        </w:rPr>
        <w:t xml:space="preserve">Mentor: </w:t>
      </w:r>
      <w:r w:rsidR="00822F1D">
        <w:rPr>
          <w:rFonts w:ascii="Times New Roman" w:hAnsi="Times New Roman" w:cs="Times New Roman"/>
          <w:sz w:val="24"/>
          <w:szCs w:val="24"/>
          <w:lang w:val="hr-HR"/>
        </w:rPr>
        <w:t>D</w:t>
      </w:r>
      <w:r w:rsidRPr="002E26D2">
        <w:rPr>
          <w:rFonts w:ascii="Times New Roman" w:hAnsi="Times New Roman" w:cs="Times New Roman"/>
          <w:sz w:val="24"/>
          <w:szCs w:val="24"/>
          <w:lang w:val="hr-HR"/>
        </w:rPr>
        <w:t xml:space="preserve">r. sc. Maja Herak Bosnar, zn. </w:t>
      </w:r>
      <w:r w:rsidR="00822F1D">
        <w:rPr>
          <w:rFonts w:ascii="Times New Roman" w:hAnsi="Times New Roman" w:cs="Times New Roman"/>
          <w:sz w:val="24"/>
          <w:szCs w:val="24"/>
          <w:lang w:val="hr-HR"/>
        </w:rPr>
        <w:t>s</w:t>
      </w:r>
      <w:r w:rsidRPr="002E26D2">
        <w:rPr>
          <w:rFonts w:ascii="Times New Roman" w:hAnsi="Times New Roman" w:cs="Times New Roman"/>
          <w:sz w:val="24"/>
          <w:szCs w:val="24"/>
          <w:lang w:val="hr-HR"/>
        </w:rPr>
        <w:t>avj.</w:t>
      </w:r>
    </w:p>
    <w:p w14:paraId="0DA1F2D8" w14:textId="0AECCB6E" w:rsidR="005972BF" w:rsidRDefault="005972BF" w:rsidP="005972BF">
      <w:pPr>
        <w:spacing w:line="360" w:lineRule="auto"/>
        <w:rPr>
          <w:rFonts w:ascii="Times New Roman" w:hAnsi="Times New Roman" w:cs="Times New Roman"/>
          <w:sz w:val="24"/>
          <w:szCs w:val="24"/>
          <w:lang w:val="hr-HR"/>
        </w:rPr>
      </w:pPr>
      <w:r w:rsidRPr="002E26D2">
        <w:rPr>
          <w:rFonts w:ascii="Times New Roman" w:hAnsi="Times New Roman" w:cs="Times New Roman"/>
          <w:sz w:val="24"/>
          <w:szCs w:val="24"/>
          <w:lang w:val="hr-HR"/>
        </w:rPr>
        <w:t>Ocjenjivači:</w:t>
      </w:r>
    </w:p>
    <w:p w14:paraId="341C4DDE" w14:textId="043AFD5C" w:rsidR="009653DD" w:rsidRPr="009653DD" w:rsidRDefault="009653DD" w:rsidP="009653DD">
      <w:pPr>
        <w:pStyle w:val="ListParagraph"/>
        <w:numPr>
          <w:ilvl w:val="0"/>
          <w:numId w:val="13"/>
        </w:numPr>
        <w:spacing w:line="360" w:lineRule="auto"/>
        <w:rPr>
          <w:rFonts w:ascii="Times New Roman" w:hAnsi="Times New Roman" w:cs="Times New Roman"/>
          <w:sz w:val="24"/>
          <w:szCs w:val="24"/>
        </w:rPr>
      </w:pPr>
      <w:r>
        <w:rPr>
          <w:rFonts w:ascii="Times New Roman" w:hAnsi="Times New Roman" w:cs="Times New Roman"/>
          <w:sz w:val="24"/>
          <w:szCs w:val="24"/>
        </w:rPr>
        <w:t>I</w:t>
      </w:r>
      <w:r w:rsidRPr="009653DD">
        <w:rPr>
          <w:rFonts w:ascii="Times New Roman" w:hAnsi="Times New Roman" w:cs="Times New Roman"/>
          <w:sz w:val="24"/>
          <w:szCs w:val="24"/>
        </w:rPr>
        <w:t>zv. prof. dr. sc. Maja Matulić</w:t>
      </w:r>
    </w:p>
    <w:p w14:paraId="414BF1D0" w14:textId="36492914" w:rsidR="00D824F0" w:rsidRDefault="00D824F0" w:rsidP="00D824F0">
      <w:pPr>
        <w:pStyle w:val="ListParagraph"/>
        <w:numPr>
          <w:ilvl w:val="0"/>
          <w:numId w:val="13"/>
        </w:numPr>
        <w:spacing w:line="360" w:lineRule="auto"/>
        <w:rPr>
          <w:rFonts w:ascii="Times New Roman" w:hAnsi="Times New Roman" w:cs="Times New Roman"/>
          <w:sz w:val="24"/>
          <w:szCs w:val="24"/>
        </w:rPr>
      </w:pPr>
      <w:r w:rsidRPr="009653DD">
        <w:rPr>
          <w:rFonts w:ascii="Times New Roman" w:hAnsi="Times New Roman" w:cs="Times New Roman"/>
          <w:sz w:val="24"/>
          <w:szCs w:val="24"/>
        </w:rPr>
        <w:t>Prof. dr.</w:t>
      </w:r>
      <w:r>
        <w:rPr>
          <w:rFonts w:ascii="Times New Roman" w:hAnsi="Times New Roman" w:cs="Times New Roman"/>
          <w:sz w:val="24"/>
          <w:szCs w:val="24"/>
        </w:rPr>
        <w:t xml:space="preserve"> sc.</w:t>
      </w:r>
      <w:r w:rsidRPr="009653DD">
        <w:rPr>
          <w:rFonts w:ascii="Times New Roman" w:hAnsi="Times New Roman" w:cs="Times New Roman"/>
          <w:sz w:val="24"/>
          <w:szCs w:val="24"/>
        </w:rPr>
        <w:t xml:space="preserve"> Biljana Balen</w:t>
      </w:r>
    </w:p>
    <w:p w14:paraId="5B8188DC" w14:textId="5BE559E8" w:rsidR="005972BF" w:rsidRPr="00347EF6" w:rsidRDefault="00D824F0" w:rsidP="00347EF6">
      <w:pPr>
        <w:pStyle w:val="ListParagraph"/>
        <w:numPr>
          <w:ilvl w:val="0"/>
          <w:numId w:val="13"/>
        </w:numPr>
        <w:spacing w:line="360" w:lineRule="auto"/>
        <w:rPr>
          <w:rFonts w:ascii="Times New Roman" w:hAnsi="Times New Roman" w:cs="Times New Roman"/>
          <w:sz w:val="24"/>
          <w:szCs w:val="24"/>
        </w:rPr>
      </w:pPr>
      <w:r w:rsidRPr="009653DD">
        <w:rPr>
          <w:rFonts w:ascii="Times New Roman" w:hAnsi="Times New Roman" w:cs="Times New Roman"/>
          <w:sz w:val="24"/>
          <w:szCs w:val="24"/>
        </w:rPr>
        <w:t>Prof. dr. Uwe Schlattner</w:t>
      </w:r>
      <w:r w:rsidR="005972BF" w:rsidRPr="00347EF6">
        <w:rPr>
          <w:rFonts w:ascii="Times New Roman" w:hAnsi="Times New Roman" w:cs="Times New Roman"/>
          <w:sz w:val="24"/>
          <w:szCs w:val="24"/>
        </w:rPr>
        <w:br w:type="page"/>
      </w:r>
    </w:p>
    <w:p w14:paraId="318991E1" w14:textId="4E1D43A9" w:rsidR="00385C88" w:rsidRDefault="00385C88" w:rsidP="00385C88">
      <w:pPr>
        <w:spacing w:line="360" w:lineRule="auto"/>
        <w:jc w:val="center"/>
        <w:rPr>
          <w:rFonts w:ascii="Times New Roman" w:hAnsi="Times New Roman" w:cs="Times New Roman"/>
          <w:b/>
          <w:sz w:val="24"/>
          <w:szCs w:val="24"/>
          <w:lang w:val="hr-HR"/>
        </w:rPr>
      </w:pPr>
      <w:r w:rsidRPr="00385C88">
        <w:rPr>
          <w:rFonts w:ascii="Times New Roman" w:hAnsi="Times New Roman" w:cs="Times New Roman"/>
          <w:b/>
          <w:sz w:val="24"/>
          <w:szCs w:val="24"/>
          <w:lang w:val="hr-HR"/>
        </w:rPr>
        <w:lastRenderedPageBreak/>
        <w:t>PROŠIRENI SAŽETAK DOKTORSKE DISERTACIJE</w:t>
      </w:r>
    </w:p>
    <w:p w14:paraId="05F5B7A3" w14:textId="77777777" w:rsidR="0001264C" w:rsidRPr="0001264C" w:rsidRDefault="0001264C" w:rsidP="0001264C">
      <w:pPr>
        <w:spacing w:line="360" w:lineRule="auto"/>
        <w:jc w:val="both"/>
        <w:rPr>
          <w:rFonts w:ascii="Times New Roman" w:hAnsi="Times New Roman" w:cs="Times New Roman"/>
          <w:sz w:val="24"/>
          <w:szCs w:val="24"/>
          <w:lang w:val="hr-HR"/>
        </w:rPr>
      </w:pPr>
      <w:r w:rsidRPr="0001264C">
        <w:rPr>
          <w:rFonts w:ascii="Times New Roman" w:hAnsi="Times New Roman" w:cs="Times New Roman"/>
          <w:sz w:val="24"/>
          <w:szCs w:val="24"/>
          <w:lang w:val="hr-HR"/>
        </w:rPr>
        <w:t xml:space="preserve">Nukleozid difosfatske kinaze (NDPK/NME/NM23) čine obitelj proteina koji sadrže jednu, nekoliko ili čak djelomične domene nukleozid difosfatske kinaze (NDPK). NDP kinaze su prvi put opisane prije gotovo 70 godina u prsnim mišićima golubova i kvascu, u kojima su autori opisali njihovu glavnu enzimsku aktivnost: prijenos terminalne γ-fosfatne skupine s nukleozid trifosfata na nukleozid difosfat. Kako se ova skupina proteina stalno iznova otkrivala u različitim znanstvenim poljima i modelnim organizmima, koristila se i neobična i zbunjujuća nomenklatura. Osim NDPK, članovi obitelji se također nazivaju i NM23 ili NME (nemetastatski klon 23) zbog antimetastatskih svojstava nekih članova, ili čak AWD (prema engl. </w:t>
      </w:r>
      <w:r w:rsidRPr="00895725">
        <w:rPr>
          <w:rFonts w:ascii="Times New Roman" w:hAnsi="Times New Roman" w:cs="Times New Roman"/>
          <w:i/>
          <w:sz w:val="24"/>
          <w:szCs w:val="24"/>
          <w:lang w:val="hr-HR"/>
        </w:rPr>
        <w:t>abnormal wing discs</w:t>
      </w:r>
      <w:r w:rsidRPr="0001264C">
        <w:rPr>
          <w:rFonts w:ascii="Times New Roman" w:hAnsi="Times New Roman" w:cs="Times New Roman"/>
          <w:sz w:val="24"/>
          <w:szCs w:val="24"/>
          <w:lang w:val="hr-HR"/>
        </w:rPr>
        <w:t xml:space="preserve">) prema razvojnom poremećaju u vrsti </w:t>
      </w:r>
      <w:r w:rsidRPr="00895725">
        <w:rPr>
          <w:rFonts w:ascii="Times New Roman" w:hAnsi="Times New Roman" w:cs="Times New Roman"/>
          <w:i/>
          <w:sz w:val="24"/>
          <w:szCs w:val="24"/>
          <w:lang w:val="hr-HR"/>
        </w:rPr>
        <w:t>Drosophila melanogaster</w:t>
      </w:r>
      <w:r w:rsidRPr="0001264C">
        <w:rPr>
          <w:rFonts w:ascii="Times New Roman" w:hAnsi="Times New Roman" w:cs="Times New Roman"/>
          <w:sz w:val="24"/>
          <w:szCs w:val="24"/>
          <w:lang w:val="hr-HR"/>
        </w:rPr>
        <w:t xml:space="preserve"> koji je izazvan mutacijom. Radi jasnoće ovog doktorskog rada, proteini NDPK/NME/NM23 će se označavati isključivo kao NME, dok će se glavna enzimska aktivnost i domena označavati kao aktivnost NDPK, odnosno, domena NDPK.</w:t>
      </w:r>
    </w:p>
    <w:p w14:paraId="3E929F23" w14:textId="77777777" w:rsidR="0001264C" w:rsidRPr="0001264C" w:rsidRDefault="0001264C" w:rsidP="0001264C">
      <w:pPr>
        <w:spacing w:line="360" w:lineRule="auto"/>
        <w:jc w:val="both"/>
        <w:rPr>
          <w:rFonts w:ascii="Times New Roman" w:hAnsi="Times New Roman" w:cs="Times New Roman"/>
          <w:sz w:val="24"/>
          <w:szCs w:val="24"/>
          <w:lang w:val="hr-HR"/>
        </w:rPr>
      </w:pPr>
      <w:r w:rsidRPr="0001264C">
        <w:rPr>
          <w:rFonts w:ascii="Times New Roman" w:hAnsi="Times New Roman" w:cs="Times New Roman"/>
          <w:sz w:val="24"/>
          <w:szCs w:val="24"/>
          <w:lang w:val="hr-HR"/>
        </w:rPr>
        <w:t>Na temelju filogenetskih analiza i strukture introna i eksona obitelj NDPK/NME u ljudi podijeljena je u dvije skupine: članovi skupine I (NME1-NME4) posjeduju značajan stupanj međusobne homologije nukleotidnog slijeda i svi pokazuju aktivnost NDPK. Članovi skupine II (NME5-NME9) posjeduju znatno manji stupanj homologije te nemaju aktivnost NDPK, uz moguću iznimku proteina NME6.</w:t>
      </w:r>
    </w:p>
    <w:p w14:paraId="19EFE107" w14:textId="77777777" w:rsidR="0001264C" w:rsidRPr="0001264C" w:rsidRDefault="0001264C" w:rsidP="0001264C">
      <w:pPr>
        <w:spacing w:line="360" w:lineRule="auto"/>
        <w:jc w:val="both"/>
        <w:rPr>
          <w:rFonts w:ascii="Times New Roman" w:hAnsi="Times New Roman" w:cs="Times New Roman"/>
          <w:sz w:val="24"/>
          <w:szCs w:val="24"/>
          <w:lang w:val="hr-HR"/>
        </w:rPr>
      </w:pPr>
      <w:r w:rsidRPr="0001264C">
        <w:rPr>
          <w:rFonts w:ascii="Times New Roman" w:hAnsi="Times New Roman" w:cs="Times New Roman"/>
          <w:sz w:val="24"/>
          <w:szCs w:val="24"/>
          <w:lang w:val="hr-HR"/>
        </w:rPr>
        <w:t xml:space="preserve">Iako su proteini NME opisani prije nekoliko desetljeća, ranih devedesetih godina privukli su pozornost istraživača nakon što je otkriveno da NME1 posjeduje svojstva supresora metastaziranja. Godine istraživnja, posebno članova Grupe I, pokazala su da protein NME mora oligomerizirati kako bi posjedovao enzimsku aktivnost. Nadalje, mutacije u petlji Kpn (engl. Kpn loop - </w:t>
      </w:r>
      <w:r w:rsidRPr="00895725">
        <w:rPr>
          <w:rFonts w:ascii="Times New Roman" w:hAnsi="Times New Roman" w:cs="Times New Roman"/>
          <w:i/>
          <w:sz w:val="24"/>
          <w:szCs w:val="24"/>
          <w:lang w:val="hr-HR"/>
        </w:rPr>
        <w:t>killer of prune</w:t>
      </w:r>
      <w:r w:rsidRPr="0001264C">
        <w:rPr>
          <w:rFonts w:ascii="Times New Roman" w:hAnsi="Times New Roman" w:cs="Times New Roman"/>
          <w:sz w:val="24"/>
          <w:szCs w:val="24"/>
          <w:lang w:val="hr-HR"/>
        </w:rPr>
        <w:t>) i modifikacije na C-kraju proteina uzrokuju nestabilnost oligomera i smanjenu aktivnost NDPK. Proteini NME posjeduju i druge biokemijske uloge: aktivnost histidinske kinaze, sudjeluju u transkripciji gena pokazuju aktivnost 3’-5’ egzonukleaze.</w:t>
      </w:r>
    </w:p>
    <w:p w14:paraId="22987ED2" w14:textId="77777777" w:rsidR="0001264C" w:rsidRPr="0001264C" w:rsidRDefault="0001264C" w:rsidP="0001264C">
      <w:pPr>
        <w:spacing w:line="360" w:lineRule="auto"/>
        <w:jc w:val="both"/>
        <w:rPr>
          <w:rFonts w:ascii="Times New Roman" w:hAnsi="Times New Roman" w:cs="Times New Roman"/>
          <w:sz w:val="24"/>
          <w:szCs w:val="24"/>
          <w:lang w:val="hr-HR"/>
        </w:rPr>
      </w:pPr>
      <w:r w:rsidRPr="0001264C">
        <w:rPr>
          <w:rFonts w:ascii="Times New Roman" w:hAnsi="Times New Roman" w:cs="Times New Roman"/>
          <w:sz w:val="24"/>
          <w:szCs w:val="24"/>
          <w:lang w:val="hr-HR"/>
        </w:rPr>
        <w:t xml:space="preserve">Biološke uloge proteina NME su raznolike i ovise o specifičnosti tkiva i stanica, unutarstaničnom smještaju i enzimskoj aktivnosti. Proteini NME eksprimiraju se ili tkivno specifično (NME5 u testisima) ili su prisutni u svim tkivima. Uglavnom su smješteni u citosolu i jezgri (NME1 i NME2), mitohondriju (NME3 i NME4) ili vezani uz citoskelet (NME7). </w:t>
      </w:r>
    </w:p>
    <w:p w14:paraId="4F45F762" w14:textId="77777777" w:rsidR="0001264C" w:rsidRPr="0001264C" w:rsidRDefault="0001264C" w:rsidP="0001264C">
      <w:pPr>
        <w:spacing w:line="360" w:lineRule="auto"/>
        <w:jc w:val="both"/>
        <w:rPr>
          <w:rFonts w:ascii="Times New Roman" w:hAnsi="Times New Roman" w:cs="Times New Roman"/>
          <w:sz w:val="24"/>
          <w:szCs w:val="24"/>
          <w:lang w:val="hr-HR"/>
        </w:rPr>
      </w:pPr>
      <w:r w:rsidRPr="0001264C">
        <w:rPr>
          <w:rFonts w:ascii="Times New Roman" w:hAnsi="Times New Roman" w:cs="Times New Roman"/>
          <w:sz w:val="24"/>
          <w:szCs w:val="24"/>
          <w:lang w:val="hr-HR"/>
        </w:rPr>
        <w:t xml:space="preserve">Obitelj NME drevna je skupina gena/proteina, prisutna u sve tri domene života: bakterijama, arhejama i eukariotima, što ukazuje na njihovu važnost u ključnim funkcijama i fiziologiji </w:t>
      </w:r>
      <w:r w:rsidRPr="0001264C">
        <w:rPr>
          <w:rFonts w:ascii="Times New Roman" w:hAnsi="Times New Roman" w:cs="Times New Roman"/>
          <w:sz w:val="24"/>
          <w:szCs w:val="24"/>
          <w:lang w:val="hr-HR"/>
        </w:rPr>
        <w:lastRenderedPageBreak/>
        <w:t>stanice. Evolucijski gledano, članovi skupine II nastali su ranije od većine članova skupine I, tj. evolucijski su „stariji“. Istraživanja na jednostavnijim životinjama kao što su spužve, koje predstavljaju model zajedničkog pretka svih životinja, pokazala su da drevni spužvin protein NMEGp1Sd pokazuje strukturu, smještaj i funkciju vrlo sličnu ljudskom homologu NME1/2. S druge strane, istraživanje provedeno na spužvinom homologu NME6, NME6Sd, pokazalo je da se stanična funkcija ovog proteina vjerojatno promijenila tijekom evolucije.</w:t>
      </w:r>
    </w:p>
    <w:p w14:paraId="4A30542D" w14:textId="167779E3" w:rsidR="0001264C" w:rsidRPr="0001264C" w:rsidRDefault="0001264C" w:rsidP="0001264C">
      <w:pPr>
        <w:spacing w:line="360" w:lineRule="auto"/>
        <w:jc w:val="both"/>
        <w:rPr>
          <w:rFonts w:ascii="Times New Roman" w:hAnsi="Times New Roman" w:cs="Times New Roman"/>
          <w:sz w:val="24"/>
          <w:szCs w:val="24"/>
          <w:lang w:val="hr-HR"/>
        </w:rPr>
      </w:pPr>
      <w:r w:rsidRPr="0001264C">
        <w:rPr>
          <w:rFonts w:ascii="Times New Roman" w:hAnsi="Times New Roman" w:cs="Times New Roman"/>
          <w:sz w:val="24"/>
          <w:szCs w:val="24"/>
          <w:lang w:val="hr-HR"/>
        </w:rPr>
        <w:t xml:space="preserve">Za razliku od proteina NME iz skupine I koje se desetljećima opsežno istraživalo, članovi skupine II do danas su vrlo slabo istraženi. Dostupne informacije o ljudskom proteinu NME6 uglavnom se temelje na tri publikacije s kraja devedesetih godina prošlog stoljeća. Godine 1999. dvije nezavisne skupine prvi su put opisale gen </w:t>
      </w:r>
      <w:r w:rsidRPr="00895725">
        <w:rPr>
          <w:rFonts w:ascii="Times New Roman" w:hAnsi="Times New Roman" w:cs="Times New Roman"/>
          <w:i/>
          <w:sz w:val="24"/>
          <w:szCs w:val="24"/>
          <w:lang w:val="hr-HR"/>
        </w:rPr>
        <w:t>NME6</w:t>
      </w:r>
      <w:r w:rsidRPr="0001264C">
        <w:rPr>
          <w:rFonts w:ascii="Times New Roman" w:hAnsi="Times New Roman" w:cs="Times New Roman"/>
          <w:sz w:val="24"/>
          <w:szCs w:val="24"/>
          <w:lang w:val="hr-HR"/>
        </w:rPr>
        <w:t xml:space="preserve">, međutim opisali su dvije proteinske izoforme koje se međusobno razlikuju u prvih nekoliko aminokiselina. Pitanje postojećih izoformi koje se zaista eksprimiraju u ljudskim stanicama do danas nije riješeno. Slično, iako su aminokiseline koje smatramo važnim za enzimsku strukturu i katalitičku aktivnost proteina NME očuvane u NME6, potencijalna aktivnost NDPK ljudskog NME6 ostala je predmetom rasprave. Čini se da je NME6 smješten u mitohondrijima, iako mu nedostaje uobičajeni slijed koji odvodi proteine u mitohondrij (od engl. </w:t>
      </w:r>
      <w:r w:rsidR="00895725" w:rsidRPr="00895725">
        <w:rPr>
          <w:rFonts w:ascii="Times New Roman" w:hAnsi="Times New Roman" w:cs="Times New Roman"/>
          <w:i/>
          <w:sz w:val="24"/>
          <w:szCs w:val="24"/>
          <w:lang w:val="hr-HR"/>
        </w:rPr>
        <w:t>m</w:t>
      </w:r>
      <w:r w:rsidRPr="00895725">
        <w:rPr>
          <w:rFonts w:ascii="Times New Roman" w:hAnsi="Times New Roman" w:cs="Times New Roman"/>
          <w:i/>
          <w:sz w:val="24"/>
          <w:szCs w:val="24"/>
          <w:lang w:val="hr-HR"/>
        </w:rPr>
        <w:t xml:space="preserve">itochondrial </w:t>
      </w:r>
      <w:r w:rsidR="00895725" w:rsidRPr="00895725">
        <w:rPr>
          <w:rFonts w:ascii="Times New Roman" w:hAnsi="Times New Roman" w:cs="Times New Roman"/>
          <w:i/>
          <w:sz w:val="24"/>
          <w:szCs w:val="24"/>
          <w:lang w:val="hr-HR"/>
        </w:rPr>
        <w:t>t</w:t>
      </w:r>
      <w:r w:rsidRPr="00895725">
        <w:rPr>
          <w:rFonts w:ascii="Times New Roman" w:hAnsi="Times New Roman" w:cs="Times New Roman"/>
          <w:i/>
          <w:sz w:val="24"/>
          <w:szCs w:val="24"/>
          <w:lang w:val="hr-HR"/>
        </w:rPr>
        <w:t xml:space="preserve">argeting </w:t>
      </w:r>
      <w:r w:rsidR="00895725" w:rsidRPr="00895725">
        <w:rPr>
          <w:rFonts w:ascii="Times New Roman" w:hAnsi="Times New Roman" w:cs="Times New Roman"/>
          <w:i/>
          <w:sz w:val="24"/>
          <w:szCs w:val="24"/>
          <w:lang w:val="hr-HR"/>
        </w:rPr>
        <w:t>s</w:t>
      </w:r>
      <w:r w:rsidRPr="00895725">
        <w:rPr>
          <w:rFonts w:ascii="Times New Roman" w:hAnsi="Times New Roman" w:cs="Times New Roman"/>
          <w:i/>
          <w:sz w:val="24"/>
          <w:szCs w:val="24"/>
          <w:lang w:val="hr-HR"/>
        </w:rPr>
        <w:t>equence</w:t>
      </w:r>
      <w:r w:rsidRPr="0001264C">
        <w:rPr>
          <w:rFonts w:ascii="Times New Roman" w:hAnsi="Times New Roman" w:cs="Times New Roman"/>
          <w:sz w:val="24"/>
          <w:szCs w:val="24"/>
          <w:lang w:val="hr-HR"/>
        </w:rPr>
        <w:t xml:space="preserve">, MTS). </w:t>
      </w:r>
    </w:p>
    <w:p w14:paraId="0EA5EB23" w14:textId="7C139151" w:rsidR="0001264C" w:rsidRDefault="0001264C" w:rsidP="0001264C">
      <w:pPr>
        <w:spacing w:line="360" w:lineRule="auto"/>
        <w:jc w:val="both"/>
        <w:rPr>
          <w:rFonts w:ascii="Times New Roman" w:hAnsi="Times New Roman" w:cs="Times New Roman"/>
          <w:sz w:val="24"/>
          <w:szCs w:val="24"/>
          <w:lang w:val="hr-HR"/>
        </w:rPr>
      </w:pPr>
      <w:r w:rsidRPr="00F77B43">
        <w:rPr>
          <w:rFonts w:ascii="Times New Roman" w:hAnsi="Times New Roman" w:cs="Times New Roman"/>
          <w:b/>
          <w:sz w:val="24"/>
          <w:szCs w:val="24"/>
          <w:lang w:val="hr-HR"/>
        </w:rPr>
        <w:t>Cilj:</w:t>
      </w:r>
      <w:r w:rsidRPr="0001264C">
        <w:rPr>
          <w:rFonts w:ascii="Times New Roman" w:hAnsi="Times New Roman" w:cs="Times New Roman"/>
          <w:sz w:val="24"/>
          <w:szCs w:val="24"/>
          <w:lang w:val="hr-HR"/>
        </w:rPr>
        <w:t xml:space="preserve"> Cilj ovog doktorskog rada bio je provesti opsežno istraživanje ljudskog proteina NME6, s naglaskom na stanični i unutarstanični smještaj, aktivnost NDPK, status oligomerizacije, partnere u interakciji, ali i njegov utjecaj na osnovne stanične funkcije kao što su apoptoza, stanični ciklus i mitohondrijsko disanje. </w:t>
      </w:r>
      <w:r w:rsidRPr="00F77B43">
        <w:rPr>
          <w:rFonts w:ascii="Times New Roman" w:hAnsi="Times New Roman" w:cs="Times New Roman"/>
          <w:b/>
          <w:sz w:val="24"/>
          <w:szCs w:val="24"/>
          <w:lang w:val="hr-HR"/>
        </w:rPr>
        <w:t>Metode:</w:t>
      </w:r>
      <w:r w:rsidRPr="0001264C">
        <w:rPr>
          <w:rFonts w:ascii="Times New Roman" w:hAnsi="Times New Roman" w:cs="Times New Roman"/>
          <w:sz w:val="24"/>
          <w:szCs w:val="24"/>
          <w:lang w:val="hr-HR"/>
        </w:rPr>
        <w:t xml:space="preserve"> Kako bi se otkrila dominantna izoforma(e) proteina NME6 i njezin/njihov profil ekspresije, ljudski protein NME6 analizirao sam metodom Western blotting na velikom panelu ljudskih staničnih linija, a koristio sam i spektrometrij</w:t>
      </w:r>
      <w:r w:rsidR="005E024A">
        <w:rPr>
          <w:rFonts w:ascii="Times New Roman" w:hAnsi="Times New Roman" w:cs="Times New Roman"/>
          <w:sz w:val="24"/>
          <w:szCs w:val="24"/>
          <w:lang w:val="hr-HR"/>
        </w:rPr>
        <w:t>u</w:t>
      </w:r>
      <w:r w:rsidRPr="0001264C">
        <w:rPr>
          <w:rFonts w:ascii="Times New Roman" w:hAnsi="Times New Roman" w:cs="Times New Roman"/>
          <w:sz w:val="24"/>
          <w:szCs w:val="24"/>
          <w:lang w:val="hr-HR"/>
        </w:rPr>
        <w:t xml:space="preserve"> masa. Detaljniji opis staničnog smještaja proteina NME6 utvrdio sam konfokalnom mikroskopijom živih i fiksiranih stanica te metodama staničnog frakcioniranja i metodom Western blotting. Enzimska svojstva rekombinantnog proteina NME6 ispitao sam testom za mjerenje aktivnosti NDP kinaze </w:t>
      </w:r>
      <w:r w:rsidRPr="00895725">
        <w:rPr>
          <w:rFonts w:ascii="Times New Roman" w:hAnsi="Times New Roman" w:cs="Times New Roman"/>
          <w:i/>
          <w:sz w:val="24"/>
          <w:szCs w:val="24"/>
          <w:lang w:val="hr-HR"/>
        </w:rPr>
        <w:t>in vitro</w:t>
      </w:r>
      <w:r w:rsidRPr="0001264C">
        <w:rPr>
          <w:rFonts w:ascii="Times New Roman" w:hAnsi="Times New Roman" w:cs="Times New Roman"/>
          <w:sz w:val="24"/>
          <w:szCs w:val="24"/>
          <w:lang w:val="hr-HR"/>
        </w:rPr>
        <w:t xml:space="preserve">. Status oligomerizacije provjerio sam umrežavanjem proteina uz pomoć glutaraldehida, gel filtracijom i ko-imunoprecipitacijom. Kandidate za interakcijske partnere proteina NME6 analizirao sam ko-imunoprecipitacijom. Ulogu NME6 u osnovnim staničnim funkcijama kao što su apoptoza i stanični ciklus ispitao sam metodama protočne citometrije dok sam stanično disanje proučavao uz pomoć oksimetrije. </w:t>
      </w:r>
      <w:r w:rsidRPr="00F77B43">
        <w:rPr>
          <w:rFonts w:ascii="Times New Roman" w:hAnsi="Times New Roman" w:cs="Times New Roman"/>
          <w:b/>
          <w:sz w:val="24"/>
          <w:szCs w:val="24"/>
          <w:lang w:val="hr-HR"/>
        </w:rPr>
        <w:t>Hipoteza:</w:t>
      </w:r>
      <w:r w:rsidRPr="0001264C">
        <w:rPr>
          <w:rFonts w:ascii="Times New Roman" w:hAnsi="Times New Roman" w:cs="Times New Roman"/>
          <w:sz w:val="24"/>
          <w:szCs w:val="24"/>
          <w:lang w:val="hr-HR"/>
        </w:rPr>
        <w:t xml:space="preserve"> Endogeni ljudski protein NME6 eksprimira se u svim staničnim linijama čovjeka različitog podrijetla, u obliku jedne ili obje izoforme opisane u literaturi (194 i/ili 186 </w:t>
      </w:r>
      <w:r w:rsidRPr="0001264C">
        <w:rPr>
          <w:rFonts w:ascii="Times New Roman" w:hAnsi="Times New Roman" w:cs="Times New Roman"/>
          <w:sz w:val="24"/>
          <w:szCs w:val="24"/>
          <w:lang w:val="hr-HR"/>
        </w:rPr>
        <w:lastRenderedPageBreak/>
        <w:t xml:space="preserve">aminokiselina). Protein je smješten u mitohondrijima i vjerojatno stupa u interakciju s drugim mitohondrijskim proteinima iz obitelji NME i/ili s proteinima koji su navedeni u opsežnim analizama proteomskih podataka. NME6 ne posjeduje aktivnost NDPK, ali je uključen u jednu ili nekoliko osnovnih staničnih funkcija. </w:t>
      </w:r>
      <w:r w:rsidRPr="00F77B43">
        <w:rPr>
          <w:rFonts w:ascii="Times New Roman" w:hAnsi="Times New Roman" w:cs="Times New Roman"/>
          <w:b/>
          <w:sz w:val="24"/>
          <w:szCs w:val="24"/>
          <w:lang w:val="hr-HR"/>
        </w:rPr>
        <w:t>Rezultati:</w:t>
      </w:r>
      <w:r w:rsidRPr="0001264C">
        <w:rPr>
          <w:rFonts w:ascii="Times New Roman" w:hAnsi="Times New Roman" w:cs="Times New Roman"/>
          <w:sz w:val="24"/>
          <w:szCs w:val="24"/>
          <w:lang w:val="hr-HR"/>
        </w:rPr>
        <w:t xml:space="preserve"> NME6 se eksprimira u svim staničnim linijama čovjeka koje sam ispitivao i to pretežno kao izoforma od 186 aminokiselina. Utvrdio sam da histidin u NME6 nije fosforiliran te da protein NME6 ne tvori oligomere i ne pokazuje aktivnost NDPK. NME6 je smješten u matriksu mitohondrija i vjerojatno je djelomično u interakciji s MIM-om (od engl. </w:t>
      </w:r>
      <w:r w:rsidR="00797FF4" w:rsidRPr="00797FF4">
        <w:rPr>
          <w:rFonts w:ascii="Times New Roman" w:hAnsi="Times New Roman" w:cs="Times New Roman"/>
          <w:i/>
          <w:sz w:val="24"/>
          <w:szCs w:val="24"/>
          <w:lang w:val="hr-HR"/>
        </w:rPr>
        <w:t>m</w:t>
      </w:r>
      <w:r w:rsidRPr="00797FF4">
        <w:rPr>
          <w:rFonts w:ascii="Times New Roman" w:hAnsi="Times New Roman" w:cs="Times New Roman"/>
          <w:i/>
          <w:sz w:val="24"/>
          <w:szCs w:val="24"/>
          <w:lang w:val="hr-HR"/>
        </w:rPr>
        <w:t xml:space="preserve">itochondrial </w:t>
      </w:r>
      <w:r w:rsidR="00797FF4" w:rsidRPr="00797FF4">
        <w:rPr>
          <w:rFonts w:ascii="Times New Roman" w:hAnsi="Times New Roman" w:cs="Times New Roman"/>
          <w:i/>
          <w:sz w:val="24"/>
          <w:szCs w:val="24"/>
          <w:lang w:val="hr-HR"/>
        </w:rPr>
        <w:t>i</w:t>
      </w:r>
      <w:r w:rsidRPr="00797FF4">
        <w:rPr>
          <w:rFonts w:ascii="Times New Roman" w:hAnsi="Times New Roman" w:cs="Times New Roman"/>
          <w:i/>
          <w:sz w:val="24"/>
          <w:szCs w:val="24"/>
          <w:lang w:val="hr-HR"/>
        </w:rPr>
        <w:t xml:space="preserve">nner </w:t>
      </w:r>
      <w:r w:rsidR="00797FF4" w:rsidRPr="00797FF4">
        <w:rPr>
          <w:rFonts w:ascii="Times New Roman" w:hAnsi="Times New Roman" w:cs="Times New Roman"/>
          <w:i/>
          <w:sz w:val="24"/>
          <w:szCs w:val="24"/>
          <w:lang w:val="hr-HR"/>
        </w:rPr>
        <w:t>m</w:t>
      </w:r>
      <w:r w:rsidRPr="00797FF4">
        <w:rPr>
          <w:rFonts w:ascii="Times New Roman" w:hAnsi="Times New Roman" w:cs="Times New Roman"/>
          <w:i/>
          <w:sz w:val="24"/>
          <w:szCs w:val="24"/>
          <w:lang w:val="hr-HR"/>
        </w:rPr>
        <w:t>embrane</w:t>
      </w:r>
      <w:r w:rsidRPr="0001264C">
        <w:rPr>
          <w:rFonts w:ascii="Times New Roman" w:hAnsi="Times New Roman" w:cs="Times New Roman"/>
          <w:sz w:val="24"/>
          <w:szCs w:val="24"/>
          <w:lang w:val="hr-HR"/>
        </w:rPr>
        <w:t>, MIM) što sam dodatno utvrdio otkrićem interakcije NME6 s RCC1L, proteinom koji je smješten u matriksu, a za kojeg je pokazano da je vezan s mitoribosomima. Promjene u razini NME6 nisu utjecale na apoptozu i stanični ciklus, ali sam utvrdio značajno smanjenje mitohondrijskog disanja uz dodatak ATP-a nakon prekomjerne ekspresije NME6. Istodobno, uočio sam smanjenje razine ekspresije nekih komponenata proteinskih kompleksa oksidativne fosforilacije. Ukratko, pokazao sam da se NME6 u stanici uglavnom nalazi u obliku monomera, nema aktivnost NDP kinaze, smješten je u matriksu mitohondrija te utječe na stanično disanje.</w:t>
      </w:r>
    </w:p>
    <w:p w14:paraId="3F2B97D2" w14:textId="77777777" w:rsidR="009D2153" w:rsidRPr="007A1EDA" w:rsidRDefault="009D2153" w:rsidP="009D2153">
      <w:pPr>
        <w:rPr>
          <w:rFonts w:ascii="Times New Roman" w:hAnsi="Times New Roman" w:cs="Times New Roman"/>
          <w:sz w:val="24"/>
          <w:szCs w:val="24"/>
          <w:lang w:val="hr-HR"/>
        </w:rPr>
      </w:pPr>
    </w:p>
    <w:p w14:paraId="6C5D3E39" w14:textId="4F4FC1DA" w:rsidR="009D2153" w:rsidRPr="007A1EDA" w:rsidRDefault="009D2153" w:rsidP="009D2153">
      <w:pPr>
        <w:rPr>
          <w:rFonts w:ascii="Times New Roman" w:hAnsi="Times New Roman" w:cs="Times New Roman"/>
          <w:sz w:val="24"/>
          <w:szCs w:val="24"/>
          <w:lang w:val="hr-HR"/>
        </w:rPr>
      </w:pPr>
      <w:r w:rsidRPr="007A1EDA">
        <w:rPr>
          <w:rFonts w:ascii="Times New Roman" w:hAnsi="Times New Roman" w:cs="Times New Roman"/>
          <w:sz w:val="24"/>
          <w:szCs w:val="24"/>
          <w:lang w:val="hr-HR"/>
        </w:rPr>
        <w:br w:type="page"/>
      </w:r>
    </w:p>
    <w:sdt>
      <w:sdtPr>
        <w:rPr>
          <w:rFonts w:asciiTheme="minorHAnsi" w:eastAsiaTheme="minorHAnsi" w:hAnsiTheme="minorHAnsi" w:cs="Times New Roman"/>
          <w:b w:val="0"/>
          <w:sz w:val="24"/>
          <w:szCs w:val="24"/>
          <w:u w:val="none"/>
        </w:rPr>
        <w:id w:val="-664006187"/>
        <w:docPartObj>
          <w:docPartGallery w:val="Table of Contents"/>
          <w:docPartUnique/>
        </w:docPartObj>
      </w:sdtPr>
      <w:sdtEndPr>
        <w:rPr>
          <w:bCs/>
          <w:noProof/>
        </w:rPr>
      </w:sdtEndPr>
      <w:sdtContent>
        <w:p w14:paraId="43CEE169" w14:textId="2498FB0B" w:rsidR="00D21920" w:rsidRPr="00F85B37" w:rsidRDefault="002853FD" w:rsidP="00095273">
          <w:pPr>
            <w:pStyle w:val="TOCHeading"/>
            <w:numPr>
              <w:ilvl w:val="0"/>
              <w:numId w:val="0"/>
            </w:numPr>
            <w:spacing w:line="360" w:lineRule="auto"/>
            <w:ind w:left="360"/>
            <w:rPr>
              <w:rFonts w:cs="Times New Roman"/>
              <w:i/>
              <w:sz w:val="24"/>
              <w:szCs w:val="24"/>
              <w:u w:val="none"/>
            </w:rPr>
          </w:pPr>
          <w:r w:rsidRPr="00F85B37">
            <w:rPr>
              <w:rFonts w:eastAsiaTheme="minorHAnsi" w:cs="Times New Roman"/>
              <w:i/>
              <w:sz w:val="24"/>
              <w:szCs w:val="24"/>
              <w:u w:val="none"/>
            </w:rPr>
            <w:t xml:space="preserve">TABLE OF </w:t>
          </w:r>
          <w:r w:rsidRPr="00F85B37">
            <w:rPr>
              <w:rFonts w:cs="Times New Roman"/>
              <w:i/>
              <w:sz w:val="24"/>
              <w:szCs w:val="24"/>
              <w:u w:val="none"/>
            </w:rPr>
            <w:t>CONTENTS</w:t>
          </w:r>
        </w:p>
        <w:p w14:paraId="6EE71818" w14:textId="6B0F90EE" w:rsidR="00F85B37" w:rsidRPr="00F85B37" w:rsidRDefault="006573A8">
          <w:pPr>
            <w:pStyle w:val="TOC1"/>
            <w:tabs>
              <w:tab w:val="left" w:pos="440"/>
              <w:tab w:val="right" w:leader="dot" w:pos="9016"/>
            </w:tabs>
            <w:rPr>
              <w:rFonts w:ascii="Times New Roman" w:eastAsiaTheme="minorEastAsia" w:hAnsi="Times New Roman" w:cs="Times New Roman"/>
              <w:noProof/>
            </w:rPr>
          </w:pPr>
          <w:r w:rsidRPr="00F85B37">
            <w:rPr>
              <w:rFonts w:ascii="Times New Roman" w:hAnsi="Times New Roman" w:cs="Times New Roman"/>
              <w:sz w:val="24"/>
              <w:szCs w:val="24"/>
            </w:rPr>
            <w:fldChar w:fldCharType="begin"/>
          </w:r>
          <w:r w:rsidRPr="00F85B37">
            <w:rPr>
              <w:rFonts w:ascii="Times New Roman" w:hAnsi="Times New Roman" w:cs="Times New Roman"/>
              <w:sz w:val="24"/>
              <w:szCs w:val="24"/>
            </w:rPr>
            <w:instrText xml:space="preserve"> TOC \o "1-4" \h \z \u </w:instrText>
          </w:r>
          <w:r w:rsidRPr="00F85B37">
            <w:rPr>
              <w:rFonts w:ascii="Times New Roman" w:hAnsi="Times New Roman" w:cs="Times New Roman"/>
              <w:sz w:val="24"/>
              <w:szCs w:val="24"/>
            </w:rPr>
            <w:fldChar w:fldCharType="separate"/>
          </w:r>
          <w:hyperlink w:anchor="_Toc117153819" w:history="1">
            <w:r w:rsidR="00F85B37" w:rsidRPr="00F85B37">
              <w:rPr>
                <w:rStyle w:val="Hyperlink"/>
                <w:rFonts w:ascii="Times New Roman" w:hAnsi="Times New Roman" w:cs="Times New Roman"/>
                <w:noProof/>
              </w:rPr>
              <w:t>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INTRODUCTION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_Toc117153819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w:t>
            </w:r>
            <w:r w:rsidR="00F85B37" w:rsidRPr="00F85B37">
              <w:rPr>
                <w:rFonts w:ascii="Times New Roman" w:hAnsi="Times New Roman" w:cs="Times New Roman"/>
                <w:noProof/>
                <w:webHidden/>
              </w:rPr>
              <w:fldChar w:fldCharType="end"/>
            </w:r>
          </w:hyperlink>
        </w:p>
        <w:p w14:paraId="32945651" w14:textId="4F885A2F" w:rsidR="00F85B37" w:rsidRPr="00F85B37" w:rsidRDefault="003D58A7">
          <w:pPr>
            <w:pStyle w:val="TOC1"/>
            <w:tabs>
              <w:tab w:val="left" w:pos="440"/>
              <w:tab w:val="right" w:leader="dot" w:pos="9016"/>
            </w:tabs>
            <w:rPr>
              <w:rFonts w:ascii="Times New Roman" w:eastAsiaTheme="minorEastAsia" w:hAnsi="Times New Roman" w:cs="Times New Roman"/>
              <w:noProof/>
            </w:rPr>
          </w:pPr>
          <w:hyperlink w:anchor="_Toc117153820" w:history="1">
            <w:r w:rsidR="00F85B37" w:rsidRPr="00F85B37">
              <w:rPr>
                <w:rStyle w:val="Hyperlink"/>
                <w:rFonts w:ascii="Times New Roman" w:hAnsi="Times New Roman" w:cs="Times New Roman"/>
                <w:noProof/>
              </w:rPr>
              <w:t>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LITERATURE OVERVIEW</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w:t>
            </w:r>
            <w:r w:rsidR="00F85B37" w:rsidRPr="00F85B37">
              <w:rPr>
                <w:rFonts w:ascii="Times New Roman" w:hAnsi="Times New Roman" w:cs="Times New Roman"/>
                <w:noProof/>
                <w:webHidden/>
              </w:rPr>
              <w:fldChar w:fldCharType="end"/>
            </w:r>
          </w:hyperlink>
        </w:p>
        <w:p w14:paraId="7FC0362B" w14:textId="161E8B6B"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21" w:history="1">
            <w:r w:rsidR="00F85B37" w:rsidRPr="00F85B37">
              <w:rPr>
                <w:rStyle w:val="Hyperlink"/>
                <w:rFonts w:ascii="Times New Roman" w:hAnsi="Times New Roman" w:cs="Times New Roman"/>
                <w:noProof/>
              </w:rPr>
              <w:t>2.1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 and respiration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w:t>
            </w:r>
            <w:r w:rsidR="00F85B37" w:rsidRPr="00F85B37">
              <w:rPr>
                <w:rFonts w:ascii="Times New Roman" w:hAnsi="Times New Roman" w:cs="Times New Roman"/>
                <w:noProof/>
                <w:webHidden/>
              </w:rPr>
              <w:fldChar w:fldCharType="end"/>
            </w:r>
          </w:hyperlink>
        </w:p>
        <w:p w14:paraId="0BEAFA2C" w14:textId="1CED77C8"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22" w:history="1">
            <w:r w:rsidR="00F85B37" w:rsidRPr="00F85B37">
              <w:rPr>
                <w:rStyle w:val="Hyperlink"/>
                <w:rFonts w:ascii="Times New Roman" w:hAnsi="Times New Roman" w:cs="Times New Roman"/>
                <w:noProof/>
              </w:rPr>
              <w:t>2.1.1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Mitochondrial origin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w:t>
            </w:r>
            <w:r w:rsidR="00F85B37" w:rsidRPr="00F85B37">
              <w:rPr>
                <w:rFonts w:ascii="Times New Roman" w:hAnsi="Times New Roman" w:cs="Times New Roman"/>
                <w:noProof/>
                <w:webHidden/>
              </w:rPr>
              <w:fldChar w:fldCharType="end"/>
            </w:r>
          </w:hyperlink>
        </w:p>
        <w:p w14:paraId="508C28D9" w14:textId="518C849B"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23" w:history="1">
            <w:r w:rsidR="00F85B37" w:rsidRPr="00F85B37">
              <w:rPr>
                <w:rStyle w:val="Hyperlink"/>
                <w:rFonts w:ascii="Times New Roman" w:hAnsi="Times New Roman" w:cs="Times New Roman"/>
                <w:noProof/>
              </w:rPr>
              <w:t>2.1.2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Mitochondrial organization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w:t>
            </w:r>
            <w:r w:rsidR="00F85B37" w:rsidRPr="00F85B37">
              <w:rPr>
                <w:rFonts w:ascii="Times New Roman" w:hAnsi="Times New Roman" w:cs="Times New Roman"/>
                <w:noProof/>
                <w:webHidden/>
              </w:rPr>
              <w:fldChar w:fldCharType="end"/>
            </w:r>
          </w:hyperlink>
        </w:p>
        <w:p w14:paraId="2C07F5E2" w14:textId="5C950FD2"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24" w:history="1">
            <w:r w:rsidR="00F85B37" w:rsidRPr="00F85B37">
              <w:rPr>
                <w:rStyle w:val="Hyperlink"/>
                <w:rFonts w:ascii="Times New Roman" w:hAnsi="Times New Roman" w:cs="Times New Roman"/>
                <w:noProof/>
              </w:rPr>
              <w:t>2.1.3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Mitochondrial dynamic</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w:t>
            </w:r>
            <w:r w:rsidR="00F85B37" w:rsidRPr="00F85B37">
              <w:rPr>
                <w:rFonts w:ascii="Times New Roman" w:hAnsi="Times New Roman" w:cs="Times New Roman"/>
                <w:noProof/>
                <w:webHidden/>
              </w:rPr>
              <w:fldChar w:fldCharType="end"/>
            </w:r>
          </w:hyperlink>
        </w:p>
        <w:p w14:paraId="4870ABE7" w14:textId="5B85DF4A"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25" w:history="1">
            <w:r w:rsidR="00F85B37" w:rsidRPr="00F85B37">
              <w:rPr>
                <w:rStyle w:val="Hyperlink"/>
                <w:rFonts w:ascii="Times New Roman" w:hAnsi="Times New Roman" w:cs="Times New Roman"/>
                <w:noProof/>
              </w:rPr>
              <w:t>2.1.4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Mitochondrial genome/proteome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w:t>
            </w:r>
            <w:r w:rsidR="00F85B37" w:rsidRPr="00F85B37">
              <w:rPr>
                <w:rFonts w:ascii="Times New Roman" w:hAnsi="Times New Roman" w:cs="Times New Roman"/>
                <w:noProof/>
                <w:webHidden/>
              </w:rPr>
              <w:fldChar w:fldCharType="end"/>
            </w:r>
          </w:hyperlink>
        </w:p>
        <w:p w14:paraId="257F9DBA" w14:textId="6510EB7A"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26" w:history="1">
            <w:r w:rsidR="00F85B37" w:rsidRPr="00F85B37">
              <w:rPr>
                <w:rStyle w:val="Hyperlink"/>
                <w:rFonts w:ascii="Times New Roman" w:hAnsi="Times New Roman" w:cs="Times New Roman"/>
                <w:noProof/>
              </w:rPr>
              <w:t>2.1.5</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Mitochondrial protein import</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w:t>
            </w:r>
            <w:r w:rsidR="00F85B37" w:rsidRPr="00F85B37">
              <w:rPr>
                <w:rFonts w:ascii="Times New Roman" w:hAnsi="Times New Roman" w:cs="Times New Roman"/>
                <w:noProof/>
                <w:webHidden/>
              </w:rPr>
              <w:fldChar w:fldCharType="end"/>
            </w:r>
          </w:hyperlink>
        </w:p>
        <w:p w14:paraId="2BD2B61F" w14:textId="13D578BE"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27" w:history="1">
            <w:r w:rsidR="00F85B37" w:rsidRPr="00F85B37">
              <w:rPr>
                <w:rStyle w:val="Hyperlink"/>
                <w:rFonts w:ascii="Times New Roman" w:hAnsi="Times New Roman" w:cs="Times New Roman"/>
                <w:noProof/>
              </w:rPr>
              <w:t>2.1.6</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Mitochondrial functions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9</w:t>
            </w:r>
            <w:r w:rsidR="00F85B37" w:rsidRPr="00F85B37">
              <w:rPr>
                <w:rFonts w:ascii="Times New Roman" w:hAnsi="Times New Roman" w:cs="Times New Roman"/>
                <w:noProof/>
                <w:webHidden/>
              </w:rPr>
              <w:fldChar w:fldCharType="end"/>
            </w:r>
          </w:hyperlink>
        </w:p>
        <w:p w14:paraId="4DA19D06" w14:textId="04EC6CD6" w:rsidR="00F85B37" w:rsidRPr="00F85B37" w:rsidRDefault="003D58A7">
          <w:pPr>
            <w:pStyle w:val="TOC4"/>
            <w:tabs>
              <w:tab w:val="left" w:pos="1540"/>
              <w:tab w:val="right" w:leader="dot" w:pos="9016"/>
            </w:tabs>
            <w:rPr>
              <w:rFonts w:ascii="Times New Roman" w:hAnsi="Times New Roman" w:cs="Times New Roman"/>
              <w:noProof/>
            </w:rPr>
          </w:pPr>
          <w:hyperlink w:anchor="_Toc117153828" w:history="1">
            <w:r w:rsidR="00F85B37" w:rsidRPr="00F85B37">
              <w:rPr>
                <w:rStyle w:val="Hyperlink"/>
                <w:rFonts w:ascii="Times New Roman" w:hAnsi="Times New Roman" w:cs="Times New Roman"/>
                <w:noProof/>
              </w:rPr>
              <w:t>2.1.6.1</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Apoptosis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10</w:t>
            </w:r>
            <w:r w:rsidR="00F85B37" w:rsidRPr="00F85B37">
              <w:rPr>
                <w:rFonts w:ascii="Times New Roman" w:hAnsi="Times New Roman" w:cs="Times New Roman"/>
                <w:noProof/>
                <w:webHidden/>
              </w:rPr>
              <w:fldChar w:fldCharType="end"/>
            </w:r>
          </w:hyperlink>
        </w:p>
        <w:p w14:paraId="4C11E03F" w14:textId="262CE916" w:rsidR="00F85B37" w:rsidRPr="00F85B37" w:rsidRDefault="003D58A7">
          <w:pPr>
            <w:pStyle w:val="TOC4"/>
            <w:tabs>
              <w:tab w:val="left" w:pos="1540"/>
              <w:tab w:val="right" w:leader="dot" w:pos="9016"/>
            </w:tabs>
            <w:rPr>
              <w:rFonts w:ascii="Times New Roman" w:hAnsi="Times New Roman" w:cs="Times New Roman"/>
              <w:noProof/>
            </w:rPr>
          </w:pPr>
          <w:hyperlink w:anchor="_Toc117153829" w:history="1">
            <w:r w:rsidR="00F85B37" w:rsidRPr="00F85B37">
              <w:rPr>
                <w:rStyle w:val="Hyperlink"/>
                <w:rFonts w:ascii="Times New Roman" w:hAnsi="Times New Roman" w:cs="Times New Roman"/>
                <w:noProof/>
              </w:rPr>
              <w:t>2.1.6.2</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Aerobic respiration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_Toc117153829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11</w:t>
            </w:r>
            <w:r w:rsidR="00F85B37" w:rsidRPr="00F85B37">
              <w:rPr>
                <w:rFonts w:ascii="Times New Roman" w:hAnsi="Times New Roman" w:cs="Times New Roman"/>
                <w:noProof/>
                <w:webHidden/>
              </w:rPr>
              <w:fldChar w:fldCharType="end"/>
            </w:r>
          </w:hyperlink>
        </w:p>
        <w:p w14:paraId="64D4AE65" w14:textId="761F7DBD"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30" w:history="1">
            <w:r w:rsidR="00F85B37" w:rsidRPr="00F85B37">
              <w:rPr>
                <w:rStyle w:val="Hyperlink"/>
                <w:rFonts w:ascii="Times New Roman" w:hAnsi="Times New Roman" w:cs="Times New Roman"/>
                <w:noProof/>
              </w:rPr>
              <w:t>2.2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NDPK activity</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13</w:t>
            </w:r>
            <w:r w:rsidR="00F85B37" w:rsidRPr="00F85B37">
              <w:rPr>
                <w:rFonts w:ascii="Times New Roman" w:hAnsi="Times New Roman" w:cs="Times New Roman"/>
                <w:noProof/>
                <w:webHidden/>
              </w:rPr>
              <w:fldChar w:fldCharType="end"/>
            </w:r>
          </w:hyperlink>
        </w:p>
        <w:p w14:paraId="4E334CE8" w14:textId="19C17A69"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31" w:history="1">
            <w:r w:rsidR="00F85B37" w:rsidRPr="00F85B37">
              <w:rPr>
                <w:rStyle w:val="Hyperlink"/>
                <w:rFonts w:ascii="Times New Roman" w:hAnsi="Times New Roman" w:cs="Times New Roman"/>
                <w:noProof/>
              </w:rPr>
              <w:t>2.3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Human NME family</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18</w:t>
            </w:r>
            <w:r w:rsidR="00F85B37" w:rsidRPr="00F85B37">
              <w:rPr>
                <w:rFonts w:ascii="Times New Roman" w:hAnsi="Times New Roman" w:cs="Times New Roman"/>
                <w:noProof/>
                <w:webHidden/>
              </w:rPr>
              <w:fldChar w:fldCharType="end"/>
            </w:r>
          </w:hyperlink>
        </w:p>
        <w:p w14:paraId="211A2F8F" w14:textId="3B812D7A"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32" w:history="1">
            <w:r w:rsidR="00F85B37" w:rsidRPr="00F85B37">
              <w:rPr>
                <w:rStyle w:val="Hyperlink"/>
                <w:rFonts w:ascii="Times New Roman" w:hAnsi="Times New Roman" w:cs="Times New Roman"/>
                <w:noProof/>
              </w:rPr>
              <w:t>2.4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Human NME6 protein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21</w:t>
            </w:r>
            <w:r w:rsidR="00F85B37" w:rsidRPr="00F85B37">
              <w:rPr>
                <w:rFonts w:ascii="Times New Roman" w:hAnsi="Times New Roman" w:cs="Times New Roman"/>
                <w:noProof/>
                <w:webHidden/>
              </w:rPr>
              <w:fldChar w:fldCharType="end"/>
            </w:r>
          </w:hyperlink>
        </w:p>
        <w:p w14:paraId="049F3B2C" w14:textId="41BF26C6"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33" w:history="1">
            <w:r w:rsidR="00F85B37" w:rsidRPr="00F85B37">
              <w:rPr>
                <w:rStyle w:val="Hyperlink"/>
                <w:rFonts w:ascii="Times New Roman" w:hAnsi="Times New Roman" w:cs="Times New Roman"/>
                <w:noProof/>
              </w:rPr>
              <w:t>2.5</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RCC1L protein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26</w:t>
            </w:r>
            <w:r w:rsidR="00F85B37" w:rsidRPr="00F85B37">
              <w:rPr>
                <w:rFonts w:ascii="Times New Roman" w:hAnsi="Times New Roman" w:cs="Times New Roman"/>
                <w:noProof/>
                <w:webHidden/>
              </w:rPr>
              <w:fldChar w:fldCharType="end"/>
            </w:r>
          </w:hyperlink>
        </w:p>
        <w:p w14:paraId="6BADBFA1" w14:textId="3FD50706" w:rsidR="00F85B37" w:rsidRPr="00F85B37" w:rsidRDefault="003D58A7">
          <w:pPr>
            <w:pStyle w:val="TOC1"/>
            <w:tabs>
              <w:tab w:val="left" w:pos="440"/>
              <w:tab w:val="right" w:leader="dot" w:pos="9016"/>
            </w:tabs>
            <w:rPr>
              <w:rFonts w:ascii="Times New Roman" w:eastAsiaTheme="minorEastAsia" w:hAnsi="Times New Roman" w:cs="Times New Roman"/>
              <w:noProof/>
            </w:rPr>
          </w:pPr>
          <w:hyperlink w:anchor="_Toc117153834" w:history="1">
            <w:r w:rsidR="00F85B37" w:rsidRPr="00F85B37">
              <w:rPr>
                <w:rStyle w:val="Hyperlink"/>
                <w:rFonts w:ascii="Times New Roman" w:hAnsi="Times New Roman" w:cs="Times New Roman"/>
                <w:noProof/>
              </w:rPr>
              <w:t>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MATERIALS AND METHODS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28</w:t>
            </w:r>
            <w:r w:rsidR="00F85B37" w:rsidRPr="00F85B37">
              <w:rPr>
                <w:rFonts w:ascii="Times New Roman" w:hAnsi="Times New Roman" w:cs="Times New Roman"/>
                <w:noProof/>
                <w:webHidden/>
              </w:rPr>
              <w:fldChar w:fldCharType="end"/>
            </w:r>
          </w:hyperlink>
        </w:p>
        <w:p w14:paraId="039D699F" w14:textId="368F9116"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35" w:history="1">
            <w:r w:rsidR="00F85B37" w:rsidRPr="00F85B37">
              <w:rPr>
                <w:rStyle w:val="Hyperlink"/>
                <w:rFonts w:ascii="Times New Roman" w:hAnsi="Times New Roman" w:cs="Times New Roman"/>
                <w:noProof/>
              </w:rPr>
              <w:t>3.1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Materials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28</w:t>
            </w:r>
            <w:r w:rsidR="00F85B37" w:rsidRPr="00F85B37">
              <w:rPr>
                <w:rFonts w:ascii="Times New Roman" w:hAnsi="Times New Roman" w:cs="Times New Roman"/>
                <w:noProof/>
                <w:webHidden/>
              </w:rPr>
              <w:fldChar w:fldCharType="end"/>
            </w:r>
          </w:hyperlink>
        </w:p>
        <w:p w14:paraId="48E99C0D" w14:textId="6857AF8C"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36" w:history="1">
            <w:r w:rsidR="00F85B37" w:rsidRPr="00F85B37">
              <w:rPr>
                <w:rStyle w:val="Hyperlink"/>
                <w:rFonts w:ascii="Times New Roman" w:hAnsi="Times New Roman" w:cs="Times New Roman"/>
                <w:noProof/>
              </w:rPr>
              <w:t>3.1.1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Chemicals and buffers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28</w:t>
            </w:r>
            <w:r w:rsidR="00F85B37" w:rsidRPr="00F85B37">
              <w:rPr>
                <w:rFonts w:ascii="Times New Roman" w:hAnsi="Times New Roman" w:cs="Times New Roman"/>
                <w:noProof/>
                <w:webHidden/>
              </w:rPr>
              <w:fldChar w:fldCharType="end"/>
            </w:r>
          </w:hyperlink>
        </w:p>
        <w:p w14:paraId="45148DC4" w14:textId="40198492"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37" w:history="1">
            <w:r w:rsidR="00F85B37" w:rsidRPr="00F85B37">
              <w:rPr>
                <w:rStyle w:val="Hyperlink"/>
                <w:rFonts w:ascii="Times New Roman" w:hAnsi="Times New Roman" w:cs="Times New Roman"/>
                <w:noProof/>
              </w:rPr>
              <w:t>3.1.2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Instruments and material</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32</w:t>
            </w:r>
            <w:r w:rsidR="00F85B37" w:rsidRPr="00F85B37">
              <w:rPr>
                <w:rFonts w:ascii="Times New Roman" w:hAnsi="Times New Roman" w:cs="Times New Roman"/>
                <w:noProof/>
                <w:webHidden/>
              </w:rPr>
              <w:fldChar w:fldCharType="end"/>
            </w:r>
          </w:hyperlink>
        </w:p>
        <w:p w14:paraId="408F7963" w14:textId="00E97D32"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38" w:history="1">
            <w:r w:rsidR="00F85B37" w:rsidRPr="00F85B37">
              <w:rPr>
                <w:rStyle w:val="Hyperlink"/>
                <w:rFonts w:ascii="Times New Roman" w:hAnsi="Times New Roman" w:cs="Times New Roman"/>
                <w:noProof/>
              </w:rPr>
              <w:t>3.1.3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Commercial products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33</w:t>
            </w:r>
            <w:r w:rsidR="00F85B37" w:rsidRPr="00F85B37">
              <w:rPr>
                <w:rFonts w:ascii="Times New Roman" w:hAnsi="Times New Roman" w:cs="Times New Roman"/>
                <w:noProof/>
                <w:webHidden/>
              </w:rPr>
              <w:fldChar w:fldCharType="end"/>
            </w:r>
          </w:hyperlink>
        </w:p>
        <w:p w14:paraId="5B3094FE" w14:textId="0306915F"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39" w:history="1">
            <w:r w:rsidR="00F85B37" w:rsidRPr="00F85B37">
              <w:rPr>
                <w:rStyle w:val="Hyperlink"/>
                <w:rFonts w:ascii="Times New Roman" w:hAnsi="Times New Roman" w:cs="Times New Roman"/>
                <w:noProof/>
              </w:rPr>
              <w:t>3.1.4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Cell culture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_Toc117153839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37</w:t>
            </w:r>
            <w:r w:rsidR="00F85B37" w:rsidRPr="00F85B37">
              <w:rPr>
                <w:rFonts w:ascii="Times New Roman" w:hAnsi="Times New Roman" w:cs="Times New Roman"/>
                <w:noProof/>
                <w:webHidden/>
              </w:rPr>
              <w:fldChar w:fldCharType="end"/>
            </w:r>
          </w:hyperlink>
        </w:p>
        <w:p w14:paraId="71D0BFCB" w14:textId="13902E54"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40" w:history="1">
            <w:r w:rsidR="00F85B37" w:rsidRPr="00F85B37">
              <w:rPr>
                <w:rStyle w:val="Hyperlink"/>
                <w:rFonts w:ascii="Times New Roman" w:hAnsi="Times New Roman" w:cs="Times New Roman"/>
                <w:noProof/>
              </w:rPr>
              <w:t>3.1.5</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Plasmids, primers and silencers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40</w:t>
            </w:r>
            <w:r w:rsidR="00F85B37" w:rsidRPr="00F85B37">
              <w:rPr>
                <w:rFonts w:ascii="Times New Roman" w:hAnsi="Times New Roman" w:cs="Times New Roman"/>
                <w:noProof/>
                <w:webHidden/>
              </w:rPr>
              <w:fldChar w:fldCharType="end"/>
            </w:r>
          </w:hyperlink>
        </w:p>
        <w:p w14:paraId="705AC1AF" w14:textId="52FE9979"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41" w:history="1">
            <w:r w:rsidR="00F85B37" w:rsidRPr="00F85B37">
              <w:rPr>
                <w:rStyle w:val="Hyperlink"/>
                <w:rFonts w:ascii="Times New Roman" w:hAnsi="Times New Roman" w:cs="Times New Roman"/>
                <w:noProof/>
              </w:rPr>
              <w:t>3.1.6</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Software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42</w:t>
            </w:r>
            <w:r w:rsidR="00F85B37" w:rsidRPr="00F85B37">
              <w:rPr>
                <w:rFonts w:ascii="Times New Roman" w:hAnsi="Times New Roman" w:cs="Times New Roman"/>
                <w:noProof/>
                <w:webHidden/>
              </w:rPr>
              <w:fldChar w:fldCharType="end"/>
            </w:r>
          </w:hyperlink>
        </w:p>
        <w:p w14:paraId="64C548FD" w14:textId="760E2CDA"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42" w:history="1">
            <w:r w:rsidR="00F85B37" w:rsidRPr="00F85B37">
              <w:rPr>
                <w:rStyle w:val="Hyperlink"/>
                <w:rFonts w:ascii="Times New Roman" w:hAnsi="Times New Roman" w:cs="Times New Roman"/>
                <w:noProof/>
              </w:rPr>
              <w:t>3.2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Methods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43</w:t>
            </w:r>
            <w:r w:rsidR="00F85B37" w:rsidRPr="00F85B37">
              <w:rPr>
                <w:rFonts w:ascii="Times New Roman" w:hAnsi="Times New Roman" w:cs="Times New Roman"/>
                <w:noProof/>
                <w:webHidden/>
              </w:rPr>
              <w:fldChar w:fldCharType="end"/>
            </w:r>
          </w:hyperlink>
        </w:p>
        <w:p w14:paraId="7F8DF9D5" w14:textId="13A597F9"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43" w:history="1">
            <w:r w:rsidR="00F85B37" w:rsidRPr="00F85B37">
              <w:rPr>
                <w:rStyle w:val="Hyperlink"/>
                <w:rFonts w:ascii="Times New Roman" w:hAnsi="Times New Roman" w:cs="Times New Roman"/>
                <w:noProof/>
              </w:rPr>
              <w:t>3.2.1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Preparation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43</w:t>
            </w:r>
            <w:r w:rsidR="00F85B37" w:rsidRPr="00F85B37">
              <w:rPr>
                <w:rFonts w:ascii="Times New Roman" w:hAnsi="Times New Roman" w:cs="Times New Roman"/>
                <w:noProof/>
                <w:webHidden/>
              </w:rPr>
              <w:fldChar w:fldCharType="end"/>
            </w:r>
          </w:hyperlink>
        </w:p>
        <w:p w14:paraId="04B65E1D" w14:textId="1BDF028F" w:rsidR="00F85B37" w:rsidRPr="00F85B37" w:rsidRDefault="003D58A7">
          <w:pPr>
            <w:pStyle w:val="TOC4"/>
            <w:tabs>
              <w:tab w:val="left" w:pos="1540"/>
              <w:tab w:val="right" w:leader="dot" w:pos="9016"/>
            </w:tabs>
            <w:rPr>
              <w:rFonts w:ascii="Times New Roman" w:hAnsi="Times New Roman" w:cs="Times New Roman"/>
              <w:noProof/>
            </w:rPr>
          </w:pPr>
          <w:hyperlink w:anchor="_Toc117153844" w:history="1">
            <w:r w:rsidR="00F85B37" w:rsidRPr="00F85B37">
              <w:rPr>
                <w:rStyle w:val="Hyperlink"/>
                <w:rFonts w:ascii="Times New Roman" w:hAnsi="Times New Roman" w:cs="Times New Roman"/>
                <w:noProof/>
              </w:rPr>
              <w:t>3.2.1.1</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Cloning of specific plasmids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43</w:t>
            </w:r>
            <w:r w:rsidR="00F85B37" w:rsidRPr="00F85B37">
              <w:rPr>
                <w:rFonts w:ascii="Times New Roman" w:hAnsi="Times New Roman" w:cs="Times New Roman"/>
                <w:noProof/>
                <w:webHidden/>
              </w:rPr>
              <w:fldChar w:fldCharType="end"/>
            </w:r>
          </w:hyperlink>
        </w:p>
        <w:p w14:paraId="63452A37" w14:textId="077AD693" w:rsidR="00F85B37" w:rsidRPr="00F85B37" w:rsidRDefault="003D58A7">
          <w:pPr>
            <w:pStyle w:val="TOC4"/>
            <w:tabs>
              <w:tab w:val="left" w:pos="1540"/>
              <w:tab w:val="right" w:leader="dot" w:pos="9016"/>
            </w:tabs>
            <w:rPr>
              <w:rFonts w:ascii="Times New Roman" w:hAnsi="Times New Roman" w:cs="Times New Roman"/>
              <w:noProof/>
            </w:rPr>
          </w:pPr>
          <w:hyperlink w:anchor="_Toc117153845" w:history="1">
            <w:r w:rsidR="00F85B37" w:rsidRPr="00F85B37">
              <w:rPr>
                <w:rStyle w:val="Hyperlink"/>
                <w:rFonts w:ascii="Times New Roman" w:hAnsi="Times New Roman" w:cs="Times New Roman"/>
                <w:noProof/>
              </w:rPr>
              <w:t>3.2.1.2</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Transformation of bacteria by electroporation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46</w:t>
            </w:r>
            <w:r w:rsidR="00F85B37" w:rsidRPr="00F85B37">
              <w:rPr>
                <w:rFonts w:ascii="Times New Roman" w:hAnsi="Times New Roman" w:cs="Times New Roman"/>
                <w:noProof/>
                <w:webHidden/>
              </w:rPr>
              <w:fldChar w:fldCharType="end"/>
            </w:r>
          </w:hyperlink>
        </w:p>
        <w:p w14:paraId="6F717C36" w14:textId="50B95608" w:rsidR="00F85B37" w:rsidRPr="00F85B37" w:rsidRDefault="003D58A7">
          <w:pPr>
            <w:pStyle w:val="TOC4"/>
            <w:tabs>
              <w:tab w:val="left" w:pos="1540"/>
              <w:tab w:val="right" w:leader="dot" w:pos="9016"/>
            </w:tabs>
            <w:rPr>
              <w:rFonts w:ascii="Times New Roman" w:hAnsi="Times New Roman" w:cs="Times New Roman"/>
              <w:noProof/>
            </w:rPr>
          </w:pPr>
          <w:hyperlink w:anchor="_Toc117153846" w:history="1">
            <w:r w:rsidR="00F85B37" w:rsidRPr="00F85B37">
              <w:rPr>
                <w:rStyle w:val="Hyperlink"/>
                <w:rFonts w:ascii="Times New Roman" w:hAnsi="Times New Roman" w:cs="Times New Roman"/>
                <w:noProof/>
              </w:rPr>
              <w:t>3.2.1.3</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Production of recombinant proteins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47</w:t>
            </w:r>
            <w:r w:rsidR="00F85B37" w:rsidRPr="00F85B37">
              <w:rPr>
                <w:rFonts w:ascii="Times New Roman" w:hAnsi="Times New Roman" w:cs="Times New Roman"/>
                <w:noProof/>
                <w:webHidden/>
              </w:rPr>
              <w:fldChar w:fldCharType="end"/>
            </w:r>
          </w:hyperlink>
        </w:p>
        <w:p w14:paraId="6FB70399" w14:textId="4DC4BC60"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47" w:history="1">
            <w:r w:rsidR="00F85B37" w:rsidRPr="00F85B37">
              <w:rPr>
                <w:rStyle w:val="Hyperlink"/>
                <w:rFonts w:ascii="Times New Roman" w:hAnsi="Times New Roman" w:cs="Times New Roman"/>
                <w:noProof/>
              </w:rPr>
              <w:t>3.2.2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Cell culture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49</w:t>
            </w:r>
            <w:r w:rsidR="00F85B37" w:rsidRPr="00F85B37">
              <w:rPr>
                <w:rFonts w:ascii="Times New Roman" w:hAnsi="Times New Roman" w:cs="Times New Roman"/>
                <w:noProof/>
                <w:webHidden/>
              </w:rPr>
              <w:fldChar w:fldCharType="end"/>
            </w:r>
          </w:hyperlink>
        </w:p>
        <w:p w14:paraId="5B11F8A5" w14:textId="4383389A" w:rsidR="00F85B37" w:rsidRPr="00F85B37" w:rsidRDefault="003D58A7">
          <w:pPr>
            <w:pStyle w:val="TOC4"/>
            <w:tabs>
              <w:tab w:val="left" w:pos="1540"/>
              <w:tab w:val="right" w:leader="dot" w:pos="9016"/>
            </w:tabs>
            <w:rPr>
              <w:rFonts w:ascii="Times New Roman" w:hAnsi="Times New Roman" w:cs="Times New Roman"/>
              <w:noProof/>
            </w:rPr>
          </w:pPr>
          <w:hyperlink w:anchor="_Toc117153848" w:history="1">
            <w:r w:rsidR="00F85B37" w:rsidRPr="00F85B37">
              <w:rPr>
                <w:rStyle w:val="Hyperlink"/>
                <w:rFonts w:ascii="Times New Roman" w:hAnsi="Times New Roman" w:cs="Times New Roman"/>
                <w:noProof/>
              </w:rPr>
              <w:t>3.2.2.1</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Culture of cells in sterile conditions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49</w:t>
            </w:r>
            <w:r w:rsidR="00F85B37" w:rsidRPr="00F85B37">
              <w:rPr>
                <w:rFonts w:ascii="Times New Roman" w:hAnsi="Times New Roman" w:cs="Times New Roman"/>
                <w:noProof/>
                <w:webHidden/>
              </w:rPr>
              <w:fldChar w:fldCharType="end"/>
            </w:r>
          </w:hyperlink>
        </w:p>
        <w:p w14:paraId="5B7CB9B7" w14:textId="3E2984DF" w:rsidR="00F85B37" w:rsidRPr="00F85B37" w:rsidRDefault="003D58A7">
          <w:pPr>
            <w:pStyle w:val="TOC4"/>
            <w:tabs>
              <w:tab w:val="left" w:pos="1540"/>
              <w:tab w:val="right" w:leader="dot" w:pos="9016"/>
            </w:tabs>
            <w:rPr>
              <w:rFonts w:ascii="Times New Roman" w:hAnsi="Times New Roman" w:cs="Times New Roman"/>
              <w:noProof/>
            </w:rPr>
          </w:pPr>
          <w:hyperlink w:anchor="_Toc117153849" w:history="1">
            <w:r w:rsidR="00F85B37" w:rsidRPr="00F85B37">
              <w:rPr>
                <w:rStyle w:val="Hyperlink"/>
                <w:rFonts w:ascii="Times New Roman" w:hAnsi="Times New Roman" w:cs="Times New Roman"/>
                <w:noProof/>
              </w:rPr>
              <w:t>3.2.2.2</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Maintenance/collection of cells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_Toc117153849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49</w:t>
            </w:r>
            <w:r w:rsidR="00F85B37" w:rsidRPr="00F85B37">
              <w:rPr>
                <w:rFonts w:ascii="Times New Roman" w:hAnsi="Times New Roman" w:cs="Times New Roman"/>
                <w:noProof/>
                <w:webHidden/>
              </w:rPr>
              <w:fldChar w:fldCharType="end"/>
            </w:r>
          </w:hyperlink>
        </w:p>
        <w:p w14:paraId="5AED9146" w14:textId="6854E7D2" w:rsidR="00F85B37" w:rsidRPr="00F85B37" w:rsidRDefault="003D58A7">
          <w:pPr>
            <w:pStyle w:val="TOC4"/>
            <w:tabs>
              <w:tab w:val="left" w:pos="1540"/>
              <w:tab w:val="right" w:leader="dot" w:pos="9016"/>
            </w:tabs>
            <w:rPr>
              <w:rFonts w:ascii="Times New Roman" w:hAnsi="Times New Roman" w:cs="Times New Roman"/>
              <w:noProof/>
            </w:rPr>
          </w:pPr>
          <w:hyperlink w:anchor="_Toc117153850" w:history="1">
            <w:r w:rsidR="00F85B37" w:rsidRPr="00F85B37">
              <w:rPr>
                <w:rStyle w:val="Hyperlink"/>
                <w:rFonts w:ascii="Times New Roman" w:hAnsi="Times New Roman" w:cs="Times New Roman"/>
                <w:noProof/>
              </w:rPr>
              <w:t>3.2.2.3</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Freezing and thawing cells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50</w:t>
            </w:r>
            <w:r w:rsidR="00F85B37" w:rsidRPr="00F85B37">
              <w:rPr>
                <w:rFonts w:ascii="Times New Roman" w:hAnsi="Times New Roman" w:cs="Times New Roman"/>
                <w:noProof/>
                <w:webHidden/>
              </w:rPr>
              <w:fldChar w:fldCharType="end"/>
            </w:r>
          </w:hyperlink>
        </w:p>
        <w:p w14:paraId="66EB0491" w14:textId="4D29A8A9" w:rsidR="00F85B37" w:rsidRPr="00F85B37" w:rsidRDefault="003D58A7">
          <w:pPr>
            <w:pStyle w:val="TOC4"/>
            <w:tabs>
              <w:tab w:val="left" w:pos="1540"/>
              <w:tab w:val="right" w:leader="dot" w:pos="9016"/>
            </w:tabs>
            <w:rPr>
              <w:rFonts w:ascii="Times New Roman" w:hAnsi="Times New Roman" w:cs="Times New Roman"/>
              <w:noProof/>
            </w:rPr>
          </w:pPr>
          <w:hyperlink w:anchor="_Toc117153851" w:history="1">
            <w:r w:rsidR="00F85B37" w:rsidRPr="00F85B37">
              <w:rPr>
                <w:rStyle w:val="Hyperlink"/>
                <w:rFonts w:ascii="Times New Roman" w:hAnsi="Times New Roman" w:cs="Times New Roman"/>
                <w:noProof/>
              </w:rPr>
              <w:t>3.2.2.4</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Counting cells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50</w:t>
            </w:r>
            <w:r w:rsidR="00F85B37" w:rsidRPr="00F85B37">
              <w:rPr>
                <w:rFonts w:ascii="Times New Roman" w:hAnsi="Times New Roman" w:cs="Times New Roman"/>
                <w:noProof/>
                <w:webHidden/>
              </w:rPr>
              <w:fldChar w:fldCharType="end"/>
            </w:r>
          </w:hyperlink>
        </w:p>
        <w:p w14:paraId="611B1C38" w14:textId="71D8273E" w:rsidR="00F85B37" w:rsidRPr="00F85B37" w:rsidRDefault="003D58A7">
          <w:pPr>
            <w:pStyle w:val="TOC4"/>
            <w:tabs>
              <w:tab w:val="left" w:pos="1540"/>
              <w:tab w:val="right" w:leader="dot" w:pos="9016"/>
            </w:tabs>
            <w:rPr>
              <w:rFonts w:ascii="Times New Roman" w:hAnsi="Times New Roman" w:cs="Times New Roman"/>
              <w:noProof/>
            </w:rPr>
          </w:pPr>
          <w:hyperlink w:anchor="_Toc117153852" w:history="1">
            <w:r w:rsidR="00F85B37" w:rsidRPr="00F85B37">
              <w:rPr>
                <w:rStyle w:val="Hyperlink"/>
                <w:rFonts w:ascii="Times New Roman" w:hAnsi="Times New Roman" w:cs="Times New Roman"/>
                <w:noProof/>
              </w:rPr>
              <w:t>3.2.2.5</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Transfection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50</w:t>
            </w:r>
            <w:r w:rsidR="00F85B37" w:rsidRPr="00F85B37">
              <w:rPr>
                <w:rFonts w:ascii="Times New Roman" w:hAnsi="Times New Roman" w:cs="Times New Roman"/>
                <w:noProof/>
                <w:webHidden/>
              </w:rPr>
              <w:fldChar w:fldCharType="end"/>
            </w:r>
          </w:hyperlink>
        </w:p>
        <w:p w14:paraId="68167F9C" w14:textId="19EC641B" w:rsidR="00F85B37" w:rsidRPr="00F85B37" w:rsidRDefault="003D58A7">
          <w:pPr>
            <w:pStyle w:val="TOC4"/>
            <w:tabs>
              <w:tab w:val="left" w:pos="1540"/>
              <w:tab w:val="right" w:leader="dot" w:pos="9016"/>
            </w:tabs>
            <w:rPr>
              <w:rFonts w:ascii="Times New Roman" w:hAnsi="Times New Roman" w:cs="Times New Roman"/>
              <w:noProof/>
            </w:rPr>
          </w:pPr>
          <w:hyperlink w:anchor="_Toc117153853" w:history="1">
            <w:r w:rsidR="00F85B37" w:rsidRPr="00F85B37">
              <w:rPr>
                <w:rStyle w:val="Hyperlink"/>
                <w:rFonts w:ascii="Times New Roman" w:hAnsi="Times New Roman" w:cs="Times New Roman"/>
                <w:noProof/>
              </w:rPr>
              <w:t>3.2.2.6</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Silencing</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51</w:t>
            </w:r>
            <w:r w:rsidR="00F85B37" w:rsidRPr="00F85B37">
              <w:rPr>
                <w:rFonts w:ascii="Times New Roman" w:hAnsi="Times New Roman" w:cs="Times New Roman"/>
                <w:noProof/>
                <w:webHidden/>
              </w:rPr>
              <w:fldChar w:fldCharType="end"/>
            </w:r>
          </w:hyperlink>
        </w:p>
        <w:p w14:paraId="422A79C2" w14:textId="38DF082B" w:rsidR="00F85B37" w:rsidRPr="00F85B37" w:rsidRDefault="003D58A7">
          <w:pPr>
            <w:pStyle w:val="TOC4"/>
            <w:tabs>
              <w:tab w:val="left" w:pos="1540"/>
              <w:tab w:val="right" w:leader="dot" w:pos="9016"/>
            </w:tabs>
            <w:rPr>
              <w:rFonts w:ascii="Times New Roman" w:hAnsi="Times New Roman" w:cs="Times New Roman"/>
              <w:noProof/>
            </w:rPr>
          </w:pPr>
          <w:hyperlink w:anchor="_Toc117153854" w:history="1">
            <w:r w:rsidR="00F85B37" w:rsidRPr="00F85B37">
              <w:rPr>
                <w:rStyle w:val="Hyperlink"/>
                <w:rFonts w:ascii="Times New Roman" w:hAnsi="Times New Roman" w:cs="Times New Roman"/>
                <w:noProof/>
              </w:rPr>
              <w:t>3.2.2.7</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Production of NME6-KI (Knock-In) and NME6-KO (Knockout) clones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51</w:t>
            </w:r>
            <w:r w:rsidR="00F85B37" w:rsidRPr="00F85B37">
              <w:rPr>
                <w:rFonts w:ascii="Times New Roman" w:hAnsi="Times New Roman" w:cs="Times New Roman"/>
                <w:noProof/>
                <w:webHidden/>
              </w:rPr>
              <w:fldChar w:fldCharType="end"/>
            </w:r>
          </w:hyperlink>
        </w:p>
        <w:p w14:paraId="728DEB81" w14:textId="0FA30937"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55" w:history="1">
            <w:r w:rsidR="00F85B37" w:rsidRPr="00F85B37">
              <w:rPr>
                <w:rStyle w:val="Hyperlink"/>
                <w:rFonts w:ascii="Times New Roman" w:hAnsi="Times New Roman" w:cs="Times New Roman"/>
                <w:noProof/>
              </w:rPr>
              <w:t>3.2.3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Protein analysis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54</w:t>
            </w:r>
            <w:r w:rsidR="00F85B37" w:rsidRPr="00F85B37">
              <w:rPr>
                <w:rFonts w:ascii="Times New Roman" w:hAnsi="Times New Roman" w:cs="Times New Roman"/>
                <w:noProof/>
                <w:webHidden/>
              </w:rPr>
              <w:fldChar w:fldCharType="end"/>
            </w:r>
          </w:hyperlink>
        </w:p>
        <w:p w14:paraId="4990A082" w14:textId="2AEA6433" w:rsidR="00F85B37" w:rsidRPr="00F85B37" w:rsidRDefault="003D58A7">
          <w:pPr>
            <w:pStyle w:val="TOC4"/>
            <w:tabs>
              <w:tab w:val="left" w:pos="1540"/>
              <w:tab w:val="right" w:leader="dot" w:pos="9016"/>
            </w:tabs>
            <w:rPr>
              <w:rFonts w:ascii="Times New Roman" w:hAnsi="Times New Roman" w:cs="Times New Roman"/>
              <w:noProof/>
            </w:rPr>
          </w:pPr>
          <w:hyperlink w:anchor="_Toc117153856" w:history="1">
            <w:r w:rsidR="00F85B37" w:rsidRPr="00F85B37">
              <w:rPr>
                <w:rStyle w:val="Hyperlink"/>
                <w:rFonts w:ascii="Times New Roman" w:hAnsi="Times New Roman" w:cs="Times New Roman"/>
                <w:noProof/>
              </w:rPr>
              <w:t>3.2.3.1</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Cell lysate preparation for Western blot analysis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54</w:t>
            </w:r>
            <w:r w:rsidR="00F85B37" w:rsidRPr="00F85B37">
              <w:rPr>
                <w:rFonts w:ascii="Times New Roman" w:hAnsi="Times New Roman" w:cs="Times New Roman"/>
                <w:noProof/>
                <w:webHidden/>
              </w:rPr>
              <w:fldChar w:fldCharType="end"/>
            </w:r>
          </w:hyperlink>
        </w:p>
        <w:p w14:paraId="4C6A83C0" w14:textId="742CC77C" w:rsidR="00F85B37" w:rsidRPr="00F85B37" w:rsidRDefault="003D58A7">
          <w:pPr>
            <w:pStyle w:val="TOC4"/>
            <w:tabs>
              <w:tab w:val="left" w:pos="1540"/>
              <w:tab w:val="right" w:leader="dot" w:pos="9016"/>
            </w:tabs>
            <w:rPr>
              <w:rFonts w:ascii="Times New Roman" w:hAnsi="Times New Roman" w:cs="Times New Roman"/>
              <w:noProof/>
            </w:rPr>
          </w:pPr>
          <w:hyperlink w:anchor="_Toc117153857" w:history="1">
            <w:r w:rsidR="00F85B37" w:rsidRPr="00F85B37">
              <w:rPr>
                <w:rStyle w:val="Hyperlink"/>
                <w:rFonts w:ascii="Times New Roman" w:hAnsi="Times New Roman" w:cs="Times New Roman"/>
                <w:noProof/>
              </w:rPr>
              <w:t>3.2.3.2</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Protein concentration measurement</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54</w:t>
            </w:r>
            <w:r w:rsidR="00F85B37" w:rsidRPr="00F85B37">
              <w:rPr>
                <w:rFonts w:ascii="Times New Roman" w:hAnsi="Times New Roman" w:cs="Times New Roman"/>
                <w:noProof/>
                <w:webHidden/>
              </w:rPr>
              <w:fldChar w:fldCharType="end"/>
            </w:r>
          </w:hyperlink>
        </w:p>
        <w:p w14:paraId="2D4D4580" w14:textId="457985A5" w:rsidR="00F85B37" w:rsidRPr="00F85B37" w:rsidRDefault="003D58A7">
          <w:pPr>
            <w:pStyle w:val="TOC4"/>
            <w:tabs>
              <w:tab w:val="left" w:pos="1540"/>
              <w:tab w:val="right" w:leader="dot" w:pos="9016"/>
            </w:tabs>
            <w:rPr>
              <w:rFonts w:ascii="Times New Roman" w:hAnsi="Times New Roman" w:cs="Times New Roman"/>
              <w:noProof/>
            </w:rPr>
          </w:pPr>
          <w:hyperlink w:anchor="_Toc117153858" w:history="1">
            <w:r w:rsidR="00F85B37" w:rsidRPr="00F85B37">
              <w:rPr>
                <w:rStyle w:val="Hyperlink"/>
                <w:rFonts w:ascii="Times New Roman" w:hAnsi="Times New Roman" w:cs="Times New Roman"/>
                <w:noProof/>
              </w:rPr>
              <w:t>3.2.3.3</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Standard immunoblotting</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55</w:t>
            </w:r>
            <w:r w:rsidR="00F85B37" w:rsidRPr="00F85B37">
              <w:rPr>
                <w:rFonts w:ascii="Times New Roman" w:hAnsi="Times New Roman" w:cs="Times New Roman"/>
                <w:noProof/>
                <w:webHidden/>
              </w:rPr>
              <w:fldChar w:fldCharType="end"/>
            </w:r>
          </w:hyperlink>
        </w:p>
        <w:p w14:paraId="087016CC" w14:textId="1A5D00F5" w:rsidR="00F85B37" w:rsidRPr="00F85B37" w:rsidRDefault="003D58A7">
          <w:pPr>
            <w:pStyle w:val="TOC4"/>
            <w:tabs>
              <w:tab w:val="left" w:pos="1540"/>
              <w:tab w:val="right" w:leader="dot" w:pos="9016"/>
            </w:tabs>
            <w:rPr>
              <w:rFonts w:ascii="Times New Roman" w:hAnsi="Times New Roman" w:cs="Times New Roman"/>
              <w:noProof/>
            </w:rPr>
          </w:pPr>
          <w:hyperlink w:anchor="_Toc117153859" w:history="1">
            <w:r w:rsidR="00F85B37" w:rsidRPr="00F85B37">
              <w:rPr>
                <w:rStyle w:val="Hyperlink"/>
                <w:rFonts w:ascii="Times New Roman" w:hAnsi="Times New Roman" w:cs="Times New Roman"/>
                <w:noProof/>
              </w:rPr>
              <w:t>3.2.3.4</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Phospho-Histidine immunoblotting</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_Toc117153859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56</w:t>
            </w:r>
            <w:r w:rsidR="00F85B37" w:rsidRPr="00F85B37">
              <w:rPr>
                <w:rFonts w:ascii="Times New Roman" w:hAnsi="Times New Roman" w:cs="Times New Roman"/>
                <w:noProof/>
                <w:webHidden/>
              </w:rPr>
              <w:fldChar w:fldCharType="end"/>
            </w:r>
          </w:hyperlink>
        </w:p>
        <w:p w14:paraId="4F2734AC" w14:textId="1253B0CA" w:rsidR="00F85B37" w:rsidRPr="00F85B37" w:rsidRDefault="003D58A7">
          <w:pPr>
            <w:pStyle w:val="TOC4"/>
            <w:tabs>
              <w:tab w:val="left" w:pos="1540"/>
              <w:tab w:val="right" w:leader="dot" w:pos="9016"/>
            </w:tabs>
            <w:rPr>
              <w:rFonts w:ascii="Times New Roman" w:hAnsi="Times New Roman" w:cs="Times New Roman"/>
              <w:noProof/>
            </w:rPr>
          </w:pPr>
          <w:hyperlink w:anchor="_Toc117153860" w:history="1">
            <w:r w:rsidR="00F85B37" w:rsidRPr="00F85B37">
              <w:rPr>
                <w:rStyle w:val="Hyperlink"/>
                <w:rFonts w:ascii="Times New Roman" w:hAnsi="Times New Roman" w:cs="Times New Roman"/>
                <w:noProof/>
              </w:rPr>
              <w:t>3.2.3.5</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Immunoprecipitation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57</w:t>
            </w:r>
            <w:r w:rsidR="00F85B37" w:rsidRPr="00F85B37">
              <w:rPr>
                <w:rFonts w:ascii="Times New Roman" w:hAnsi="Times New Roman" w:cs="Times New Roman"/>
                <w:noProof/>
                <w:webHidden/>
              </w:rPr>
              <w:fldChar w:fldCharType="end"/>
            </w:r>
          </w:hyperlink>
        </w:p>
        <w:p w14:paraId="2E1C9CE7" w14:textId="70984326" w:rsidR="00F85B37" w:rsidRPr="00F85B37" w:rsidRDefault="003D58A7">
          <w:pPr>
            <w:pStyle w:val="TOC4"/>
            <w:tabs>
              <w:tab w:val="left" w:pos="1540"/>
              <w:tab w:val="right" w:leader="dot" w:pos="9016"/>
            </w:tabs>
            <w:rPr>
              <w:rFonts w:ascii="Times New Roman" w:hAnsi="Times New Roman" w:cs="Times New Roman"/>
              <w:noProof/>
            </w:rPr>
          </w:pPr>
          <w:hyperlink w:anchor="_Toc117153861" w:history="1">
            <w:r w:rsidR="00F85B37" w:rsidRPr="00F85B37">
              <w:rPr>
                <w:rStyle w:val="Hyperlink"/>
                <w:rFonts w:ascii="Times New Roman" w:hAnsi="Times New Roman" w:cs="Times New Roman"/>
                <w:noProof/>
              </w:rPr>
              <w:t>3.2.3.6</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NME6 expression in human cell lines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58</w:t>
            </w:r>
            <w:r w:rsidR="00F85B37" w:rsidRPr="00F85B37">
              <w:rPr>
                <w:rFonts w:ascii="Times New Roman" w:hAnsi="Times New Roman" w:cs="Times New Roman"/>
                <w:noProof/>
                <w:webHidden/>
              </w:rPr>
              <w:fldChar w:fldCharType="end"/>
            </w:r>
          </w:hyperlink>
        </w:p>
        <w:p w14:paraId="1ABC0B68" w14:textId="4A0CF001" w:rsidR="00F85B37" w:rsidRPr="00F85B37" w:rsidRDefault="003D58A7">
          <w:pPr>
            <w:pStyle w:val="TOC4"/>
            <w:tabs>
              <w:tab w:val="left" w:pos="1540"/>
              <w:tab w:val="right" w:leader="dot" w:pos="9016"/>
            </w:tabs>
            <w:rPr>
              <w:rFonts w:ascii="Times New Roman" w:hAnsi="Times New Roman" w:cs="Times New Roman"/>
              <w:noProof/>
            </w:rPr>
          </w:pPr>
          <w:hyperlink w:anchor="_Toc117153862" w:history="1">
            <w:r w:rsidR="00F85B37" w:rsidRPr="00F85B37">
              <w:rPr>
                <w:rStyle w:val="Hyperlink"/>
                <w:rFonts w:ascii="Times New Roman" w:hAnsi="Times New Roman" w:cs="Times New Roman"/>
                <w:noProof/>
              </w:rPr>
              <w:t>3.2.3.7</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NDPK activity</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58</w:t>
            </w:r>
            <w:r w:rsidR="00F85B37" w:rsidRPr="00F85B37">
              <w:rPr>
                <w:rFonts w:ascii="Times New Roman" w:hAnsi="Times New Roman" w:cs="Times New Roman"/>
                <w:noProof/>
                <w:webHidden/>
              </w:rPr>
              <w:fldChar w:fldCharType="end"/>
            </w:r>
          </w:hyperlink>
        </w:p>
        <w:p w14:paraId="3B0E652E" w14:textId="177ABE1B" w:rsidR="00F85B37" w:rsidRPr="00F85B37" w:rsidRDefault="003D58A7">
          <w:pPr>
            <w:pStyle w:val="TOC4"/>
            <w:tabs>
              <w:tab w:val="left" w:pos="1540"/>
              <w:tab w:val="right" w:leader="dot" w:pos="9016"/>
            </w:tabs>
            <w:rPr>
              <w:rFonts w:ascii="Times New Roman" w:hAnsi="Times New Roman" w:cs="Times New Roman"/>
              <w:noProof/>
            </w:rPr>
          </w:pPr>
          <w:hyperlink w:anchor="_Toc117153863" w:history="1">
            <w:r w:rsidR="00F85B37" w:rsidRPr="00F85B37">
              <w:rPr>
                <w:rStyle w:val="Hyperlink"/>
                <w:rFonts w:ascii="Times New Roman" w:hAnsi="Times New Roman" w:cs="Times New Roman"/>
                <w:noProof/>
              </w:rPr>
              <w:t>3.2.3.8</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His-Tag removal by thrombin cleavage of NME recombinant proteins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60</w:t>
            </w:r>
            <w:r w:rsidR="00F85B37" w:rsidRPr="00F85B37">
              <w:rPr>
                <w:rFonts w:ascii="Times New Roman" w:hAnsi="Times New Roman" w:cs="Times New Roman"/>
                <w:noProof/>
                <w:webHidden/>
              </w:rPr>
              <w:fldChar w:fldCharType="end"/>
            </w:r>
          </w:hyperlink>
        </w:p>
        <w:p w14:paraId="324C6BBB" w14:textId="4E3B912E" w:rsidR="00F85B37" w:rsidRPr="00F85B37" w:rsidRDefault="003D58A7">
          <w:pPr>
            <w:pStyle w:val="TOC4"/>
            <w:tabs>
              <w:tab w:val="left" w:pos="1540"/>
              <w:tab w:val="right" w:leader="dot" w:pos="9016"/>
            </w:tabs>
            <w:rPr>
              <w:rFonts w:ascii="Times New Roman" w:hAnsi="Times New Roman" w:cs="Times New Roman"/>
              <w:noProof/>
            </w:rPr>
          </w:pPr>
          <w:hyperlink w:anchor="_Toc117153864" w:history="1">
            <w:r w:rsidR="00F85B37" w:rsidRPr="00F85B37">
              <w:rPr>
                <w:rStyle w:val="Hyperlink"/>
                <w:rFonts w:ascii="Times New Roman" w:hAnsi="Times New Roman" w:cs="Times New Roman"/>
                <w:noProof/>
              </w:rPr>
              <w:t>3.2.3.9</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Homo-oligomerization status of NME6 recombinant proteins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61</w:t>
            </w:r>
            <w:r w:rsidR="00F85B37" w:rsidRPr="00F85B37">
              <w:rPr>
                <w:rFonts w:ascii="Times New Roman" w:hAnsi="Times New Roman" w:cs="Times New Roman"/>
                <w:noProof/>
                <w:webHidden/>
              </w:rPr>
              <w:fldChar w:fldCharType="end"/>
            </w:r>
          </w:hyperlink>
        </w:p>
        <w:p w14:paraId="38CDAC7E" w14:textId="27DA4F74" w:rsidR="00F85B37" w:rsidRPr="00F85B37" w:rsidRDefault="003D58A7">
          <w:pPr>
            <w:pStyle w:val="TOC4"/>
            <w:tabs>
              <w:tab w:val="left" w:pos="1760"/>
              <w:tab w:val="right" w:leader="dot" w:pos="9016"/>
            </w:tabs>
            <w:rPr>
              <w:rFonts w:ascii="Times New Roman" w:hAnsi="Times New Roman" w:cs="Times New Roman"/>
              <w:noProof/>
            </w:rPr>
          </w:pPr>
          <w:hyperlink w:anchor="_Toc117153865" w:history="1">
            <w:r w:rsidR="00F85B37" w:rsidRPr="00F85B37">
              <w:rPr>
                <w:rStyle w:val="Hyperlink"/>
                <w:rFonts w:ascii="Times New Roman" w:hAnsi="Times New Roman" w:cs="Times New Roman"/>
                <w:noProof/>
              </w:rPr>
              <w:t>3.2.3.10</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Multiple reaction monitoring mass spectrometry (MRM-MS)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61</w:t>
            </w:r>
            <w:r w:rsidR="00F85B37" w:rsidRPr="00F85B37">
              <w:rPr>
                <w:rFonts w:ascii="Times New Roman" w:hAnsi="Times New Roman" w:cs="Times New Roman"/>
                <w:noProof/>
                <w:webHidden/>
              </w:rPr>
              <w:fldChar w:fldCharType="end"/>
            </w:r>
          </w:hyperlink>
        </w:p>
        <w:p w14:paraId="455F2328" w14:textId="2F8DAB2B" w:rsidR="00F85B37" w:rsidRPr="00F85B37" w:rsidRDefault="003D58A7">
          <w:pPr>
            <w:pStyle w:val="TOC4"/>
            <w:tabs>
              <w:tab w:val="left" w:pos="1760"/>
              <w:tab w:val="right" w:leader="dot" w:pos="9016"/>
            </w:tabs>
            <w:rPr>
              <w:rFonts w:ascii="Times New Roman" w:hAnsi="Times New Roman" w:cs="Times New Roman"/>
              <w:noProof/>
            </w:rPr>
          </w:pPr>
          <w:hyperlink w:anchor="_Toc117153866" w:history="1">
            <w:r w:rsidR="00F85B37" w:rsidRPr="00F85B37">
              <w:rPr>
                <w:rStyle w:val="Hyperlink"/>
                <w:rFonts w:ascii="Times New Roman" w:hAnsi="Times New Roman" w:cs="Times New Roman"/>
                <w:noProof/>
              </w:rPr>
              <w:t>3.2.3.11</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Isolation and purification of mitochondria</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62</w:t>
            </w:r>
            <w:r w:rsidR="00F85B37" w:rsidRPr="00F85B37">
              <w:rPr>
                <w:rFonts w:ascii="Times New Roman" w:hAnsi="Times New Roman" w:cs="Times New Roman"/>
                <w:noProof/>
                <w:webHidden/>
              </w:rPr>
              <w:fldChar w:fldCharType="end"/>
            </w:r>
          </w:hyperlink>
        </w:p>
        <w:p w14:paraId="6DD49703" w14:textId="6AB50190" w:rsidR="00F85B37" w:rsidRPr="00F85B37" w:rsidRDefault="003D58A7">
          <w:pPr>
            <w:pStyle w:val="TOC4"/>
            <w:tabs>
              <w:tab w:val="left" w:pos="1760"/>
              <w:tab w:val="right" w:leader="dot" w:pos="9016"/>
            </w:tabs>
            <w:rPr>
              <w:rFonts w:ascii="Times New Roman" w:hAnsi="Times New Roman" w:cs="Times New Roman"/>
              <w:noProof/>
            </w:rPr>
          </w:pPr>
          <w:hyperlink w:anchor="_Toc117153867" w:history="1">
            <w:r w:rsidR="00F85B37" w:rsidRPr="00F85B37">
              <w:rPr>
                <w:rStyle w:val="Hyperlink"/>
                <w:rFonts w:ascii="Times New Roman" w:hAnsi="Times New Roman" w:cs="Times New Roman"/>
                <w:noProof/>
              </w:rPr>
              <w:t>3.2.3.12</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Mitochondrial subfractionation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62</w:t>
            </w:r>
            <w:r w:rsidR="00F85B37" w:rsidRPr="00F85B37">
              <w:rPr>
                <w:rFonts w:ascii="Times New Roman" w:hAnsi="Times New Roman" w:cs="Times New Roman"/>
                <w:noProof/>
                <w:webHidden/>
              </w:rPr>
              <w:fldChar w:fldCharType="end"/>
            </w:r>
          </w:hyperlink>
        </w:p>
        <w:p w14:paraId="0FB233FF" w14:textId="46B40CAF" w:rsidR="00F85B37" w:rsidRPr="00F85B37" w:rsidRDefault="003D58A7">
          <w:pPr>
            <w:pStyle w:val="TOC4"/>
            <w:tabs>
              <w:tab w:val="left" w:pos="1760"/>
              <w:tab w:val="right" w:leader="dot" w:pos="9016"/>
            </w:tabs>
            <w:rPr>
              <w:rFonts w:ascii="Times New Roman" w:hAnsi="Times New Roman" w:cs="Times New Roman"/>
              <w:noProof/>
            </w:rPr>
          </w:pPr>
          <w:hyperlink w:anchor="_Toc117153868" w:history="1">
            <w:r w:rsidR="00F85B37" w:rsidRPr="00F85B37">
              <w:rPr>
                <w:rStyle w:val="Hyperlink"/>
                <w:rFonts w:ascii="Times New Roman" w:hAnsi="Times New Roman" w:cs="Times New Roman"/>
                <w:noProof/>
              </w:rPr>
              <w:t>3.2.3.13</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Cell fractionation using a commercial kit</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63</w:t>
            </w:r>
            <w:r w:rsidR="00F85B37" w:rsidRPr="00F85B37">
              <w:rPr>
                <w:rFonts w:ascii="Times New Roman" w:hAnsi="Times New Roman" w:cs="Times New Roman"/>
                <w:noProof/>
                <w:webHidden/>
              </w:rPr>
              <w:fldChar w:fldCharType="end"/>
            </w:r>
          </w:hyperlink>
        </w:p>
        <w:p w14:paraId="42817250" w14:textId="7DB32BFD"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69" w:history="1">
            <w:r w:rsidR="00F85B37" w:rsidRPr="00F85B37">
              <w:rPr>
                <w:rStyle w:val="Hyperlink"/>
                <w:rFonts w:ascii="Times New Roman" w:hAnsi="Times New Roman" w:cs="Times New Roman"/>
                <w:noProof/>
              </w:rPr>
              <w:t>3.2.4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Confocal microscopy</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_Toc117153869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63</w:t>
            </w:r>
            <w:r w:rsidR="00F85B37" w:rsidRPr="00F85B37">
              <w:rPr>
                <w:rFonts w:ascii="Times New Roman" w:hAnsi="Times New Roman" w:cs="Times New Roman"/>
                <w:noProof/>
                <w:webHidden/>
              </w:rPr>
              <w:fldChar w:fldCharType="end"/>
            </w:r>
          </w:hyperlink>
        </w:p>
        <w:p w14:paraId="7B0B3522" w14:textId="1E25CEEE" w:rsidR="00F85B37" w:rsidRPr="00F85B37" w:rsidRDefault="003D58A7">
          <w:pPr>
            <w:pStyle w:val="TOC4"/>
            <w:tabs>
              <w:tab w:val="left" w:pos="1540"/>
              <w:tab w:val="right" w:leader="dot" w:pos="9016"/>
            </w:tabs>
            <w:rPr>
              <w:rFonts w:ascii="Times New Roman" w:hAnsi="Times New Roman" w:cs="Times New Roman"/>
              <w:noProof/>
            </w:rPr>
          </w:pPr>
          <w:hyperlink w:anchor="_Toc117153870" w:history="1">
            <w:r w:rsidR="00F85B37" w:rsidRPr="00F85B37">
              <w:rPr>
                <w:rStyle w:val="Hyperlink"/>
                <w:rFonts w:ascii="Times New Roman" w:hAnsi="Times New Roman" w:cs="Times New Roman"/>
                <w:noProof/>
              </w:rPr>
              <w:t>3.2.4.1</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Live cell imaging</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64</w:t>
            </w:r>
            <w:r w:rsidR="00F85B37" w:rsidRPr="00F85B37">
              <w:rPr>
                <w:rFonts w:ascii="Times New Roman" w:hAnsi="Times New Roman" w:cs="Times New Roman"/>
                <w:noProof/>
                <w:webHidden/>
              </w:rPr>
              <w:fldChar w:fldCharType="end"/>
            </w:r>
          </w:hyperlink>
        </w:p>
        <w:p w14:paraId="780263E4" w14:textId="371A7651" w:rsidR="00F85B37" w:rsidRPr="00F85B37" w:rsidRDefault="003D58A7">
          <w:pPr>
            <w:pStyle w:val="TOC4"/>
            <w:tabs>
              <w:tab w:val="left" w:pos="1540"/>
              <w:tab w:val="right" w:leader="dot" w:pos="9016"/>
            </w:tabs>
            <w:rPr>
              <w:rFonts w:ascii="Times New Roman" w:hAnsi="Times New Roman" w:cs="Times New Roman"/>
              <w:noProof/>
            </w:rPr>
          </w:pPr>
          <w:hyperlink w:anchor="_Toc117153871" w:history="1">
            <w:r w:rsidR="00F85B37" w:rsidRPr="00F85B37">
              <w:rPr>
                <w:rStyle w:val="Hyperlink"/>
                <w:rFonts w:ascii="Times New Roman" w:hAnsi="Times New Roman" w:cs="Times New Roman"/>
                <w:noProof/>
              </w:rPr>
              <w:t>3.2.4.2</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Fluorescent immunocytochemistry</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64</w:t>
            </w:r>
            <w:r w:rsidR="00F85B37" w:rsidRPr="00F85B37">
              <w:rPr>
                <w:rFonts w:ascii="Times New Roman" w:hAnsi="Times New Roman" w:cs="Times New Roman"/>
                <w:noProof/>
                <w:webHidden/>
              </w:rPr>
              <w:fldChar w:fldCharType="end"/>
            </w:r>
          </w:hyperlink>
        </w:p>
        <w:p w14:paraId="0EBF1C7D" w14:textId="27B8281C"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72" w:history="1">
            <w:r w:rsidR="00F85B37" w:rsidRPr="00F85B37">
              <w:rPr>
                <w:rStyle w:val="Hyperlink"/>
                <w:rFonts w:ascii="Times New Roman" w:hAnsi="Times New Roman" w:cs="Times New Roman"/>
                <w:noProof/>
              </w:rPr>
              <w:t>3.2.5</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Cellular functions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64</w:t>
            </w:r>
            <w:r w:rsidR="00F85B37" w:rsidRPr="00F85B37">
              <w:rPr>
                <w:rFonts w:ascii="Times New Roman" w:hAnsi="Times New Roman" w:cs="Times New Roman"/>
                <w:noProof/>
                <w:webHidden/>
              </w:rPr>
              <w:fldChar w:fldCharType="end"/>
            </w:r>
          </w:hyperlink>
        </w:p>
        <w:p w14:paraId="54B4A839" w14:textId="790D8147" w:rsidR="00F85B37" w:rsidRPr="00F85B37" w:rsidRDefault="003D58A7">
          <w:pPr>
            <w:pStyle w:val="TOC4"/>
            <w:tabs>
              <w:tab w:val="left" w:pos="1540"/>
              <w:tab w:val="right" w:leader="dot" w:pos="9016"/>
            </w:tabs>
            <w:rPr>
              <w:rFonts w:ascii="Times New Roman" w:hAnsi="Times New Roman" w:cs="Times New Roman"/>
              <w:noProof/>
            </w:rPr>
          </w:pPr>
          <w:hyperlink w:anchor="_Toc117153873" w:history="1">
            <w:r w:rsidR="00F85B37" w:rsidRPr="00F85B37">
              <w:rPr>
                <w:rStyle w:val="Hyperlink"/>
                <w:rFonts w:ascii="Times New Roman" w:hAnsi="Times New Roman" w:cs="Times New Roman"/>
                <w:noProof/>
              </w:rPr>
              <w:t>3.2.5.1</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Apoptosis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64</w:t>
            </w:r>
            <w:r w:rsidR="00F85B37" w:rsidRPr="00F85B37">
              <w:rPr>
                <w:rFonts w:ascii="Times New Roman" w:hAnsi="Times New Roman" w:cs="Times New Roman"/>
                <w:noProof/>
                <w:webHidden/>
              </w:rPr>
              <w:fldChar w:fldCharType="end"/>
            </w:r>
          </w:hyperlink>
        </w:p>
        <w:p w14:paraId="31A6711E" w14:textId="4453401D" w:rsidR="00F85B37" w:rsidRPr="00F85B37" w:rsidRDefault="003D58A7">
          <w:pPr>
            <w:pStyle w:val="TOC4"/>
            <w:tabs>
              <w:tab w:val="left" w:pos="1540"/>
              <w:tab w:val="right" w:leader="dot" w:pos="9016"/>
            </w:tabs>
            <w:rPr>
              <w:rFonts w:ascii="Times New Roman" w:hAnsi="Times New Roman" w:cs="Times New Roman"/>
              <w:noProof/>
            </w:rPr>
          </w:pPr>
          <w:hyperlink w:anchor="_Toc117153874" w:history="1">
            <w:r w:rsidR="00F85B37" w:rsidRPr="00F85B37">
              <w:rPr>
                <w:rStyle w:val="Hyperlink"/>
                <w:rFonts w:ascii="Times New Roman" w:hAnsi="Times New Roman" w:cs="Times New Roman"/>
                <w:noProof/>
              </w:rPr>
              <w:t>3.2.5.2</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Cell cycle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65</w:t>
            </w:r>
            <w:r w:rsidR="00F85B37" w:rsidRPr="00F85B37">
              <w:rPr>
                <w:rFonts w:ascii="Times New Roman" w:hAnsi="Times New Roman" w:cs="Times New Roman"/>
                <w:noProof/>
                <w:webHidden/>
              </w:rPr>
              <w:fldChar w:fldCharType="end"/>
            </w:r>
          </w:hyperlink>
        </w:p>
        <w:p w14:paraId="594E60A4" w14:textId="1C948E01" w:rsidR="00F85B37" w:rsidRPr="00F85B37" w:rsidRDefault="003D58A7">
          <w:pPr>
            <w:pStyle w:val="TOC4"/>
            <w:tabs>
              <w:tab w:val="left" w:pos="1540"/>
              <w:tab w:val="right" w:leader="dot" w:pos="9016"/>
            </w:tabs>
            <w:rPr>
              <w:rFonts w:ascii="Times New Roman" w:hAnsi="Times New Roman" w:cs="Times New Roman"/>
              <w:noProof/>
            </w:rPr>
          </w:pPr>
          <w:hyperlink w:anchor="_Toc117153875" w:history="1">
            <w:r w:rsidR="00F85B37" w:rsidRPr="00F85B37">
              <w:rPr>
                <w:rStyle w:val="Hyperlink"/>
                <w:rFonts w:ascii="Times New Roman" w:hAnsi="Times New Roman" w:cs="Times New Roman"/>
                <w:noProof/>
              </w:rPr>
              <w:t>3.2.5.3</w:t>
            </w:r>
            <w:r w:rsidR="00F85B37" w:rsidRPr="00F85B37">
              <w:rPr>
                <w:rFonts w:ascii="Times New Roman" w:hAnsi="Times New Roman" w:cs="Times New Roman"/>
                <w:noProof/>
              </w:rPr>
              <w:tab/>
            </w:r>
            <w:r w:rsidR="00F85B37" w:rsidRPr="00F85B37">
              <w:rPr>
                <w:rStyle w:val="Hyperlink"/>
                <w:rFonts w:ascii="Times New Roman" w:hAnsi="Times New Roman" w:cs="Times New Roman"/>
                <w:noProof/>
              </w:rPr>
              <w:t>Cellular respiration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65</w:t>
            </w:r>
            <w:r w:rsidR="00F85B37" w:rsidRPr="00F85B37">
              <w:rPr>
                <w:rFonts w:ascii="Times New Roman" w:hAnsi="Times New Roman" w:cs="Times New Roman"/>
                <w:noProof/>
                <w:webHidden/>
              </w:rPr>
              <w:fldChar w:fldCharType="end"/>
            </w:r>
          </w:hyperlink>
        </w:p>
        <w:p w14:paraId="2EDE5E21" w14:textId="67649D66"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76" w:history="1">
            <w:r w:rsidR="00F85B37" w:rsidRPr="00F85B37">
              <w:rPr>
                <w:rStyle w:val="Hyperlink"/>
                <w:rFonts w:ascii="Times New Roman" w:hAnsi="Times New Roman" w:cs="Times New Roman"/>
                <w:noProof/>
              </w:rPr>
              <w:t>3.2.6</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Statistical analysis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66</w:t>
            </w:r>
            <w:r w:rsidR="00F85B37" w:rsidRPr="00F85B37">
              <w:rPr>
                <w:rFonts w:ascii="Times New Roman" w:hAnsi="Times New Roman" w:cs="Times New Roman"/>
                <w:noProof/>
                <w:webHidden/>
              </w:rPr>
              <w:fldChar w:fldCharType="end"/>
            </w:r>
          </w:hyperlink>
        </w:p>
        <w:p w14:paraId="23CDD6B5" w14:textId="29940FF0" w:rsidR="00F85B37" w:rsidRPr="00F85B37" w:rsidRDefault="003D58A7">
          <w:pPr>
            <w:pStyle w:val="TOC1"/>
            <w:tabs>
              <w:tab w:val="left" w:pos="440"/>
              <w:tab w:val="right" w:leader="dot" w:pos="9016"/>
            </w:tabs>
            <w:rPr>
              <w:rFonts w:ascii="Times New Roman" w:eastAsiaTheme="minorEastAsia" w:hAnsi="Times New Roman" w:cs="Times New Roman"/>
              <w:noProof/>
            </w:rPr>
          </w:pPr>
          <w:hyperlink w:anchor="_Toc117153877" w:history="1">
            <w:r w:rsidR="00F85B37" w:rsidRPr="00F85B37">
              <w:rPr>
                <w:rStyle w:val="Hyperlink"/>
                <w:rFonts w:ascii="Times New Roman" w:hAnsi="Times New Roman" w:cs="Times New Roman"/>
                <w:noProof/>
              </w:rPr>
              <w:t>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RESULTS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67</w:t>
            </w:r>
            <w:r w:rsidR="00F85B37" w:rsidRPr="00F85B37">
              <w:rPr>
                <w:rFonts w:ascii="Times New Roman" w:hAnsi="Times New Roman" w:cs="Times New Roman"/>
                <w:noProof/>
                <w:webHidden/>
              </w:rPr>
              <w:fldChar w:fldCharType="end"/>
            </w:r>
          </w:hyperlink>
        </w:p>
        <w:p w14:paraId="2AB29281" w14:textId="6C499492"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78" w:history="1">
            <w:r w:rsidR="00F85B37" w:rsidRPr="00F85B37">
              <w:rPr>
                <w:rStyle w:val="Hyperlink"/>
                <w:rFonts w:ascii="Times New Roman" w:hAnsi="Times New Roman" w:cs="Times New Roman"/>
                <w:noProof/>
              </w:rPr>
              <w:t>4.1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Preparation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67</w:t>
            </w:r>
            <w:r w:rsidR="00F85B37" w:rsidRPr="00F85B37">
              <w:rPr>
                <w:rFonts w:ascii="Times New Roman" w:hAnsi="Times New Roman" w:cs="Times New Roman"/>
                <w:noProof/>
                <w:webHidden/>
              </w:rPr>
              <w:fldChar w:fldCharType="end"/>
            </w:r>
          </w:hyperlink>
        </w:p>
        <w:p w14:paraId="1FAB33E9" w14:textId="47141363"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79" w:history="1">
            <w:r w:rsidR="00F85B37" w:rsidRPr="00F85B37">
              <w:rPr>
                <w:rStyle w:val="Hyperlink"/>
                <w:rFonts w:ascii="Times New Roman" w:hAnsi="Times New Roman" w:cs="Times New Roman"/>
                <w:noProof/>
              </w:rPr>
              <w:t>4.1.1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Production of NME6-KI stable clones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_Toc117153879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67</w:t>
            </w:r>
            <w:r w:rsidR="00F85B37" w:rsidRPr="00F85B37">
              <w:rPr>
                <w:rFonts w:ascii="Times New Roman" w:hAnsi="Times New Roman" w:cs="Times New Roman"/>
                <w:noProof/>
                <w:webHidden/>
              </w:rPr>
              <w:fldChar w:fldCharType="end"/>
            </w:r>
          </w:hyperlink>
        </w:p>
        <w:p w14:paraId="05F32B58" w14:textId="52616C6B"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80" w:history="1">
            <w:r w:rsidR="00F85B37" w:rsidRPr="00F85B37">
              <w:rPr>
                <w:rStyle w:val="Hyperlink"/>
                <w:rFonts w:ascii="Times New Roman" w:hAnsi="Times New Roman" w:cs="Times New Roman"/>
                <w:noProof/>
              </w:rPr>
              <w:t>4.1.2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Production of NME6-KO stable clones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70</w:t>
            </w:r>
            <w:r w:rsidR="00F85B37" w:rsidRPr="00F85B37">
              <w:rPr>
                <w:rFonts w:ascii="Times New Roman" w:hAnsi="Times New Roman" w:cs="Times New Roman"/>
                <w:noProof/>
                <w:webHidden/>
              </w:rPr>
              <w:fldChar w:fldCharType="end"/>
            </w:r>
          </w:hyperlink>
        </w:p>
        <w:p w14:paraId="5CD27D33" w14:textId="783D2BDE"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81" w:history="1">
            <w:r w:rsidR="00F85B37" w:rsidRPr="00F85B37">
              <w:rPr>
                <w:rStyle w:val="Hyperlink"/>
                <w:rFonts w:ascii="Times New Roman" w:hAnsi="Times New Roman" w:cs="Times New Roman"/>
                <w:noProof/>
              </w:rPr>
              <w:t>4.1.3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NME6 silencing</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72</w:t>
            </w:r>
            <w:r w:rsidR="00F85B37" w:rsidRPr="00F85B37">
              <w:rPr>
                <w:rFonts w:ascii="Times New Roman" w:hAnsi="Times New Roman" w:cs="Times New Roman"/>
                <w:noProof/>
                <w:webHidden/>
              </w:rPr>
              <w:fldChar w:fldCharType="end"/>
            </w:r>
          </w:hyperlink>
        </w:p>
        <w:p w14:paraId="1219EA24" w14:textId="146F2DA9"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82" w:history="1">
            <w:r w:rsidR="00F85B37" w:rsidRPr="00F85B37">
              <w:rPr>
                <w:rStyle w:val="Hyperlink"/>
                <w:rFonts w:ascii="Times New Roman" w:hAnsi="Times New Roman" w:cs="Times New Roman"/>
                <w:noProof/>
              </w:rPr>
              <w:t>4.1.4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Production of recombinant proteins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74</w:t>
            </w:r>
            <w:r w:rsidR="00F85B37" w:rsidRPr="00F85B37">
              <w:rPr>
                <w:rFonts w:ascii="Times New Roman" w:hAnsi="Times New Roman" w:cs="Times New Roman"/>
                <w:noProof/>
                <w:webHidden/>
              </w:rPr>
              <w:fldChar w:fldCharType="end"/>
            </w:r>
          </w:hyperlink>
        </w:p>
        <w:p w14:paraId="07382E0A" w14:textId="330FC076"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83" w:history="1">
            <w:r w:rsidR="00F85B37" w:rsidRPr="00F85B37">
              <w:rPr>
                <w:rStyle w:val="Hyperlink"/>
                <w:rFonts w:ascii="Times New Roman" w:hAnsi="Times New Roman" w:cs="Times New Roman"/>
                <w:noProof/>
              </w:rPr>
              <w:t>4.2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NME6 expression and characterization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77</w:t>
            </w:r>
            <w:r w:rsidR="00F85B37" w:rsidRPr="00F85B37">
              <w:rPr>
                <w:rFonts w:ascii="Times New Roman" w:hAnsi="Times New Roman" w:cs="Times New Roman"/>
                <w:noProof/>
                <w:webHidden/>
              </w:rPr>
              <w:fldChar w:fldCharType="end"/>
            </w:r>
          </w:hyperlink>
        </w:p>
        <w:p w14:paraId="114AE9A3" w14:textId="45406383"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84" w:history="1">
            <w:r w:rsidR="00F85B37" w:rsidRPr="00F85B37">
              <w:rPr>
                <w:rStyle w:val="Hyperlink"/>
                <w:rFonts w:ascii="Times New Roman" w:hAnsi="Times New Roman" w:cs="Times New Roman"/>
                <w:noProof/>
              </w:rPr>
              <w:t>4.2.1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NME6 expression in human cell lines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77</w:t>
            </w:r>
            <w:r w:rsidR="00F85B37" w:rsidRPr="00F85B37">
              <w:rPr>
                <w:rFonts w:ascii="Times New Roman" w:hAnsi="Times New Roman" w:cs="Times New Roman"/>
                <w:noProof/>
                <w:webHidden/>
              </w:rPr>
              <w:fldChar w:fldCharType="end"/>
            </w:r>
          </w:hyperlink>
        </w:p>
        <w:p w14:paraId="01F1C7F1" w14:textId="7605C52B"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85" w:history="1">
            <w:r w:rsidR="00F85B37" w:rsidRPr="00F85B37">
              <w:rPr>
                <w:rStyle w:val="Hyperlink"/>
                <w:rFonts w:ascii="Times New Roman" w:hAnsi="Times New Roman" w:cs="Times New Roman"/>
                <w:noProof/>
              </w:rPr>
              <w:t>4.2.2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Detection of NME6 isoforms by Western blot</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78</w:t>
            </w:r>
            <w:r w:rsidR="00F85B37" w:rsidRPr="00F85B37">
              <w:rPr>
                <w:rFonts w:ascii="Times New Roman" w:hAnsi="Times New Roman" w:cs="Times New Roman"/>
                <w:noProof/>
                <w:webHidden/>
              </w:rPr>
              <w:fldChar w:fldCharType="end"/>
            </w:r>
          </w:hyperlink>
        </w:p>
        <w:p w14:paraId="33902518" w14:textId="490DD02F"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86" w:history="1">
            <w:r w:rsidR="00F85B37" w:rsidRPr="00F85B37">
              <w:rPr>
                <w:rStyle w:val="Hyperlink"/>
                <w:rFonts w:ascii="Times New Roman" w:hAnsi="Times New Roman" w:cs="Times New Roman"/>
                <w:noProof/>
              </w:rPr>
              <w:t>4.2.3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NME6-186 isoform predominates in human cells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78</w:t>
            </w:r>
            <w:r w:rsidR="00F85B37" w:rsidRPr="00F85B37">
              <w:rPr>
                <w:rFonts w:ascii="Times New Roman" w:hAnsi="Times New Roman" w:cs="Times New Roman"/>
                <w:noProof/>
                <w:webHidden/>
              </w:rPr>
              <w:fldChar w:fldCharType="end"/>
            </w:r>
          </w:hyperlink>
        </w:p>
        <w:p w14:paraId="3BEBDA92" w14:textId="119054C3"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87" w:history="1">
            <w:r w:rsidR="00F85B37" w:rsidRPr="00F85B37">
              <w:rPr>
                <w:rStyle w:val="Hyperlink"/>
                <w:rFonts w:ascii="Times New Roman" w:hAnsi="Times New Roman" w:cs="Times New Roman"/>
                <w:noProof/>
              </w:rPr>
              <w:t>4.2.4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Detection of endogenous NME6 isoforms by mass spectrometry</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79</w:t>
            </w:r>
            <w:r w:rsidR="00F85B37" w:rsidRPr="00F85B37">
              <w:rPr>
                <w:rFonts w:ascii="Times New Roman" w:hAnsi="Times New Roman" w:cs="Times New Roman"/>
                <w:noProof/>
                <w:webHidden/>
              </w:rPr>
              <w:fldChar w:fldCharType="end"/>
            </w:r>
          </w:hyperlink>
        </w:p>
        <w:p w14:paraId="622CDD24" w14:textId="6B3B8F37"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88" w:history="1">
            <w:r w:rsidR="00F85B37" w:rsidRPr="00F85B37">
              <w:rPr>
                <w:rStyle w:val="Hyperlink"/>
                <w:rFonts w:ascii="Times New Roman" w:hAnsi="Times New Roman" w:cs="Times New Roman"/>
                <w:noProof/>
              </w:rPr>
              <w:t>4.3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NME6 subcellular localization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80</w:t>
            </w:r>
            <w:r w:rsidR="00F85B37" w:rsidRPr="00F85B37">
              <w:rPr>
                <w:rFonts w:ascii="Times New Roman" w:hAnsi="Times New Roman" w:cs="Times New Roman"/>
                <w:noProof/>
                <w:webHidden/>
              </w:rPr>
              <w:fldChar w:fldCharType="end"/>
            </w:r>
          </w:hyperlink>
        </w:p>
        <w:p w14:paraId="6E2CA091" w14:textId="09F76544"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89" w:history="1">
            <w:r w:rsidR="00F85B37" w:rsidRPr="00F85B37">
              <w:rPr>
                <w:rStyle w:val="Hyperlink"/>
                <w:rFonts w:ascii="Times New Roman" w:hAnsi="Times New Roman" w:cs="Times New Roman"/>
                <w:noProof/>
              </w:rPr>
              <w:t>4.3.1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Immunofluorescent labeling of endogenous NME6</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_Toc117153889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81</w:t>
            </w:r>
            <w:r w:rsidR="00F85B37" w:rsidRPr="00F85B37">
              <w:rPr>
                <w:rFonts w:ascii="Times New Roman" w:hAnsi="Times New Roman" w:cs="Times New Roman"/>
                <w:noProof/>
                <w:webHidden/>
              </w:rPr>
              <w:fldChar w:fldCharType="end"/>
            </w:r>
          </w:hyperlink>
        </w:p>
        <w:p w14:paraId="4118C97F" w14:textId="31893907"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90" w:history="1">
            <w:r w:rsidR="00F85B37" w:rsidRPr="00F85B37">
              <w:rPr>
                <w:rStyle w:val="Hyperlink"/>
                <w:rFonts w:ascii="Times New Roman" w:hAnsi="Times New Roman" w:cs="Times New Roman"/>
                <w:noProof/>
              </w:rPr>
              <w:t>4.3.2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Live cell imaging of exogenous GFP-tagged NME6 isoforms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81</w:t>
            </w:r>
            <w:r w:rsidR="00F85B37" w:rsidRPr="00F85B37">
              <w:rPr>
                <w:rFonts w:ascii="Times New Roman" w:hAnsi="Times New Roman" w:cs="Times New Roman"/>
                <w:noProof/>
                <w:webHidden/>
              </w:rPr>
              <w:fldChar w:fldCharType="end"/>
            </w:r>
          </w:hyperlink>
        </w:p>
        <w:p w14:paraId="6EF6D97C" w14:textId="244549DF"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91" w:history="1">
            <w:r w:rsidR="00F85B37" w:rsidRPr="00F85B37">
              <w:rPr>
                <w:rStyle w:val="Hyperlink"/>
                <w:rFonts w:ascii="Times New Roman" w:hAnsi="Times New Roman" w:cs="Times New Roman"/>
                <w:noProof/>
              </w:rPr>
              <w:t>4.3.3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Cellular fractionation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83</w:t>
            </w:r>
            <w:r w:rsidR="00F85B37" w:rsidRPr="00F85B37">
              <w:rPr>
                <w:rFonts w:ascii="Times New Roman" w:hAnsi="Times New Roman" w:cs="Times New Roman"/>
                <w:noProof/>
                <w:webHidden/>
              </w:rPr>
              <w:fldChar w:fldCharType="end"/>
            </w:r>
          </w:hyperlink>
        </w:p>
        <w:p w14:paraId="0F026DC6" w14:textId="1A2DD4BB"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92" w:history="1">
            <w:r w:rsidR="00F85B37" w:rsidRPr="00F85B37">
              <w:rPr>
                <w:rStyle w:val="Hyperlink"/>
                <w:rFonts w:ascii="Times New Roman" w:hAnsi="Times New Roman" w:cs="Times New Roman"/>
                <w:noProof/>
              </w:rPr>
              <w:t>4.3.4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Mitochondrial sub-fractionation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85</w:t>
            </w:r>
            <w:r w:rsidR="00F85B37" w:rsidRPr="00F85B37">
              <w:rPr>
                <w:rFonts w:ascii="Times New Roman" w:hAnsi="Times New Roman" w:cs="Times New Roman"/>
                <w:noProof/>
                <w:webHidden/>
              </w:rPr>
              <w:fldChar w:fldCharType="end"/>
            </w:r>
          </w:hyperlink>
        </w:p>
        <w:p w14:paraId="6B3A04FE" w14:textId="1E8DE0B8"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93" w:history="1">
            <w:r w:rsidR="00F85B37" w:rsidRPr="00F85B37">
              <w:rPr>
                <w:rStyle w:val="Hyperlink"/>
                <w:rFonts w:ascii="Times New Roman" w:hAnsi="Times New Roman" w:cs="Times New Roman"/>
                <w:noProof/>
              </w:rPr>
              <w:t>4.4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NME6 enzymatic properties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88</w:t>
            </w:r>
            <w:r w:rsidR="00F85B37" w:rsidRPr="00F85B37">
              <w:rPr>
                <w:rFonts w:ascii="Times New Roman" w:hAnsi="Times New Roman" w:cs="Times New Roman"/>
                <w:noProof/>
                <w:webHidden/>
              </w:rPr>
              <w:fldChar w:fldCharType="end"/>
            </w:r>
          </w:hyperlink>
        </w:p>
        <w:p w14:paraId="2BDE69BA" w14:textId="2DDDF422"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94" w:history="1">
            <w:r w:rsidR="00F85B37" w:rsidRPr="00F85B37">
              <w:rPr>
                <w:rStyle w:val="Hyperlink"/>
                <w:rFonts w:ascii="Times New Roman" w:hAnsi="Times New Roman" w:cs="Times New Roman"/>
                <w:noProof/>
              </w:rPr>
              <w:t>4.4.1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NDPK activity</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88</w:t>
            </w:r>
            <w:r w:rsidR="00F85B37" w:rsidRPr="00F85B37">
              <w:rPr>
                <w:rFonts w:ascii="Times New Roman" w:hAnsi="Times New Roman" w:cs="Times New Roman"/>
                <w:noProof/>
                <w:webHidden/>
              </w:rPr>
              <w:fldChar w:fldCharType="end"/>
            </w:r>
          </w:hyperlink>
        </w:p>
        <w:p w14:paraId="0E8ADC51" w14:textId="390ACB98"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95" w:history="1">
            <w:r w:rsidR="00F85B37" w:rsidRPr="00F85B37">
              <w:rPr>
                <w:rStyle w:val="Hyperlink"/>
                <w:rFonts w:ascii="Times New Roman" w:hAnsi="Times New Roman" w:cs="Times New Roman"/>
                <w:noProof/>
              </w:rPr>
              <w:t>4.4.2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Histidine phosphorylation status of endogenous NME6</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89</w:t>
            </w:r>
            <w:r w:rsidR="00F85B37" w:rsidRPr="00F85B37">
              <w:rPr>
                <w:rFonts w:ascii="Times New Roman" w:hAnsi="Times New Roman" w:cs="Times New Roman"/>
                <w:noProof/>
                <w:webHidden/>
              </w:rPr>
              <w:fldChar w:fldCharType="end"/>
            </w:r>
          </w:hyperlink>
        </w:p>
        <w:p w14:paraId="0032B771" w14:textId="2AE370EF"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96" w:history="1">
            <w:r w:rsidR="00F85B37" w:rsidRPr="00F85B37">
              <w:rPr>
                <w:rStyle w:val="Hyperlink"/>
                <w:rFonts w:ascii="Times New Roman" w:hAnsi="Times New Roman" w:cs="Times New Roman"/>
                <w:noProof/>
              </w:rPr>
              <w:t>4.4.3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Homo-oligomerization status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90</w:t>
            </w:r>
            <w:r w:rsidR="00F85B37" w:rsidRPr="00F85B37">
              <w:rPr>
                <w:rFonts w:ascii="Times New Roman" w:hAnsi="Times New Roman" w:cs="Times New Roman"/>
                <w:noProof/>
                <w:webHidden/>
              </w:rPr>
              <w:fldChar w:fldCharType="end"/>
            </w:r>
          </w:hyperlink>
        </w:p>
        <w:p w14:paraId="34B41D61" w14:textId="451E3530"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97" w:history="1">
            <w:r w:rsidR="00F85B37" w:rsidRPr="00F85B37">
              <w:rPr>
                <w:rStyle w:val="Hyperlink"/>
                <w:rFonts w:ascii="Times New Roman" w:hAnsi="Times New Roman" w:cs="Times New Roman"/>
                <w:noProof/>
              </w:rPr>
              <w:t>4.4.4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Hetero-oligomerization status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93</w:t>
            </w:r>
            <w:r w:rsidR="00F85B37" w:rsidRPr="00F85B37">
              <w:rPr>
                <w:rFonts w:ascii="Times New Roman" w:hAnsi="Times New Roman" w:cs="Times New Roman"/>
                <w:noProof/>
                <w:webHidden/>
              </w:rPr>
              <w:fldChar w:fldCharType="end"/>
            </w:r>
          </w:hyperlink>
        </w:p>
        <w:p w14:paraId="7CD7D5F9" w14:textId="06E47FAD"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898" w:history="1">
            <w:r w:rsidR="00F85B37" w:rsidRPr="00F85B37">
              <w:rPr>
                <w:rStyle w:val="Hyperlink"/>
                <w:rFonts w:ascii="Times New Roman" w:hAnsi="Times New Roman" w:cs="Times New Roman"/>
                <w:noProof/>
              </w:rPr>
              <w:t>4.5</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NME6 interacting partners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95</w:t>
            </w:r>
            <w:r w:rsidR="00F85B37" w:rsidRPr="00F85B37">
              <w:rPr>
                <w:rFonts w:ascii="Times New Roman" w:hAnsi="Times New Roman" w:cs="Times New Roman"/>
                <w:noProof/>
                <w:webHidden/>
              </w:rPr>
              <w:fldChar w:fldCharType="end"/>
            </w:r>
          </w:hyperlink>
        </w:p>
        <w:p w14:paraId="7F38A179" w14:textId="68D17F38"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899" w:history="1">
            <w:r w:rsidR="00F85B37" w:rsidRPr="00F85B37">
              <w:rPr>
                <w:rStyle w:val="Hyperlink"/>
                <w:rFonts w:ascii="Times New Roman" w:hAnsi="Times New Roman" w:cs="Times New Roman"/>
                <w:noProof/>
              </w:rPr>
              <w:t>4.5.1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Interactions with other proteins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_Toc117153899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95</w:t>
            </w:r>
            <w:r w:rsidR="00F85B37" w:rsidRPr="00F85B37">
              <w:rPr>
                <w:rFonts w:ascii="Times New Roman" w:hAnsi="Times New Roman" w:cs="Times New Roman"/>
                <w:noProof/>
                <w:webHidden/>
              </w:rPr>
              <w:fldChar w:fldCharType="end"/>
            </w:r>
          </w:hyperlink>
        </w:p>
        <w:p w14:paraId="3A978E14" w14:textId="431654AE" w:rsidR="00F85B37" w:rsidRPr="00F85B37" w:rsidRDefault="003D58A7">
          <w:pPr>
            <w:pStyle w:val="TOC2"/>
            <w:tabs>
              <w:tab w:val="left" w:pos="880"/>
              <w:tab w:val="right" w:leader="dot" w:pos="9016"/>
            </w:tabs>
            <w:rPr>
              <w:rFonts w:ascii="Times New Roman" w:eastAsiaTheme="minorEastAsia" w:hAnsi="Times New Roman" w:cs="Times New Roman"/>
              <w:noProof/>
            </w:rPr>
          </w:pPr>
          <w:hyperlink w:anchor="_Toc117153900" w:history="1">
            <w:r w:rsidR="00F85B37" w:rsidRPr="00F85B37">
              <w:rPr>
                <w:rStyle w:val="Hyperlink"/>
                <w:rFonts w:ascii="Times New Roman" w:hAnsi="Times New Roman" w:cs="Times New Roman"/>
                <w:noProof/>
              </w:rPr>
              <w:t>4.6</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NME6 impact on cellular functions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_Toc117153900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97</w:t>
            </w:r>
            <w:r w:rsidR="00F85B37" w:rsidRPr="00F85B37">
              <w:rPr>
                <w:rFonts w:ascii="Times New Roman" w:hAnsi="Times New Roman" w:cs="Times New Roman"/>
                <w:noProof/>
                <w:webHidden/>
              </w:rPr>
              <w:fldChar w:fldCharType="end"/>
            </w:r>
          </w:hyperlink>
        </w:p>
        <w:p w14:paraId="63325720" w14:textId="7382567B"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901" w:history="1">
            <w:r w:rsidR="00F85B37" w:rsidRPr="00F85B37">
              <w:rPr>
                <w:rStyle w:val="Hyperlink"/>
                <w:rFonts w:ascii="Times New Roman" w:hAnsi="Times New Roman" w:cs="Times New Roman"/>
                <w:noProof/>
              </w:rPr>
              <w:t>4.6.1</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Apoptosis</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_Toc117153901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97</w:t>
            </w:r>
            <w:r w:rsidR="00F85B37" w:rsidRPr="00F85B37">
              <w:rPr>
                <w:rFonts w:ascii="Times New Roman" w:hAnsi="Times New Roman" w:cs="Times New Roman"/>
                <w:noProof/>
                <w:webHidden/>
              </w:rPr>
              <w:fldChar w:fldCharType="end"/>
            </w:r>
          </w:hyperlink>
        </w:p>
        <w:p w14:paraId="1D4559DE" w14:textId="056A6FD5"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902" w:history="1">
            <w:r w:rsidR="00F85B37" w:rsidRPr="00F85B37">
              <w:rPr>
                <w:rStyle w:val="Hyperlink"/>
                <w:rFonts w:ascii="Times New Roman" w:hAnsi="Times New Roman" w:cs="Times New Roman"/>
                <w:noProof/>
              </w:rPr>
              <w:t>4.6.2</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Cell cycle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_Toc117153902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99</w:t>
            </w:r>
            <w:r w:rsidR="00F85B37" w:rsidRPr="00F85B37">
              <w:rPr>
                <w:rFonts w:ascii="Times New Roman" w:hAnsi="Times New Roman" w:cs="Times New Roman"/>
                <w:noProof/>
                <w:webHidden/>
              </w:rPr>
              <w:fldChar w:fldCharType="end"/>
            </w:r>
          </w:hyperlink>
        </w:p>
        <w:p w14:paraId="08955B11" w14:textId="53E151B9"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903" w:history="1">
            <w:r w:rsidR="00F85B37" w:rsidRPr="00F85B37">
              <w:rPr>
                <w:rStyle w:val="Hyperlink"/>
                <w:rFonts w:ascii="Times New Roman" w:hAnsi="Times New Roman" w:cs="Times New Roman"/>
                <w:noProof/>
              </w:rPr>
              <w:t>4.6.3</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Mitochondrial respiration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_Toc117153903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100</w:t>
            </w:r>
            <w:r w:rsidR="00F85B37" w:rsidRPr="00F85B37">
              <w:rPr>
                <w:rFonts w:ascii="Times New Roman" w:hAnsi="Times New Roman" w:cs="Times New Roman"/>
                <w:noProof/>
                <w:webHidden/>
              </w:rPr>
              <w:fldChar w:fldCharType="end"/>
            </w:r>
          </w:hyperlink>
        </w:p>
        <w:p w14:paraId="64D33E3E" w14:textId="2B9FD9CB" w:rsidR="00F85B37" w:rsidRPr="00F85B37" w:rsidRDefault="003D58A7">
          <w:pPr>
            <w:pStyle w:val="TOC3"/>
            <w:tabs>
              <w:tab w:val="left" w:pos="1320"/>
              <w:tab w:val="right" w:leader="dot" w:pos="9016"/>
            </w:tabs>
            <w:rPr>
              <w:rFonts w:ascii="Times New Roman" w:eastAsiaTheme="minorEastAsia" w:hAnsi="Times New Roman" w:cs="Times New Roman"/>
              <w:noProof/>
            </w:rPr>
          </w:pPr>
          <w:hyperlink w:anchor="_Toc117153904" w:history="1">
            <w:r w:rsidR="00F85B37" w:rsidRPr="00F85B37">
              <w:rPr>
                <w:rStyle w:val="Hyperlink"/>
                <w:rFonts w:ascii="Times New Roman" w:hAnsi="Times New Roman" w:cs="Times New Roman"/>
                <w:noProof/>
              </w:rPr>
              <w:t>4.6.4</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Respiratory chain complexes abundance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_Toc117153904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104</w:t>
            </w:r>
            <w:r w:rsidR="00F85B37" w:rsidRPr="00F85B37">
              <w:rPr>
                <w:rFonts w:ascii="Times New Roman" w:hAnsi="Times New Roman" w:cs="Times New Roman"/>
                <w:noProof/>
                <w:webHidden/>
              </w:rPr>
              <w:fldChar w:fldCharType="end"/>
            </w:r>
          </w:hyperlink>
        </w:p>
        <w:p w14:paraId="1707AAAA" w14:textId="0B54BB04" w:rsidR="00F85B37" w:rsidRPr="00F85B37" w:rsidRDefault="003D58A7">
          <w:pPr>
            <w:pStyle w:val="TOC1"/>
            <w:tabs>
              <w:tab w:val="left" w:pos="440"/>
              <w:tab w:val="right" w:leader="dot" w:pos="9016"/>
            </w:tabs>
            <w:rPr>
              <w:rFonts w:ascii="Times New Roman" w:eastAsiaTheme="minorEastAsia" w:hAnsi="Times New Roman" w:cs="Times New Roman"/>
              <w:noProof/>
            </w:rPr>
          </w:pPr>
          <w:hyperlink w:anchor="_Toc117153905" w:history="1">
            <w:r w:rsidR="00F85B37" w:rsidRPr="00F85B37">
              <w:rPr>
                <w:rStyle w:val="Hyperlink"/>
                <w:rFonts w:ascii="Times New Roman" w:hAnsi="Times New Roman" w:cs="Times New Roman"/>
                <w:noProof/>
              </w:rPr>
              <w:t>5</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DISCUSSION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_Toc117153905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107</w:t>
            </w:r>
            <w:r w:rsidR="00F85B37" w:rsidRPr="00F85B37">
              <w:rPr>
                <w:rFonts w:ascii="Times New Roman" w:hAnsi="Times New Roman" w:cs="Times New Roman"/>
                <w:noProof/>
                <w:webHidden/>
              </w:rPr>
              <w:fldChar w:fldCharType="end"/>
            </w:r>
          </w:hyperlink>
        </w:p>
        <w:p w14:paraId="1C2B02F1" w14:textId="57285D90" w:rsidR="00F85B37" w:rsidRPr="00F85B37" w:rsidRDefault="003D58A7">
          <w:pPr>
            <w:pStyle w:val="TOC1"/>
            <w:tabs>
              <w:tab w:val="left" w:pos="440"/>
              <w:tab w:val="right" w:leader="dot" w:pos="9016"/>
            </w:tabs>
            <w:rPr>
              <w:rFonts w:ascii="Times New Roman" w:eastAsiaTheme="minorEastAsia" w:hAnsi="Times New Roman" w:cs="Times New Roman"/>
              <w:noProof/>
            </w:rPr>
          </w:pPr>
          <w:hyperlink w:anchor="_Toc117153906" w:history="1">
            <w:r w:rsidR="00F85B37" w:rsidRPr="00F85B37">
              <w:rPr>
                <w:rStyle w:val="Hyperlink"/>
                <w:rFonts w:ascii="Times New Roman" w:hAnsi="Times New Roman" w:cs="Times New Roman"/>
                <w:noProof/>
              </w:rPr>
              <w:t>6</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CONCLUSION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_Toc117153906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117</w:t>
            </w:r>
            <w:r w:rsidR="00F85B37" w:rsidRPr="00F85B37">
              <w:rPr>
                <w:rFonts w:ascii="Times New Roman" w:hAnsi="Times New Roman" w:cs="Times New Roman"/>
                <w:noProof/>
                <w:webHidden/>
              </w:rPr>
              <w:fldChar w:fldCharType="end"/>
            </w:r>
          </w:hyperlink>
        </w:p>
        <w:p w14:paraId="391CA075" w14:textId="7F995899" w:rsidR="00F85B37" w:rsidRPr="00F85B37" w:rsidRDefault="003D58A7">
          <w:pPr>
            <w:pStyle w:val="TOC1"/>
            <w:tabs>
              <w:tab w:val="left" w:pos="440"/>
              <w:tab w:val="right" w:leader="dot" w:pos="9016"/>
            </w:tabs>
            <w:rPr>
              <w:rFonts w:ascii="Times New Roman" w:eastAsiaTheme="minorEastAsia" w:hAnsi="Times New Roman" w:cs="Times New Roman"/>
              <w:noProof/>
            </w:rPr>
          </w:pPr>
          <w:hyperlink w:anchor="_Toc117153907" w:history="1">
            <w:r w:rsidR="00F85B37" w:rsidRPr="00F85B37">
              <w:rPr>
                <w:rStyle w:val="Hyperlink"/>
                <w:rFonts w:ascii="Times New Roman" w:hAnsi="Times New Roman" w:cs="Times New Roman"/>
                <w:noProof/>
              </w:rPr>
              <w:t>7</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ABBREVIATION</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_Toc117153907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118</w:t>
            </w:r>
            <w:r w:rsidR="00F85B37" w:rsidRPr="00F85B37">
              <w:rPr>
                <w:rFonts w:ascii="Times New Roman" w:hAnsi="Times New Roman" w:cs="Times New Roman"/>
                <w:noProof/>
                <w:webHidden/>
              </w:rPr>
              <w:fldChar w:fldCharType="end"/>
            </w:r>
          </w:hyperlink>
        </w:p>
        <w:p w14:paraId="1A44783B" w14:textId="6F8F26DC" w:rsidR="00F85B37" w:rsidRPr="00F85B37" w:rsidRDefault="003D58A7">
          <w:pPr>
            <w:pStyle w:val="TOC1"/>
            <w:tabs>
              <w:tab w:val="left" w:pos="440"/>
              <w:tab w:val="right" w:leader="dot" w:pos="9016"/>
            </w:tabs>
            <w:rPr>
              <w:rFonts w:ascii="Times New Roman" w:eastAsiaTheme="minorEastAsia" w:hAnsi="Times New Roman" w:cs="Times New Roman"/>
              <w:noProof/>
            </w:rPr>
          </w:pPr>
          <w:hyperlink w:anchor="_Toc117153908" w:history="1">
            <w:r w:rsidR="00F85B37" w:rsidRPr="00F85B37">
              <w:rPr>
                <w:rStyle w:val="Hyperlink"/>
                <w:rFonts w:ascii="Times New Roman" w:hAnsi="Times New Roman" w:cs="Times New Roman"/>
                <w:noProof/>
              </w:rPr>
              <w:t>8</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LITERATURE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_Toc117153908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121</w:t>
            </w:r>
            <w:r w:rsidR="00F85B37" w:rsidRPr="00F85B37">
              <w:rPr>
                <w:rFonts w:ascii="Times New Roman" w:hAnsi="Times New Roman" w:cs="Times New Roman"/>
                <w:noProof/>
                <w:webHidden/>
              </w:rPr>
              <w:fldChar w:fldCharType="end"/>
            </w:r>
          </w:hyperlink>
        </w:p>
        <w:p w14:paraId="4FC52D19" w14:textId="7A1BA2F2" w:rsidR="00F85B37" w:rsidRPr="00F85B37" w:rsidRDefault="003D58A7">
          <w:pPr>
            <w:pStyle w:val="TOC1"/>
            <w:tabs>
              <w:tab w:val="left" w:pos="440"/>
              <w:tab w:val="right" w:leader="dot" w:pos="9016"/>
            </w:tabs>
            <w:rPr>
              <w:rFonts w:ascii="Times New Roman" w:eastAsiaTheme="minorEastAsia" w:hAnsi="Times New Roman" w:cs="Times New Roman"/>
              <w:noProof/>
            </w:rPr>
          </w:pPr>
          <w:hyperlink w:anchor="_Toc117153909" w:history="1">
            <w:r w:rsidR="00F85B37" w:rsidRPr="00F85B37">
              <w:rPr>
                <w:rStyle w:val="Hyperlink"/>
                <w:rFonts w:ascii="Times New Roman" w:hAnsi="Times New Roman" w:cs="Times New Roman"/>
                <w:noProof/>
              </w:rPr>
              <w:t>9</w:t>
            </w:r>
            <w:r w:rsidR="00F85B37" w:rsidRPr="00F85B37">
              <w:rPr>
                <w:rFonts w:ascii="Times New Roman" w:eastAsiaTheme="minorEastAsia" w:hAnsi="Times New Roman" w:cs="Times New Roman"/>
                <w:noProof/>
              </w:rPr>
              <w:tab/>
            </w:r>
            <w:r w:rsidR="00F85B37" w:rsidRPr="00F85B37">
              <w:rPr>
                <w:rStyle w:val="Hyperlink"/>
                <w:rFonts w:ascii="Times New Roman" w:hAnsi="Times New Roman" w:cs="Times New Roman"/>
                <w:noProof/>
              </w:rPr>
              <w:t>CURRICULUM VITAE</w:t>
            </w:r>
            <w:r w:rsidR="00F85B37" w:rsidRPr="00F85B37">
              <w:rPr>
                <w:rFonts w:ascii="Times New Roman" w:hAnsi="Times New Roman" w:cs="Times New Roman"/>
                <w:noProof/>
                <w:webHidden/>
              </w:rPr>
              <w:tab/>
            </w:r>
            <w:r w:rsidR="00F85B37" w:rsidRPr="00F85B37">
              <w:rPr>
                <w:rFonts w:ascii="Times New Roman" w:hAnsi="Times New Roman" w:cs="Times New Roman"/>
                <w:noProof/>
                <w:webHidden/>
              </w:rPr>
              <w:fldChar w:fldCharType="begin"/>
            </w:r>
            <w:r w:rsidR="00F85B37" w:rsidRPr="00F85B37">
              <w:rPr>
                <w:rFonts w:ascii="Times New Roman" w:hAnsi="Times New Roman" w:cs="Times New Roman"/>
                <w:noProof/>
                <w:webHidden/>
              </w:rPr>
              <w:instrText xml:space="preserve"> PAGEREF _Toc117153909 \h </w:instrText>
            </w:r>
            <w:r w:rsidR="00F85B37" w:rsidRPr="00F85B37">
              <w:rPr>
                <w:rFonts w:ascii="Times New Roman" w:hAnsi="Times New Roman" w:cs="Times New Roman"/>
                <w:noProof/>
                <w:webHidden/>
              </w:rPr>
            </w:r>
            <w:r w:rsidR="00F85B37" w:rsidRPr="00F85B37">
              <w:rPr>
                <w:rFonts w:ascii="Times New Roman" w:hAnsi="Times New Roman" w:cs="Times New Roman"/>
                <w:noProof/>
                <w:webHidden/>
              </w:rPr>
              <w:fldChar w:fldCharType="separate"/>
            </w:r>
            <w:r w:rsidR="00790F77">
              <w:rPr>
                <w:rFonts w:ascii="Times New Roman" w:hAnsi="Times New Roman" w:cs="Times New Roman"/>
                <w:noProof/>
                <w:webHidden/>
              </w:rPr>
              <w:t>137</w:t>
            </w:r>
            <w:r w:rsidR="00F85B37" w:rsidRPr="00F85B37">
              <w:rPr>
                <w:rFonts w:ascii="Times New Roman" w:hAnsi="Times New Roman" w:cs="Times New Roman"/>
                <w:noProof/>
                <w:webHidden/>
              </w:rPr>
              <w:fldChar w:fldCharType="end"/>
            </w:r>
          </w:hyperlink>
        </w:p>
        <w:p w14:paraId="72AA5AB3" w14:textId="2245E822" w:rsidR="00D21920" w:rsidRPr="002E26D2" w:rsidRDefault="006573A8" w:rsidP="004927BB">
          <w:pPr>
            <w:spacing w:line="360" w:lineRule="auto"/>
            <w:rPr>
              <w:rFonts w:ascii="Times New Roman" w:hAnsi="Times New Roman" w:cs="Times New Roman"/>
              <w:sz w:val="24"/>
              <w:szCs w:val="24"/>
            </w:rPr>
          </w:pPr>
          <w:r w:rsidRPr="00F85B37">
            <w:rPr>
              <w:rFonts w:ascii="Times New Roman" w:eastAsia="Calibri" w:hAnsi="Times New Roman" w:cs="Times New Roman"/>
              <w:sz w:val="24"/>
              <w:szCs w:val="24"/>
            </w:rPr>
            <w:fldChar w:fldCharType="end"/>
          </w:r>
        </w:p>
      </w:sdtContent>
    </w:sdt>
    <w:p w14:paraId="0CC01AC8" w14:textId="6A7ED1E9" w:rsidR="000F01D0" w:rsidRPr="002E26D2" w:rsidRDefault="000F01D0" w:rsidP="004927BB">
      <w:pPr>
        <w:pStyle w:val="Table"/>
        <w:numPr>
          <w:ilvl w:val="0"/>
          <w:numId w:val="0"/>
        </w:numPr>
        <w:spacing w:line="360" w:lineRule="auto"/>
        <w:rPr>
          <w:rFonts w:ascii="Times New Roman" w:hAnsi="Times New Roman" w:cs="Times New Roman"/>
          <w:sz w:val="24"/>
          <w:szCs w:val="24"/>
        </w:rPr>
      </w:pPr>
    </w:p>
    <w:p w14:paraId="6D72D791" w14:textId="77777777" w:rsidR="009B0598" w:rsidRDefault="00D21920" w:rsidP="004927BB">
      <w:pPr>
        <w:spacing w:line="360" w:lineRule="auto"/>
        <w:rPr>
          <w:rFonts w:ascii="Times New Roman" w:hAnsi="Times New Roman" w:cs="Times New Roman"/>
          <w:sz w:val="24"/>
          <w:szCs w:val="24"/>
          <w:lang w:val="hr-HR"/>
        </w:rPr>
        <w:sectPr w:rsidR="009B0598" w:rsidSect="003F78E8">
          <w:pgSz w:w="11906" w:h="16838"/>
          <w:pgMar w:top="1440" w:right="1440" w:bottom="1440" w:left="1440" w:header="709" w:footer="709" w:gutter="0"/>
          <w:cols w:space="708"/>
          <w:docGrid w:linePitch="360"/>
        </w:sectPr>
      </w:pPr>
      <w:r w:rsidRPr="002E26D2">
        <w:rPr>
          <w:rFonts w:ascii="Times New Roman" w:hAnsi="Times New Roman" w:cs="Times New Roman"/>
          <w:sz w:val="24"/>
          <w:szCs w:val="24"/>
          <w:lang w:val="hr-HR"/>
        </w:rPr>
        <w:br w:type="page"/>
      </w:r>
    </w:p>
    <w:p w14:paraId="3F67B3D5" w14:textId="75FAB0F2" w:rsidR="00467508" w:rsidRPr="005953EB" w:rsidRDefault="00467508" w:rsidP="00735F9C">
      <w:pPr>
        <w:pStyle w:val="Heading1"/>
        <w:numPr>
          <w:ilvl w:val="0"/>
          <w:numId w:val="12"/>
        </w:numPr>
        <w:spacing w:line="360" w:lineRule="auto"/>
        <w:rPr>
          <w:rFonts w:cs="Times New Roman"/>
          <w:szCs w:val="32"/>
        </w:rPr>
      </w:pPr>
      <w:bookmarkStart w:id="0" w:name="_Toc117153819"/>
      <w:r w:rsidRPr="005953EB">
        <w:rPr>
          <w:rFonts w:cs="Times New Roman"/>
          <w:szCs w:val="32"/>
        </w:rPr>
        <w:lastRenderedPageBreak/>
        <w:t>INTRODUCTION</w:t>
      </w:r>
      <w:bookmarkEnd w:id="0"/>
    </w:p>
    <w:p w14:paraId="031247C0" w14:textId="321C8407" w:rsidR="009E7BED" w:rsidRDefault="009E7BED"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The nucleoside diphosphate kinases (</w:t>
      </w:r>
      <w:bookmarkStart w:id="1" w:name="_Hlk107823933"/>
      <w:r w:rsidRPr="002E26D2">
        <w:rPr>
          <w:rFonts w:ascii="Times New Roman" w:hAnsi="Times New Roman" w:cs="Times New Roman"/>
          <w:sz w:val="24"/>
          <w:szCs w:val="24"/>
        </w:rPr>
        <w:t>NDPK/NME/NM23</w:t>
      </w:r>
      <w:bookmarkEnd w:id="1"/>
      <w:r w:rsidRPr="002E26D2">
        <w:rPr>
          <w:rFonts w:ascii="Times New Roman" w:hAnsi="Times New Roman" w:cs="Times New Roman"/>
          <w:sz w:val="24"/>
          <w:szCs w:val="24"/>
        </w:rPr>
        <w:t xml:space="preserve">) </w:t>
      </w:r>
      <w:r w:rsidR="00113C04">
        <w:rPr>
          <w:rFonts w:ascii="Times New Roman" w:hAnsi="Times New Roman" w:cs="Times New Roman"/>
          <w:sz w:val="24"/>
          <w:szCs w:val="24"/>
        </w:rPr>
        <w:t>compose</w:t>
      </w:r>
      <w:r w:rsidRPr="002E26D2">
        <w:rPr>
          <w:rFonts w:ascii="Times New Roman" w:hAnsi="Times New Roman" w:cs="Times New Roman"/>
          <w:sz w:val="24"/>
          <w:szCs w:val="24"/>
        </w:rPr>
        <w:t xml:space="preserve"> a family of proteins that display one, several or even partial nucleoside diphosphate kinase (NDPK) domains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NDPKs were first described nearly 70 years ago in pigeon breast muscle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10.1038/1721008a0","ISSN":"0028-0836","PMID":"13111245","author":[{"dropping-particle":"","family":"Berg","given":"P.","non-dropping-particle":"","parse-names":false,"suffix":""},{"dropping-particle":"","family":"Joklik","given":"W. K.","non-dropping-particle":"","parse-names":false,"suffix":""}],"container-title":"Nature","id":"ITEM-1","issue":"4387","issued":{"date-parts":[["1953","11"]]},"page":"1008-1009","publisher":"Nature","title":"Transphosphorylation between Nucleoside Polyphosphates","type":"article-journal","volume":"172"},"uris":["http://www.mendeley.com/documents/?uuid=abf5efde-0a59-333a-9034-e353b69824dd"]}],"mendeley":{"formattedCitation":"[2]","plainTextFormattedCitation":"[2]","previouslyFormattedCitation":"[2]"},"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and yeast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{"citationItems":[{"id":"ITEM-1","itemData":{"DOI":"10.1016/0006-3002(53)90136-X","ISSN":"00063002","PMID":"13115426","abstract":"1. 1. A paper chromatographic procedure for the separation of the 5- mono-, di-, and tri-phosphates of adenosine and inosine is described. 2. 2. The terminal phosphate group of added ITP becomes radioactive at about the same rate as the two terminal phosphate groups of added ATP when respiring suspensions of pigeon breast muscle are incubated with 32PO4. 3. 3. ITP also becomes radioactive when incubated anaerobically with suspensions of muscles or intestinal mucosa containing 32P labelled ATP. 4. 4. Purified myokinase, myosin ATPase, or soluble ATPase do not transfer phosphate from ATP to inosine phosphates. The two latter enzymes hydrolyse both ATP and ITP, but when the two substrates are added together the rate of hydrolysis is lower than the sum of the rates of reaction found when the substrates are added singly. 5. 5. The observations are in accordance with the assumption that animal tissues contain a specific phospho-kinase which catalyses the reaction ATP + IDP {S-E arrow with hook} ADP + ITP. © 1953.","author":[{"dropping-particle":"","family":"Krebs","given":"H.A.","non-dropping-particle":"","parse-names":false,"suffix":""},{"dropping-particle":"","family":"Hems","given":"R.","non-dropping-particle":"","parse-names":false,"suffix":""}],"container-title":"Biochimica et Biophysica Acta","id":"ITEM-1","issue":"1-2","issued":{"date-parts":[["1953","10"]]},"page":"172-180","publisher":"Biochim Biophys Acta","title":"Some reactions of adenosine and inosine phosphates in animal tissues","type":"article-journal","volume":"12"},"uris":["http://www.mendeley.com/documents/?uuid=b9881f00-99c8-3262-81c9-6f0ddc6b91de"]}],"mendeley":{"formattedCitation":"[3]","plainTextFormattedCitation":"[3]","previouslyFormattedCitation":"[3]"},"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where authors</w:t>
      </w:r>
      <w:r w:rsidR="0088121A">
        <w:rPr>
          <w:rFonts w:ascii="Times New Roman" w:hAnsi="Times New Roman" w:cs="Times New Roman"/>
          <w:sz w:val="24"/>
          <w:szCs w:val="24"/>
        </w:rPr>
        <w:t xml:space="preserve"> described </w:t>
      </w:r>
      <w:r w:rsidRPr="002E26D2">
        <w:rPr>
          <w:rFonts w:ascii="Times New Roman" w:hAnsi="Times New Roman" w:cs="Times New Roman"/>
          <w:sz w:val="24"/>
          <w:szCs w:val="24"/>
        </w:rPr>
        <w:t>the main enzymatic activity corresponding to the transfer of a terminal γ-phosphate group from a nucleoside triphosphate</w:t>
      </w:r>
      <w:r w:rsidR="009049DA" w:rsidRPr="002E26D2">
        <w:rPr>
          <w:rFonts w:ascii="Times New Roman" w:hAnsi="Times New Roman" w:cs="Times New Roman"/>
          <w:sz w:val="24"/>
          <w:szCs w:val="24"/>
        </w:rPr>
        <w:t xml:space="preserve"> (NTP)</w:t>
      </w:r>
      <w:r w:rsidRPr="002E26D2">
        <w:rPr>
          <w:rFonts w:ascii="Times New Roman" w:hAnsi="Times New Roman" w:cs="Times New Roman"/>
          <w:sz w:val="24"/>
          <w:szCs w:val="24"/>
        </w:rPr>
        <w:t xml:space="preserve"> to a nucleoside diphosphate</w:t>
      </w:r>
      <w:r w:rsidR="009049DA" w:rsidRPr="002E26D2">
        <w:rPr>
          <w:rFonts w:ascii="Times New Roman" w:hAnsi="Times New Roman" w:cs="Times New Roman"/>
          <w:sz w:val="24"/>
          <w:szCs w:val="24"/>
        </w:rPr>
        <w:t xml:space="preserve"> (NDP)</w:t>
      </w:r>
      <w:r w:rsidRPr="002E26D2">
        <w:rPr>
          <w:rFonts w:ascii="Times New Roman" w:hAnsi="Times New Roman" w:cs="Times New Roman"/>
          <w:sz w:val="24"/>
          <w:szCs w:val="24"/>
        </w:rPr>
        <w:t>. As th</w:t>
      </w:r>
      <w:r w:rsidR="00532006">
        <w:rPr>
          <w:rFonts w:ascii="Times New Roman" w:hAnsi="Times New Roman" w:cs="Times New Roman"/>
          <w:sz w:val="24"/>
          <w:szCs w:val="24"/>
        </w:rPr>
        <w:t>is</w:t>
      </w:r>
      <w:r w:rsidRPr="002E26D2">
        <w:rPr>
          <w:rFonts w:ascii="Times New Roman" w:hAnsi="Times New Roman" w:cs="Times New Roman"/>
          <w:sz w:val="24"/>
          <w:szCs w:val="24"/>
        </w:rPr>
        <w:t xml:space="preserve"> group of proteins kept on being rediscovered in unrelated fields and model organisms, a peculiar and confusing nomenclature was used to describe the family. Apart to NDPK, the family’s members were also named after the </w:t>
      </w:r>
      <w:r w:rsidR="00A5678D">
        <w:rPr>
          <w:rFonts w:ascii="Times New Roman" w:hAnsi="Times New Roman" w:cs="Times New Roman"/>
          <w:sz w:val="24"/>
          <w:szCs w:val="24"/>
        </w:rPr>
        <w:t>anti</w:t>
      </w:r>
      <w:r w:rsidRPr="002E26D2">
        <w:rPr>
          <w:rFonts w:ascii="Times New Roman" w:hAnsi="Times New Roman" w:cs="Times New Roman"/>
          <w:sz w:val="24"/>
          <w:szCs w:val="24"/>
        </w:rPr>
        <w:t xml:space="preserve">-metastatic properties of some members, as NME (non-metastatic) or NM23 (non-metastatic clone 23), or even denominated as AWD (abnormal wing discs) after the developmental phenotype defect observed in </w:t>
      </w:r>
      <w:r w:rsidRPr="00E557F5">
        <w:rPr>
          <w:rFonts w:ascii="Times New Roman" w:hAnsi="Times New Roman" w:cs="Times New Roman"/>
          <w:i/>
          <w:iCs/>
          <w:sz w:val="24"/>
          <w:szCs w:val="24"/>
        </w:rPr>
        <w:t>Drosophila melanogaster</w:t>
      </w:r>
      <w:r w:rsidRPr="002E26D2">
        <w:rPr>
          <w:rFonts w:ascii="Times New Roman" w:hAnsi="Times New Roman" w:cs="Times New Roman"/>
          <w:sz w:val="24"/>
          <w:szCs w:val="24"/>
        </w:rPr>
        <w:t xml:space="preserve"> upon mutation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{"citationItems":[{"id":"ITEM-1","itemData":{"DOI":"10.1016/0012-1606(88)90170-4","ISSN":"00121606","PMID":"3137111","abstract":"In order to recover mutations affecting imaginal discs in a way which would allow the relevant genes to be readily cloned, a hybrid dysgenic screen was performed for mutations causing late larval/early pupal lethality. This paper describes that mutagenesis procedure and the phenotypes caused by the mutations that were recovered. Of 81 late larval/pupal lethal mutations that were recovered, 20 cause imaginal disc defects. These 20 mutations define 12 different genes. This paper also includes a description of the developmental defects caused by a mutation in one of those 12 genes which we have named abnormal wing discs (awd); the following paper (C. Dearolf, N. Tripoulas, J. Biggs, and A. Shearn, 1988, Dev. Biol. 129, 169-178) describes the cloning of the awd gene and an analysis of its pattern of transcription. awdb3 homozygotes develop at a normal rate until the end of the second larval instar, when their rate of development is reduced. After an extended third larval instar, they form puparia and die. Mutant wing discs have an abnormal morphology and extensive cell death. These abnormal wing discs, and also the leg and eye-antenna discs which appear to be morphologically normal, differentiate poorly or not at all when injected into metamorphosing larvae. Analysis of genetic mosaics indicates that the awdb3 mutation is expressed in a cell-autonomous manner in wing, leg, and eye-antenna discs. The larval brain and proventriculus in awdb3 homozygous third-instar larvae appear to be vacuolated due to the accumulation of lipid droplets. Mutant ovaries are unable to develop when injected into wild-type larvae, although mutant germ cells are capable of producing normal eggs. © 1988.","author":[{"dropping-particle":"","family":"Dearolf","given":"Charles R.","non-dropping-particle":"","parse-names":false,"suffix":""},{"dropping-particle":"","family":"Hersperger","given":"Evelyn","non-dropping-particle":"","parse-names":false,"suffix":""},{"dropping-particle":"","family":"Shearn","given":"Allen","non-dropping-particle":"","parse-names":false,"suffix":""}],"container-title":"Developmental Biology","id":"ITEM-1","issue":"1","issued":{"date-parts":[["1988","9","1"]]},"page":"159-168","publisher":"Academic Press","title":"Developmental consequences of awdb3, a cell-autonomous lethal mutation of Drosophila induced by hybrid dysgenesis","type":"article-journal","volume":"129"},"uris":["http://www.mendeley.com/documents/?uuid=54f2417d-e1dd-3ae8-b2ab-a250ff58540a"]}],"mendeley":{"formattedCitation":"[4]","plainTextFormattedCitation":"[4]","previouslyFormattedCitation":"[4]"},"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For the clarity of this dissertation, </w:t>
      </w:r>
      <w:r w:rsidR="00F32CE7" w:rsidRPr="002E26D2">
        <w:rPr>
          <w:rFonts w:ascii="Times New Roman" w:hAnsi="Times New Roman" w:cs="Times New Roman"/>
          <w:sz w:val="24"/>
          <w:szCs w:val="24"/>
        </w:rPr>
        <w:t>NDPK/NME/NM23</w:t>
      </w:r>
      <w:r w:rsidR="00F32CE7">
        <w:rPr>
          <w:rFonts w:ascii="Times New Roman" w:hAnsi="Times New Roman" w:cs="Times New Roman"/>
          <w:sz w:val="24"/>
          <w:szCs w:val="24"/>
        </w:rPr>
        <w:t xml:space="preserve"> </w:t>
      </w:r>
      <w:r w:rsidRPr="002E26D2">
        <w:rPr>
          <w:rFonts w:ascii="Times New Roman" w:hAnsi="Times New Roman" w:cs="Times New Roman"/>
          <w:sz w:val="24"/>
          <w:szCs w:val="24"/>
        </w:rPr>
        <w:t>proteins will be referred exclusively as NME, while the main enzymatic activity and domain will be referred as NDPK activity and NDPK domain.</w:t>
      </w:r>
    </w:p>
    <w:p w14:paraId="07C9C3B1" w14:textId="6A7D934C" w:rsidR="00344444" w:rsidRDefault="00344444" w:rsidP="004927BB">
      <w:pPr>
        <w:spacing w:line="360" w:lineRule="auto"/>
        <w:jc w:val="both"/>
        <w:rPr>
          <w:rFonts w:ascii="Times New Roman" w:hAnsi="Times New Roman" w:cs="Times New Roman"/>
          <w:sz w:val="24"/>
          <w:szCs w:val="24"/>
        </w:rPr>
      </w:pPr>
      <w:r>
        <w:rPr>
          <w:rFonts w:ascii="Times New Roman" w:hAnsi="Times New Roman" w:cs="Times New Roman"/>
          <w:sz w:val="24"/>
          <w:szCs w:val="24"/>
        </w:rPr>
        <w:t>The human</w:t>
      </w:r>
      <w:r w:rsidR="00F32CE7">
        <w:rPr>
          <w:rFonts w:ascii="Times New Roman" w:hAnsi="Times New Roman" w:cs="Times New Roman"/>
          <w:sz w:val="24"/>
          <w:szCs w:val="24"/>
        </w:rPr>
        <w:t xml:space="preserve"> NME</w:t>
      </w:r>
      <w:r>
        <w:rPr>
          <w:rFonts w:ascii="Times New Roman" w:hAnsi="Times New Roman" w:cs="Times New Roman"/>
          <w:sz w:val="24"/>
          <w:szCs w:val="24"/>
        </w:rPr>
        <w:t xml:space="preserve"> family is divided in two groups based on phylogenetic analyses</w:t>
      </w:r>
      <w:r w:rsidR="003A7CED">
        <w:rPr>
          <w:rFonts w:ascii="Times New Roman" w:hAnsi="Times New Roman" w:cs="Times New Roman"/>
          <w:sz w:val="24"/>
          <w:szCs w:val="24"/>
        </w:rPr>
        <w:t xml:space="preserve"> </w:t>
      </w:r>
      <w:r w:rsidR="003A7CED">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003A7CED">
        <w:rPr>
          <w:rFonts w:ascii="Times New Roman" w:hAnsi="Times New Roman" w:cs="Times New Roman"/>
          <w:sz w:val="24"/>
          <w:szCs w:val="24"/>
        </w:rPr>
        <w:fldChar w:fldCharType="separate"/>
      </w:r>
      <w:r w:rsidR="003A7CED" w:rsidRPr="003A7CED">
        <w:rPr>
          <w:rFonts w:ascii="Times New Roman" w:hAnsi="Times New Roman" w:cs="Times New Roman"/>
          <w:noProof/>
          <w:sz w:val="24"/>
          <w:szCs w:val="24"/>
        </w:rPr>
        <w:t>[1]</w:t>
      </w:r>
      <w:r w:rsidR="003A7CED">
        <w:rPr>
          <w:rFonts w:ascii="Times New Roman" w:hAnsi="Times New Roman" w:cs="Times New Roman"/>
          <w:sz w:val="24"/>
          <w:szCs w:val="24"/>
        </w:rPr>
        <w:fldChar w:fldCharType="end"/>
      </w:r>
      <w:r w:rsidR="00F32CE7">
        <w:rPr>
          <w:rFonts w:ascii="Times New Roman" w:hAnsi="Times New Roman" w:cs="Times New Roman"/>
          <w:sz w:val="24"/>
          <w:szCs w:val="24"/>
        </w:rPr>
        <w:t>.</w:t>
      </w:r>
      <w:r>
        <w:rPr>
          <w:rFonts w:ascii="Times New Roman" w:hAnsi="Times New Roman" w:cs="Times New Roman"/>
          <w:sz w:val="24"/>
          <w:szCs w:val="24"/>
        </w:rPr>
        <w:t xml:space="preserve"> Group I members (NME1-NME4) share high sequence homology and all display NDPK activity</w:t>
      </w:r>
      <w:r w:rsidR="003A7CED">
        <w:rPr>
          <w:rFonts w:ascii="Times New Roman" w:hAnsi="Times New Roman" w:cs="Times New Roman"/>
          <w:sz w:val="24"/>
          <w:szCs w:val="24"/>
        </w:rPr>
        <w:t xml:space="preserve"> </w:t>
      </w:r>
      <w:r w:rsidR="003A7CED">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{"citationItems":[{"id":"ITEM-1","itemData":{"DOI":"10.1038/s41374-017-0004-5","ISSN":"0023-6837","abstract":"Mitochondrial nucleoside diphosphate kinase (NDPK-D; synonyms: NME4, NM23-H4) represents the major mitochondrial NDP kinase. The homohexameric complex emerged as a protein with multiple functions in bioenergetics and phospholipid signaling. It occurs at different but precise mitochondrial locations and can affect among other mitochondrial shapes and dynamics, as well as the specific elimination of defective mitochondria or cells via mitophagy or apoptosis. With these various functions in cell homeostasis, NDPK-D/NME4 adds to the group of so-called moonlighting (or gene sharing) proteins.","author":[{"dropping-particle":"","family":"Lacombe","given":"Marie-Lise","non-dropping-particle":"","parse-names":false,"suffix":""},{"dropping-particle":"","family":"Tokarska-Schlattner","given":"Malgorzata","non-dropping-particle":"","parse-names":false,"suffix":""},{"dropping-particle":"","family":"Boissan","given":"Mathieu","non-dropping-particle":"","parse-names":false,"suffix":""},{"dropping-particle":"","family":"Schlattner","given":"Uwe","non-dropping-particle":"","parse-names":false,"suffix":""}],"container-title":"Laboratory Investigation","id":"ITEM-1","issue":"5","issued":{"date-parts":[["2018","5","28"]]},"page":"582-588","title":"The mitochondrial nucleoside diphosphate kinase (NDPK-D/NME4), a moonlighting protein for cell homeostasis","type":"article-journal","volume":"98"},"uris":["http://www.mendeley.com/documents/?uuid=4b8172eb-5948-4422-a0de-3c009d16cb2c"]},{"id":"ITEM-2","itemData":{"DOI":"10.1021/bi0515974","ISBN":"6176321972","ISSN":"0006-2960","PMID":"16313181","abstract":"Nucleoside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P.","non-dropping-particle":"","parse-names":false,"suffix":""}],"container-title":"Biochemistry","id":"ITEM-2","issue":"48","issued":{"date-parts":[["2005","12","1"]]},"page":"15774-15786","title":"Characterization of the 3‘ → 5‘ Exonuclease Activity Found in Human Nucleoside Diphosphate Kinase 1 (NDK1) and Several of Its Homologues","type":"article-journal","volume":"44"},"uris":["http://www.mendeley.com/documents/?uuid=d08e4b91-7cb9-4360-83cb-d2ba4f733d59"]}],"mendeley":{"formattedCitation":"[5,6]","plainTextFormattedCitation":"[5,6]","previouslyFormattedCitation":"[5,6]"},"properties":{"noteIndex":0},"schema":"https://github.com/citation-style-language/schema/raw/master/csl-citation.json"}</w:instrText>
      </w:r>
      <w:r w:rsidR="003A7CED">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[5,6]</w:t>
      </w:r>
      <w:r w:rsidR="003A7CED">
        <w:rPr>
          <w:rFonts w:ascii="Times New Roman" w:hAnsi="Times New Roman" w:cs="Times New Roman"/>
          <w:sz w:val="24"/>
          <w:szCs w:val="24"/>
        </w:rPr>
        <w:fldChar w:fldCharType="end"/>
      </w:r>
      <w:r>
        <w:rPr>
          <w:rFonts w:ascii="Times New Roman" w:hAnsi="Times New Roman" w:cs="Times New Roman"/>
          <w:sz w:val="24"/>
          <w:szCs w:val="24"/>
        </w:rPr>
        <w:t xml:space="preserve">. Group II </w:t>
      </w:r>
      <w:r w:rsidR="007A6845">
        <w:rPr>
          <w:rFonts w:ascii="Times New Roman" w:hAnsi="Times New Roman" w:cs="Times New Roman"/>
          <w:sz w:val="24"/>
          <w:szCs w:val="24"/>
        </w:rPr>
        <w:t xml:space="preserve">(NME5-NME9) </w:t>
      </w:r>
      <w:r>
        <w:rPr>
          <w:rFonts w:ascii="Times New Roman" w:hAnsi="Times New Roman" w:cs="Times New Roman"/>
          <w:sz w:val="24"/>
          <w:szCs w:val="24"/>
        </w:rPr>
        <w:t>members are more divergent and all lack NDPK activity, with a possible exception for NME6</w:t>
      </w:r>
      <w:r w:rsidR="00F85225">
        <w:rPr>
          <w:rFonts w:ascii="Times New Roman" w:hAnsi="Times New Roman" w:cs="Times New Roman"/>
          <w:sz w:val="24"/>
          <w:szCs w:val="24"/>
        </w:rPr>
        <w:t xml:space="preserve"> </w:t>
      </w:r>
      <w:r w:rsidR="00F85225">
        <w:rPr>
          <w:rFonts w:ascii="Times New Roman" w:hAnsi="Times New Roman" w:cs="Times New Roman"/>
          <w:sz w:val="24"/>
          <w:szCs w:val="24"/>
        </w:rPr>
        <w:fldChar w:fldCharType="begin" w:fldLock="1"/>
      </w:r>
      <w:r w:rsidR="003B2CF6">
        <w:rPr>
          <w:rFonts w:ascii="Times New Roman" w:hAnsi="Times New Roman" w:cs="Times New Roman"/>
          <w:sz w:val="24"/>
          <w:szCs w:val="24"/>
        </w:rPr>
        <w:instrText>ADDIN CSL_CITATION {"citationItems":[{"id":"ITEM-1","itemData":{"DOI":"10.1021/bi0515974","ISBN":"6176321972","ISSN":"0006-2960","PMID":"16313181","abstract":"Nucleoside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P.","non-dropping-particle":"","parse-names":false,"suffix":""}],"container-title":"Biochemistry","id":"ITEM-1","issue":"48","issued":{"date-parts":[["2005","12","1"]]},"page":"15774-15786","title":"Characterization of the 3‘ → 5‘ Exonuclease Activity Found in Human Nucleoside Diphosphate Kinase 1 (NDK1) and Several of Its Homologues","type":"article-journal","volume":"44"},"uris":["http://www.mendeley.com/documents/?uuid=d08e4b91-7cb9-4360-83cb-d2ba4f733d59"]},{"id":"ITEM-2","itemData":{"DOI":"10.1038/labinvest.2017.137","ISSN":"0023-6837","abstract":"Nucleoside diphosphate kinases (NDPK) are nucleotide metabolism enzymes encoded by NME genes (also called NM23). Given the fact that not all NME-encoded proteins are catalytically active NDPKs and that NM23 generally refers to clinical studies on metastasis, we use here NME/NDPK to denote the proteins. Since their discovery in the 1950's, NMEs/NDPKs have been shown to be involved in multiple physiological and pathological cellular processes, but the molecular mechanisms have not been fully determined. Recent progress in elucidating these underlying mechanisms has been presented by experts in the field at the 10th International Congress on the NDPK/NME/AWD protein family in October 2016 in Dubrovnik, Croatia, and is summarized in review articles or original research in this and an upcoming issue of Laboratory Investigation. Within this editorial, we discuss three major cellular processes that involve members of the multi-functional NME/NDPK family: (i) cancer and metastasis dissemination, (ii) membrane remodeling and nucleotide channeling, and iii) protein histidine phosphorylation. 2018 USCAP, Inc All rights reserved.","author":[{"dropping-particle":"","family":"Boissan","given":"Mathieu","non-dropping-particle":"","parse-names":false,"suffix":""},{"dropping-particle":"","family":"Schlattner","given":"Uwe","non-dropping-particle":"","parse-names":false,"suffix":""},{"dropping-particle":"","family":"Lacombe","given":"Marie-Lise","non-dropping-particle":"","parse-names":false,"suffix":""}],"container-title":"Laboratory Investigation","id":"ITEM-2","issue":"2","issued":{"date-parts":[["2018","2","16"]]},"page":"164-174","publisher":"Nature Publishing Group","title":"The NDPK/NME superfamily: state of the art","type":"article-journal","volume":"98"},"uris":["http://www.mendeley.com/documents/?uuid=3e8e9a6b-606d-4a16-aa0e-911d2bdfbcc5"]},{"id":"ITEM-3","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Biochemistry","id":"ITEM-3","issue":"2","issued":{"date-parts":[["2000","2","1"]]},"page":"254-269","title":"A novel human nucleoside diphosphate (NDP) kinase, Nm23-H6, localizes in mitochondria and affects cytokinesis","type":"article-journal","volume":"76"},"uris":["http://www.mendeley.com/documents/?uuid=df2c4c21-5d94-4732-9900-18fddab52f72"]}],"mendeley":{"formattedCitation":"[6–8]","plainTextFormattedCitation":"[6–8]","previouslyFormattedCitation":"[6–8]"},"properties":{"noteIndex":0},"schema":"https://github.com/citation-style-language/schema/raw/master/csl-citation.json"}</w:instrText>
      </w:r>
      <w:r w:rsidR="00F85225">
        <w:rPr>
          <w:rFonts w:ascii="Times New Roman" w:hAnsi="Times New Roman" w:cs="Times New Roman"/>
          <w:sz w:val="24"/>
          <w:szCs w:val="24"/>
        </w:rPr>
        <w:fldChar w:fldCharType="separate"/>
      </w:r>
      <w:r w:rsidR="00F85225" w:rsidRPr="00F85225">
        <w:rPr>
          <w:rFonts w:ascii="Times New Roman" w:hAnsi="Times New Roman" w:cs="Times New Roman"/>
          <w:noProof/>
          <w:sz w:val="24"/>
          <w:szCs w:val="24"/>
        </w:rPr>
        <w:t>[6–8]</w:t>
      </w:r>
      <w:r w:rsidR="00F85225">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AE8E3F5" w14:textId="66947A9C" w:rsidR="00113C04" w:rsidRDefault="00113C04" w:rsidP="004927BB">
      <w:pPr>
        <w:spacing w:line="360" w:lineRule="auto"/>
        <w:jc w:val="both"/>
        <w:rPr>
          <w:rFonts w:ascii="Times New Roman" w:hAnsi="Times New Roman" w:cs="Times New Roman"/>
          <w:sz w:val="24"/>
          <w:szCs w:val="24"/>
        </w:rPr>
      </w:pPr>
      <w:r>
        <w:rPr>
          <w:rFonts w:ascii="Times New Roman" w:hAnsi="Times New Roman" w:cs="Times New Roman"/>
          <w:sz w:val="24"/>
          <w:szCs w:val="24"/>
        </w:rPr>
        <w:t>Although NME proteins have</w:t>
      </w:r>
      <w:r w:rsidR="00E557F5">
        <w:rPr>
          <w:rFonts w:ascii="Times New Roman" w:hAnsi="Times New Roman" w:cs="Times New Roman"/>
          <w:sz w:val="24"/>
          <w:szCs w:val="24"/>
        </w:rPr>
        <w:t xml:space="preserve"> </w:t>
      </w:r>
      <w:r>
        <w:rPr>
          <w:rFonts w:ascii="Times New Roman" w:hAnsi="Times New Roman" w:cs="Times New Roman"/>
          <w:sz w:val="24"/>
          <w:szCs w:val="24"/>
        </w:rPr>
        <w:t>been described</w:t>
      </w:r>
      <w:r w:rsidR="00532006">
        <w:rPr>
          <w:rFonts w:ascii="Times New Roman" w:hAnsi="Times New Roman" w:cs="Times New Roman"/>
          <w:sz w:val="24"/>
          <w:szCs w:val="24"/>
        </w:rPr>
        <w:t xml:space="preserve"> decades ago</w:t>
      </w:r>
      <w:r>
        <w:rPr>
          <w:rFonts w:ascii="Times New Roman" w:hAnsi="Times New Roman" w:cs="Times New Roman"/>
          <w:sz w:val="24"/>
          <w:szCs w:val="24"/>
        </w:rPr>
        <w:t xml:space="preserve">, they sparked </w:t>
      </w:r>
      <w:r w:rsidR="00344444">
        <w:rPr>
          <w:rFonts w:ascii="Times New Roman" w:hAnsi="Times New Roman" w:cs="Times New Roman"/>
          <w:sz w:val="24"/>
          <w:szCs w:val="24"/>
        </w:rPr>
        <w:t xml:space="preserve">considerable interest in the early nineties after the discovery of </w:t>
      </w:r>
      <w:r w:rsidR="004F2EC3">
        <w:rPr>
          <w:rFonts w:ascii="Times New Roman" w:hAnsi="Times New Roman" w:cs="Times New Roman"/>
          <w:sz w:val="24"/>
          <w:szCs w:val="24"/>
        </w:rPr>
        <w:t>metastasis</w:t>
      </w:r>
      <w:r w:rsidR="00344444">
        <w:rPr>
          <w:rFonts w:ascii="Times New Roman" w:hAnsi="Times New Roman" w:cs="Times New Roman"/>
          <w:sz w:val="24"/>
          <w:szCs w:val="24"/>
        </w:rPr>
        <w:t xml:space="preserve"> suppressor activity of NME1</w:t>
      </w:r>
      <w:r w:rsidR="00263086">
        <w:rPr>
          <w:rFonts w:ascii="Times New Roman" w:hAnsi="Times New Roman" w:cs="Times New Roman"/>
          <w:sz w:val="24"/>
          <w:szCs w:val="24"/>
        </w:rPr>
        <w:t xml:space="preserve"> </w:t>
      </w:r>
      <w:r w:rsidR="00263086">
        <w:rPr>
          <w:rFonts w:ascii="Times New Roman" w:hAnsi="Times New Roman" w:cs="Times New Roman"/>
          <w:sz w:val="24"/>
          <w:szCs w:val="24"/>
        </w:rPr>
        <w:fldChar w:fldCharType="begin" w:fldLock="1"/>
      </w:r>
      <w:r w:rsidR="00263086">
        <w:rPr>
          <w:rFonts w:ascii="Times New Roman" w:hAnsi="Times New Roman" w:cs="Times New Roman"/>
          <w:sz w:val="24"/>
          <w:szCs w:val="24"/>
        </w:rPr>
        <w:instrText>ADDIN CSL_CITATION {"citationItems":[{"id":"ITEM-1","itemData":{"DOI":"10.1093/jnci/80.3.200","ISSN":"0027-8874","abstract":"We describe a gene, NM23, that is associated with the tumor metasta-tic process. NM23 RNA levels were highest in cells and tumors of relatively low metastatic potential in two experimental systems: (1) murine K-1735 melanoma cell lines, in which the gene was identified, and (2) N-nitroso-N-methylurea-induced rat mammary carcinomas. NM23 RNA levels did not correlate with cell sensitivity to host immunological responses and may, therefore, be associated with intrinsic aggressiveness. The predicted carboxy-terminal protein sequence encoded by the pNM23 cDNA clone is novel compared with Genebank animal, bacterial, and viral sequences. [J Natl Cancer Inst 1988;80:200-204] Tumor metastasis, the process by which cells leave a tumor and colonize distant sites, is the major cause of death for cancer patients with solid malignant tumors. The tumor metastatic process is complex, requiring cells to move, invade tissues and basement membranes, avoid immunological responses, and colonize distant sites (7). Since many of the component cell functions in metas-tasis are poorly understood at the biochemical level, the identity of genes involved in metastasis is unknown. The identification of such genes may lead to new strategies for diagnostic and therapeutic approaches to metastatic disease. We have made two basic hypotheses in an approach to study metastasis: 1) The complexity of tumor metastasis suggests that genetic control of metastasis is exerted via the activation or deactiva-tion of multiple, specific genes, and 2) transfection approaches to identify relevant genes in complex multigenic systems such as metastasis may miss component genes that are required but are not of themselves sufficient to significantly alter metastatic behavior. On the basis of these hypotheses, we have examined differential gene expression in tumor metastasis and have identified a previously unknown gene, NM23. Interestingly , NM23 RNA levels are highest in cells and tumors of low metastatic potential, providing the first evidence that metastasis, in an experimental system , is associated with the loss of activity of certain nonimmunologically related genes. To identify a differentially expressed gene involved in tumor metas-tasis, we utilized a series of related murine melanoma cell lines of vary-ing' metastatic potentials. Seven cell lines derived from a murine K-1735 melanoma (2-5) exhibit significant differences in experimental (fig. 1A, top panel) as well as spontaneous (data not show…","author":[{"dropping-particle":"","family":"Steeg","given":"Patricia S","non-dropping-particle":"","parse-names":false,"suffix":""},{"dropping-particle":"","family":"Bevilacqua","given":"Generoso","non-dropping-particle":"","parse-names":false,"suffix":""},{"dropping-particle":"","family":"Kopper","given":"Laszlo","non-dropping-particle":"","parse-names":false,"suffix":""},{"dropping-particle":"","family":"Thorgeirsson","given":"Unnur P","non-dropping-particle":"","parse-names":false,"suffix":""},{"dropping-particle":"","family":"Talmadge","given":"James E","non-dropping-particle":"","parse-names":false,"suffix":""},{"dropping-particle":"","family":"Liotta","given":"Lance A","non-dropping-particle":"","parse-names":false,"suffix":""},{"dropping-particle":"","family":"Sobel","given":"M. E.","non-dropping-particle":"","parse-names":false,"suffix":""}],"container-title":"JNCI Journal of the National Cancer Institute","id":"ITEM-1","issue":"3","issued":{"date-parts":[["1988","4","6"]]},"page":"200-204","title":"Evidence for a Novel Gene Associated With Low Tumor Metastatic Potential","type":"article-journal","volume":"80"},"uris":["http://www.mendeley.com/documents/?uuid=6e9bf803-a001-4857-a78f-4d472c8e235b"]}],"mendeley":{"formattedCitation":"[9]","plainTextFormattedCitation":"[9]","previouslyFormattedCitation":"[9]"},"properties":{"noteIndex":0},"schema":"https://github.com/citation-style-language/schema/raw/master/csl-citation.json"}</w:instrText>
      </w:r>
      <w:r w:rsidR="00263086">
        <w:rPr>
          <w:rFonts w:ascii="Times New Roman" w:hAnsi="Times New Roman" w:cs="Times New Roman"/>
          <w:sz w:val="24"/>
          <w:szCs w:val="24"/>
        </w:rPr>
        <w:fldChar w:fldCharType="separate"/>
      </w:r>
      <w:r w:rsidR="00263086" w:rsidRPr="00263086">
        <w:rPr>
          <w:rFonts w:ascii="Times New Roman" w:hAnsi="Times New Roman" w:cs="Times New Roman"/>
          <w:noProof/>
          <w:sz w:val="24"/>
          <w:szCs w:val="24"/>
        </w:rPr>
        <w:t>[9]</w:t>
      </w:r>
      <w:r w:rsidR="00263086">
        <w:rPr>
          <w:rFonts w:ascii="Times New Roman" w:hAnsi="Times New Roman" w:cs="Times New Roman"/>
          <w:sz w:val="24"/>
          <w:szCs w:val="24"/>
        </w:rPr>
        <w:fldChar w:fldCharType="end"/>
      </w:r>
      <w:r w:rsidR="00344444">
        <w:rPr>
          <w:rFonts w:ascii="Times New Roman" w:hAnsi="Times New Roman" w:cs="Times New Roman"/>
          <w:sz w:val="24"/>
          <w:szCs w:val="24"/>
        </w:rPr>
        <w:t xml:space="preserve">. The resulting rapid accumulation of knowledge, especially for </w:t>
      </w:r>
      <w:r w:rsidR="003E066F">
        <w:rPr>
          <w:rFonts w:ascii="Times New Roman" w:hAnsi="Times New Roman" w:cs="Times New Roman"/>
          <w:sz w:val="24"/>
          <w:szCs w:val="24"/>
        </w:rPr>
        <w:t>G</w:t>
      </w:r>
      <w:r w:rsidR="00344444">
        <w:rPr>
          <w:rFonts w:ascii="Times New Roman" w:hAnsi="Times New Roman" w:cs="Times New Roman"/>
          <w:sz w:val="24"/>
          <w:szCs w:val="24"/>
        </w:rPr>
        <w:t>roup I members, pinpointed that NME protein must oligomerize</w:t>
      </w:r>
      <w:r w:rsidR="00263086">
        <w:rPr>
          <w:rFonts w:ascii="Times New Roman" w:hAnsi="Times New Roman" w:cs="Times New Roman"/>
          <w:sz w:val="24"/>
          <w:szCs w:val="24"/>
        </w:rPr>
        <w:t xml:space="preserve"> </w:t>
      </w:r>
      <w:r w:rsidR="00263086">
        <w:rPr>
          <w:rFonts w:ascii="Times New Roman" w:hAnsi="Times New Roman" w:cs="Times New Roman"/>
          <w:sz w:val="24"/>
          <w:szCs w:val="24"/>
        </w:rPr>
        <w:fldChar w:fldCharType="begin" w:fldLock="1"/>
      </w:r>
      <w:r w:rsidR="00263086">
        <w:rPr>
          <w:rFonts w:ascii="Times New Roman" w:hAnsi="Times New Roman" w:cs="Times New Roman"/>
          <w:sz w:val="24"/>
          <w:szCs w:val="24"/>
        </w:rPr>
        <w:instrText>ADDIN CSL_CITATION {"citationItems":[{"id":"ITEM-1","itemData":{"ISSN":"0021-9258","PMID":"1851158","abstract":"Human erythrocyte nucleoside-diphosphate kinase (NDP kinase) is a hexameric enzyme consisting of two kinds of polypeptide chains, A and B. By random association (A6, A5B...AB5, B6) these polypeptides form isoenzymes differing in their isoelectric point. Chains A and B of NDP kinase were purified by ion-exchange chromatography under denaturing conditions. Upon mixing and renaturation, the isozymic pattern of NDP kinase obtained by conventional methods was restored. Antibodies raised against purified chains showed significant cross-reactivity, both in immunoblot experiments and activity inhibition studies. Sequence determination showed that both chains consisted of 152 amino acid residues corresponding to Mr or 17,143 (chain A) and 17,294 (chain B), respectively. There was high homology between the two sequences (88% identity). The phosphorylation site on the enzyme is located at His-118. Chain A was identical with human Nm23 protein, which has been reported as a potential suppressor protein in tumor metastasis and chain B was identical with Nm23-H2 protein.","author":[{"dropping-particle":"","family":"Gilles","given":"A M","non-dropping-particle":"","parse-names":false,"suffix":""},{"dropping-particle":"","family":"Presecan","given":"E","non-dropping-particle":"","parse-names":false,"suffix":""},{"dropping-particle":"","family":"Vonica","given":"A","non-dropping-particle":"","parse-names":false,"suffix":""},{"dropping-particle":"","family":"Lascu","given":"I","non-dropping-particle":"","parse-names":false,"suffix":""}],"container-title":"The Journal of biological chemistry","id":"ITEM-1","issue":"14","issued":{"date-parts":[["1991","5","15"]]},"page":"8784-9","title":"Nucleoside diphosphate kinase from human erythrocytes. Structural characterization of the two polypeptide chains responsible for heterogeneity of the hexameric enzyme.","type":"article-journal","volume":"266"},"uris":["http://www.mendeley.com/documents/?uuid=021fc962-263a-41ad-95d4-3c91be8d5f28"]}],"mendeley":{"formattedCitation":"[10]","plainTextFormattedCitation":"[10]","previouslyFormattedCitation":"[10]"},"properties":{"noteIndex":0},"schema":"https://github.com/citation-style-language/schema/raw/master/csl-citation.json"}</w:instrText>
      </w:r>
      <w:r w:rsidR="00263086">
        <w:rPr>
          <w:rFonts w:ascii="Times New Roman" w:hAnsi="Times New Roman" w:cs="Times New Roman"/>
          <w:sz w:val="24"/>
          <w:szCs w:val="24"/>
        </w:rPr>
        <w:fldChar w:fldCharType="separate"/>
      </w:r>
      <w:r w:rsidR="00263086" w:rsidRPr="00263086">
        <w:rPr>
          <w:rFonts w:ascii="Times New Roman" w:hAnsi="Times New Roman" w:cs="Times New Roman"/>
          <w:noProof/>
          <w:sz w:val="24"/>
          <w:szCs w:val="24"/>
        </w:rPr>
        <w:t>[10]</w:t>
      </w:r>
      <w:r w:rsidR="00263086">
        <w:rPr>
          <w:rFonts w:ascii="Times New Roman" w:hAnsi="Times New Roman" w:cs="Times New Roman"/>
          <w:sz w:val="24"/>
          <w:szCs w:val="24"/>
        </w:rPr>
        <w:fldChar w:fldCharType="end"/>
      </w:r>
      <w:r w:rsidR="00344444">
        <w:rPr>
          <w:rFonts w:ascii="Times New Roman" w:hAnsi="Times New Roman" w:cs="Times New Roman"/>
          <w:sz w:val="24"/>
          <w:szCs w:val="24"/>
        </w:rPr>
        <w:t xml:space="preserve"> in order to display NDPK activity. Furthermore, mutations of the </w:t>
      </w:r>
      <w:r w:rsidR="00344444" w:rsidRPr="00E557F5">
        <w:rPr>
          <w:rFonts w:ascii="Times New Roman" w:hAnsi="Times New Roman" w:cs="Times New Roman"/>
          <w:i/>
          <w:iCs/>
          <w:sz w:val="24"/>
          <w:szCs w:val="24"/>
        </w:rPr>
        <w:t>Kpn</w:t>
      </w:r>
      <w:r w:rsidR="00344444">
        <w:rPr>
          <w:rFonts w:ascii="Times New Roman" w:hAnsi="Times New Roman" w:cs="Times New Roman"/>
          <w:sz w:val="24"/>
          <w:szCs w:val="24"/>
        </w:rPr>
        <w:t xml:space="preserve"> (Killer of prune) loop and C-terminal modifications of the proteins were associated with oligomer instability and reduced NDPK activity</w:t>
      </w:r>
      <w:r w:rsidR="00263086">
        <w:rPr>
          <w:rFonts w:ascii="Times New Roman" w:hAnsi="Times New Roman" w:cs="Times New Roman"/>
          <w:sz w:val="24"/>
          <w:szCs w:val="24"/>
        </w:rPr>
        <w:t xml:space="preserve"> </w:t>
      </w:r>
      <w:r w:rsidR="00263086">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{"citationItems":[{"id":"ITEM-1","itemData":{"DOI":"10.1016/S0014-5793(98)00996-X","ISSN":"00145793","PMID":"9742940","abstract":"We have identified a cDNA encoding a 212 amino acid protein (Nm23-H5) with 27-31% identity to the human members of the nm23/nucleoside diphosphate (NDP) kinase gene family. The nm23-H5 gene is located on chromosome 5q23-31 and is transcribed as one main transcript of 1.1 kb which is highly and specifically expressed in testis, in the spermatogonia and early spermatocytes. Nm23-H5 possesses most of the residues conserved among NDP kinases plus an additional COOH-terminus end of 55 amino acids unique to this protein. However, under usual assay conditions, Nm23-H5 expressed in Escherichia coli did not exhibit NDP kinase activity. These results suggest that Nm23-H5 is specifically involved in early stages of spermatogenesis.","author":[{"dropping-particle":"","family":"Munier","given":"Annie","non-dropping-particle":"","parse-names":false,"suffix":""},{"dropping-particle":"","family":"Feral","given":"Chloé","non-dropping-particle":"","parse-names":false,"suffix":""},{"dropping-particle":"","family":"Milon","given":"Laurence","non-dropping-particle":"","parse-names":false,"suffix":""},{"dropping-particle":"","family":"Pinon","given":"Véronique Phung-Ba","non-dropping-particle":"","parse-names":false,"suffix":""},{"dropping-particle":"","family":"Gyapay","given":"Gabor","non-dropping-particle":"","parse-names":false,"suffix":""},{"dropping-particle":"","family":"Capeau","given":"Jacqueline","non-dropping-particle":"","parse-names":false,"suffix":""},{"dropping-particle":"","family":"Guellaen","given":"Georges","non-dropping-particle":"","parse-names":false,"suffix":""},{"dropping-particle":"","family":"Lacombe","given":"Marie-Lise","non-dropping-particle":"","parse-names":false,"suffix":""}],"container-title":"FEBS Letters","id":"ITEM-1","issue":"3","issued":{"date-parts":[["1998","9","4"]]},"page":"289-294","title":"A new human nm23 homologue ( nm23 -H5) specifically expressed in testis germinal cells","type":"article-journal","volume":"434"},"uris":["http://www.mendeley.com/documents/?uuid=69c68b35-41d3-47e6-85ad-4e3c73d8ab88"]},{"id":"ITEM-2","itemData":{"DOI":"10.1016/j.jsb.2015.09.009","ISSN":"10478477","PMID":"26410384","abstract":"Nucleoside diphosphate kinase (NDK) is a housekeeping enzyme that plays key roles in nucleotide recycling and homeostasis in trypanosomatids. Moreover, it is secreted by the intracellular parasite Leishmania to modulate the host response. These functions make NDK an attractive target for drug design and for studies aiming at a better understanding of the mechanisms mediating host-pathogen interactions. Here, we report the crystal structures of three mutants of the NDK from Leishmania major (LmNDK) that affects the stability of the hexameric biological assembly including P95S, Δ5Ct (lacking the last five residues) and the double mutant P100S/Δ5Ct. Although P95S and Δ5Ct variants conserve the hexameric structure of the wild-type protein, the double mutant becomes a dimer as shown by in solution studies. Free energy calculation of dimer-dimer interfaces and enzymatic assays indicate that P95S, Δ5Ct and P100S/Δ5Ct mutations progressively decrease the hexamer stability and enzyme activity. These results demonstrate that the mutated regions play a role in protein function through stabilizing the quaternary arrangement.","author":[{"dropping-particle":"","family":"Vieira","given":"Plínio Salmazo","non-dropping-particle":"","parse-names":false,"suffix":""},{"dropping-particle":"","family":"Giuseppe","given":"Priscila Oliveira","non-dropping-particle":"de","parse-names":false,"suffix":""},{"dropping-particle":"","family":"Oliveira","given":"Arthur Henrique Cavalcante","non-dropping-particle":"de","parse-names":false,"suffix":""},{"dropping-particle":"","family":"Murakami","given":"Mario Tyago","non-dropping-particle":"","parse-names":false,"suffix":""}],"container-title":"Journal of Structural Biology","id":"ITEM-2","issue":"3","issued":{"date-parts":[["2015","12"]]},"page":"336-341","publisher":"Elsevier Inc.","title":"The role of the C-terminus and Kpn loop in the quaternary structure stability of nucleoside diphosphate kinase from Leishmania parasites","type":"article-journal","volume":"192"},"uris":["http://www.mendeley.com/documents/?uuid=94d94569-ecfc-4999-85ee-fe55958dd605"]},{"id":"ITEM-3","itemData":{"DOI":"10.3390/ijms21186779","ISSN":"1422-0067","PMID":"32947863","abstract":"Nucleoside diphosphate kinases (NDPK) are oligomeric proteins involved in the synthesis of nucleoside triphosphates. Their tridimensional structure has been solved by X-ray crystallography and shows that individual subunits present a conserved ferredoxin fold of about 140 residues in prokaryotes, archaea, eukaryotes and viruses. Monomers are functionally independent from each other inside NDPK complexes and the nucleoside kinase catalytic mechanism involves transient phosphorylation of the conserved catalytic histidine. To be active, monomers must assemble into conserved head to tail dimers, which further assemble into hexamers or tetramers. The interfaces between these oligomeric states are very different but, surprisingly, the assembly structure barely affects the catalytic efficiency of the enzyme. While it has been shown that assembly into hexamers induces full formation of the catalytic site and stabilizes the complex, it is unclear why assembly into tetramers is required for function. Several additional activities have been revealed for NDPK, especially in metastasis spreading, cytoskeleton dynamics, DNA binding and membrane remodeling. However, we still lack the high resolution structural data of NDPK in complex with different partners, which is necessary for deciphering the mechanism of these diverse functions. In this review we discuss advances in the structure, folding and stability of NDPKs.","author":[{"dropping-particle":"","family":"Georgescauld","given":"Florian","non-dropping-particle":"","parse-names":false,"suffix":""},{"dropping-particle":"","family":"Song","given":"Yuyu","non-dropping-particle":"","parse-names":false,"suffix":""},{"dropping-particle":"","family":"Dautant","given":"Alain","non-dropping-particle":"","parse-names":false,"suffix":""}],"container-title":"International Journal of Molecular Sciences","id":"ITEM-3","issue":"18","issued":{"date-parts":[["2020","9","16"]]},"page":"6779","publisher":"Multidisciplinary Digital Publishing Institute","title":"Structure, Folding and Stability of Nucleoside Diphosphate Kinases","type":"article-journal","volume":"21"},"uris":["http://www.mendeley.com/documents/?uuid=acbdca8a-96f5-39ba-8f0c-4304c34840dc"]}],"mendeley":{"formattedCitation":"[11–13]","plainTextFormattedCitation":"[11–13]","previouslyFormattedCitation":"[11–13]"},"properties":{"noteIndex":0},"schema":"https://github.com/citation-style-language/schema/raw/master/csl-citation.json"}</w:instrText>
      </w:r>
      <w:r w:rsidR="00263086">
        <w:rPr>
          <w:rFonts w:ascii="Times New Roman" w:hAnsi="Times New Roman" w:cs="Times New Roman"/>
          <w:sz w:val="24"/>
          <w:szCs w:val="24"/>
        </w:rPr>
        <w:fldChar w:fldCharType="separate"/>
      </w:r>
      <w:r w:rsidR="00263086" w:rsidRPr="00263086">
        <w:rPr>
          <w:rFonts w:ascii="Times New Roman" w:hAnsi="Times New Roman" w:cs="Times New Roman"/>
          <w:noProof/>
          <w:sz w:val="24"/>
          <w:szCs w:val="24"/>
        </w:rPr>
        <w:t>[11–13]</w:t>
      </w:r>
      <w:r w:rsidR="00263086">
        <w:rPr>
          <w:rFonts w:ascii="Times New Roman" w:hAnsi="Times New Roman" w:cs="Times New Roman"/>
          <w:sz w:val="24"/>
          <w:szCs w:val="24"/>
        </w:rPr>
        <w:fldChar w:fldCharType="end"/>
      </w:r>
      <w:r w:rsidR="00344444">
        <w:rPr>
          <w:rFonts w:ascii="Times New Roman" w:hAnsi="Times New Roman" w:cs="Times New Roman"/>
          <w:sz w:val="24"/>
          <w:szCs w:val="24"/>
        </w:rPr>
        <w:t>.</w:t>
      </w:r>
      <w:r w:rsidR="009056A5">
        <w:rPr>
          <w:rFonts w:ascii="Times New Roman" w:hAnsi="Times New Roman" w:cs="Times New Roman"/>
          <w:sz w:val="24"/>
          <w:szCs w:val="24"/>
        </w:rPr>
        <w:t xml:space="preserve"> Other biochemical roles have been associated with NME proteins, including </w:t>
      </w:r>
      <w:r w:rsidR="009056A5" w:rsidRPr="009056A5">
        <w:rPr>
          <w:rFonts w:ascii="Times New Roman" w:hAnsi="Times New Roman" w:cs="Times New Roman"/>
          <w:sz w:val="24"/>
          <w:szCs w:val="24"/>
        </w:rPr>
        <w:t xml:space="preserve">histidine kinase activity </w:t>
      </w:r>
      <w:r w:rsidR="00195C5A">
        <w:rPr>
          <w:rFonts w:ascii="Times New Roman" w:hAnsi="Times New Roman" w:cs="Times New Roman"/>
          <w:sz w:val="24"/>
          <w:szCs w:val="24"/>
        </w:rPr>
        <w:fldChar w:fldCharType="begin" w:fldLock="1"/>
      </w:r>
      <w:r w:rsidR="00195C5A">
        <w:rPr>
          <w:rFonts w:ascii="Times New Roman" w:hAnsi="Times New Roman" w:cs="Times New Roman"/>
          <w:sz w:val="24"/>
          <w:szCs w:val="24"/>
        </w:rPr>
        <w:instrText>ADDIN CSL_CITATION {"citationItems":[{"id":"ITEM-1","itemData":{"DOI":"10.3390/ijms21165848","ISSN":"1422-0067","PMID":"32823988","abstract":"The NME (Non-metastatic) family members, also known as NDPKs (nucleoside diphosphate kinases), were originally identified and studied for their nucleoside diphosphate kinase activities. This family of kinases is extremely well conserved through evolution, being found in prokaryotes and eukaryotes, but also diverges enough to create a range of complexity, with homologous members having distinct functions in cells. In addition to nucleoside diphosphate kinase activity, some family members are reported to possess protein-histidine kinase activity, which, because of the lability of phosphohistidine, has been difficult to study due to the experimental challenges and lack of molecular tools. However, over the past few years, new methods to investigate this unstable modification and histidine kinase activity have been reported and scientific interest in this area is growing rapidly. This review presents a global overview of our current knowledge of the NME family and histidine phosphorylation, highlighting the underappreciated protein-histidine kinase activity of NME family members, specifically in human cells. In parallel, information about the structural and functional aspects of the NME family, and the knowns and unknowns of histidine kinase involvement in cell signaling are summarized.","author":[{"dropping-particle":"","family":"Adam","given":"Kevin","non-dropping-particle":"","parse-names":false,"suffix":""},{"dropping-particle":"","family":"Ning","given":"Jia","non-dropping-particle":"","parse-names":false,"suffix":""},{"dropping-particle":"","family":"Reina","given":"Jeffrey","non-dropping-particle":"","parse-names":false,"suffix":""},{"dropping-particle":"","family":"Hunter","given":"Tony","non-dropping-particle":"","parse-names":false,"suffix":""}],"container-title":"International Journal of Molecular Sciences","id":"ITEM-1","issue":"16","issued":{"date-parts":[["2020","8","14"]]},"page":"5848","title":"NME/NM23/NDPK and Histidine Phosphorylation","type":"article-journal","volume":"21"},"uris":["http://www.mendeley.com/documents/?uuid=0b01d0d4-5d47-41c3-b4b8-c3826542fb8a"]}],"mendeley":{"formattedCitation":"[14]","plainTextFormattedCitation":"[14]","previouslyFormattedCitation":"[14]"},"properties":{"noteIndex":0},"schema":"https://github.com/citation-style-language/schema/raw/master/csl-citation.json"}</w:instrText>
      </w:r>
      <w:r w:rsidR="00195C5A">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[14]</w:t>
      </w:r>
      <w:r w:rsidR="00195C5A">
        <w:rPr>
          <w:rFonts w:ascii="Times New Roman" w:hAnsi="Times New Roman" w:cs="Times New Roman"/>
          <w:sz w:val="24"/>
          <w:szCs w:val="24"/>
        </w:rPr>
        <w:fldChar w:fldCharType="end"/>
      </w:r>
      <w:r w:rsidR="009056A5" w:rsidRPr="009056A5">
        <w:rPr>
          <w:rFonts w:ascii="Times New Roman" w:hAnsi="Times New Roman" w:cs="Times New Roman"/>
          <w:sz w:val="24"/>
          <w:szCs w:val="24"/>
        </w:rPr>
        <w:t xml:space="preserve">, transcriptional regulatory functions </w:t>
      </w:r>
      <w:r w:rsidR="00195C5A">
        <w:rPr>
          <w:rFonts w:ascii="Times New Roman" w:hAnsi="Times New Roman" w:cs="Times New Roman"/>
          <w:sz w:val="24"/>
          <w:szCs w:val="24"/>
        </w:rPr>
        <w:fldChar w:fldCharType="begin" w:fldLock="1"/>
      </w:r>
      <w:r w:rsidR="00195C5A">
        <w:rPr>
          <w:rFonts w:ascii="Times New Roman" w:hAnsi="Times New Roman" w:cs="Times New Roman"/>
          <w:sz w:val="24"/>
          <w:szCs w:val="24"/>
        </w:rPr>
        <w:instrText>ADDIN CSL_CITATION {"citationItems":[{"id":"ITEM-1","itemData":{"DOI":"10.1023/a:1023485505621","ISSN":"0145-479X","PMID":"12848339","abstract":"NM23/NDPk proteins play critical roles in cancer and development; however, our understanding of the underlying biochemical mechanisms is still limited. This large family of highly conserved proteins are known to participate in many events related to DNA metabolism, including nucleotide binding and nucleoside triphosphate synthesis, DNA binding and transcription, and cleavage of DNA strands via covalent protein-DNA complexes. The chemistry of the DNA-cleavage reaction of NM23-H2/NDPk is characteristic of DNA repair enzymes. Both the DNA cleavage and the NDPk reactions are conserved between E. coli and the human enzymes, and several conserved amino acid side chains involved in catalysis are shared by these reactions. It is proposed here that NM23/NDP kinases are important regulators of gene expression during development and cancer via previously unrecognized roles in DNA repair and recombination, and via previously unrecognized pathways and mechanisms of genetic control.","author":[{"dropping-particle":"","family":"Postel","given":"Edith H.","non-dropping-particle":"","parse-names":false,"suffix":""}],"container-title":"Journal of bioenergetics and biomembranes","id":"ITEM-1","issue":"1","issued":{"date-parts":[["2003","2"]]},"page":"31-40","title":"Multiple biochemical activities of NM23/NDP kinase in gene regulation.","type":"article-journal","volume":"35"},"uris":["http://www.mendeley.com/documents/?uuid=e9fe22d7-2c1e-4655-8093-0399a72c2bba"]}],"mendeley":{"formattedCitation":"[15]","plainTextFormattedCitation":"[15]","previouslyFormattedCitation":"[15]"},"properties":{"noteIndex":0},"schema":"https://github.com/citation-style-language/schema/raw/master/csl-citation.json"}</w:instrText>
      </w:r>
      <w:r w:rsidR="00195C5A">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[15]</w:t>
      </w:r>
      <w:r w:rsidR="00195C5A">
        <w:rPr>
          <w:rFonts w:ascii="Times New Roman" w:hAnsi="Times New Roman" w:cs="Times New Roman"/>
          <w:sz w:val="24"/>
          <w:szCs w:val="24"/>
        </w:rPr>
        <w:fldChar w:fldCharType="end"/>
      </w:r>
      <w:r w:rsidR="009056A5">
        <w:rPr>
          <w:rFonts w:ascii="Times New Roman" w:hAnsi="Times New Roman" w:cs="Times New Roman"/>
          <w:sz w:val="24"/>
          <w:szCs w:val="24"/>
        </w:rPr>
        <w:t xml:space="preserve"> and </w:t>
      </w:r>
      <w:r w:rsidR="009056A5" w:rsidRPr="009056A5">
        <w:rPr>
          <w:rFonts w:ascii="Times New Roman" w:hAnsi="Times New Roman" w:cs="Times New Roman"/>
          <w:sz w:val="24"/>
          <w:szCs w:val="24"/>
        </w:rPr>
        <w:t xml:space="preserve">3’-5’ exonuclease activity </w:t>
      </w:r>
      <w:r w:rsidR="00195C5A">
        <w:rPr>
          <w:rFonts w:ascii="Times New Roman" w:hAnsi="Times New Roman" w:cs="Times New Roman"/>
          <w:sz w:val="24"/>
          <w:szCs w:val="24"/>
        </w:rPr>
        <w:fldChar w:fldCharType="begin" w:fldLock="1"/>
      </w:r>
      <w:r w:rsidR="00195C5A">
        <w:rPr>
          <w:rFonts w:ascii="Times New Roman" w:hAnsi="Times New Roman" w:cs="Times New Roman"/>
          <w:sz w:val="24"/>
          <w:szCs w:val="24"/>
        </w:rPr>
        <w:instrText>ADDIN CSL_CITATION {"citationItems":[{"id":"ITEM-1","itemData":{"DOI":"10.1038/labinvest.2017.109","ISSN":"0023-6837","PMID":"29058704","abstract":"The NME family of proteins is composed of 10 isoforms, designated NME1-10, which are diverse in their enzymatic activities and patterns of subcellular localization. Each contains a conserved domain associated with a nucleoside diphosphate kinase (NDPK) function, although not all are catalytically active. Several of the NME isoforms (NME1, NME5, NME7, and NME8) also exhibit a 3'-5' exonuclease activity, suggesting roles in DNA proofreading and repair. NME1 and NME2 have been shown to translocate to the nucleus, although they lack a canonical nuclear localization signal. Binding of NME1 and NME2 to DNA does not appear to be sequence-specific in a strict sense, but instead is directed to single-stranded regions and/or other non-B-form structures. NME1 and NME2 have been identified as potential canonical transcription factors that regulate gene transcription through their DNA-binding activities. Indeed, the NME1 and NME2 isoforms have been shown to regulate gene expression programs in a number of cellular settings, and this regulatory function has been proposed to underlie their well-recognized ability to suppress the metastatic phenotype of cancer cells. Moreover, NME1 and, more recently, NME3, have been implicated in repair of both single- and double-stranded breaks in DNA. This suggests that reduced expression of NME proteins could contribute to the genomic instability that drives cancer progression. Clearly, a better understanding of the nuclear functions of NME1 and possibly other NME isoforms could provide critical insights into mechanisms underlying malignant progression in cancer. Indeed, clinical data indicate that the subcellular localization of NME1 may be an important prognostic marker in some cancers. This review summarizes putative functions of nuclear NME proteins in DNA binding, transcription, and DNA damage repair, and highlights their possible roles in cancer progression.","author":[{"dropping-particle":"","family":"Puts","given":"Gemma S","non-dropping-particle":"","parse-names":false,"suffix":""},{"dropping-particle":"","family":"Leonard","given":"M Kathryn","non-dropping-particle":"","parse-names":false,"suffix":""},{"dropping-particle":"V","family":"Pamidimukkala","given":"Nidhi","non-dropping-particle":"","parse-names":false,"suffix":""},{"dropping-particle":"","family":"Snyder","given":"Devin E","non-dropping-particle":"","parse-names":false,"suffix":""},{"dropping-particle":"","family":"Kaetzel","given":"David M","non-dropping-particle":"","parse-names":false,"suffix":""}],"container-title":"Laboratory Investigation","id":"ITEM-1","issue":"2","issued":{"date-parts":[["2018","2","23"]]},"page":"211-218","title":"Nuclear functions of NME proteins","type":"article-journal","volume":"98"},"uris":["http://www.mendeley.com/documents/?uuid=4abd92bd-5cad-4d2d-9e2d-c09bd5fcfa65"]}],"mendeley":{"formattedCitation":"[16]","plainTextFormattedCitation":"[16]","previouslyFormattedCitation":"[16]"},"properties":{"noteIndex":0},"schema":"https://github.com/citation-style-language/schema/raw/master/csl-citation.json"}</w:instrText>
      </w:r>
      <w:r w:rsidR="00195C5A">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[16]</w:t>
      </w:r>
      <w:r w:rsidR="00195C5A">
        <w:rPr>
          <w:rFonts w:ascii="Times New Roman" w:hAnsi="Times New Roman" w:cs="Times New Roman"/>
          <w:sz w:val="24"/>
          <w:szCs w:val="24"/>
        </w:rPr>
        <w:fldChar w:fldCharType="end"/>
      </w:r>
      <w:r w:rsidR="009056A5" w:rsidRPr="009056A5">
        <w:rPr>
          <w:rFonts w:ascii="Times New Roman" w:hAnsi="Times New Roman" w:cs="Times New Roman"/>
          <w:sz w:val="24"/>
          <w:szCs w:val="24"/>
        </w:rPr>
        <w:t>.</w:t>
      </w:r>
    </w:p>
    <w:p w14:paraId="692DACB7" w14:textId="68522CE8" w:rsidR="009056A5" w:rsidRDefault="009056A5" w:rsidP="004927BB">
      <w:pPr>
        <w:spacing w:line="360" w:lineRule="auto"/>
        <w:jc w:val="both"/>
        <w:rPr>
          <w:rFonts w:ascii="Times New Roman" w:hAnsi="Times New Roman" w:cs="Times New Roman"/>
          <w:sz w:val="24"/>
          <w:szCs w:val="24"/>
        </w:rPr>
      </w:pPr>
      <w:r>
        <w:rPr>
          <w:rFonts w:ascii="Times New Roman" w:hAnsi="Times New Roman" w:cs="Times New Roman"/>
          <w:sz w:val="24"/>
          <w:szCs w:val="24"/>
        </w:rPr>
        <w:t>The biological role</w:t>
      </w:r>
      <w:r w:rsidR="003E066F">
        <w:rPr>
          <w:rFonts w:ascii="Times New Roman" w:hAnsi="Times New Roman" w:cs="Times New Roman"/>
          <w:sz w:val="24"/>
          <w:szCs w:val="24"/>
        </w:rPr>
        <w:t>s</w:t>
      </w:r>
      <w:r>
        <w:rPr>
          <w:rFonts w:ascii="Times New Roman" w:hAnsi="Times New Roman" w:cs="Times New Roman"/>
          <w:sz w:val="24"/>
          <w:szCs w:val="24"/>
        </w:rPr>
        <w:t xml:space="preserve"> of NME protein</w:t>
      </w:r>
      <w:r w:rsidR="003E066F">
        <w:rPr>
          <w:rFonts w:ascii="Times New Roman" w:hAnsi="Times New Roman" w:cs="Times New Roman"/>
          <w:sz w:val="24"/>
          <w:szCs w:val="24"/>
        </w:rPr>
        <w:t>s</w:t>
      </w:r>
      <w:r>
        <w:rPr>
          <w:rFonts w:ascii="Times New Roman" w:hAnsi="Times New Roman" w:cs="Times New Roman"/>
          <w:sz w:val="24"/>
          <w:szCs w:val="24"/>
        </w:rPr>
        <w:t xml:space="preserve"> </w:t>
      </w:r>
      <w:r w:rsidR="003E066F">
        <w:rPr>
          <w:rFonts w:ascii="Times New Roman" w:hAnsi="Times New Roman" w:cs="Times New Roman"/>
          <w:sz w:val="24"/>
          <w:szCs w:val="24"/>
        </w:rPr>
        <w:t>are</w:t>
      </w:r>
      <w:r>
        <w:rPr>
          <w:rFonts w:ascii="Times New Roman" w:hAnsi="Times New Roman" w:cs="Times New Roman"/>
          <w:sz w:val="24"/>
          <w:szCs w:val="24"/>
        </w:rPr>
        <w:t xml:space="preserve"> diverse and dependent </w:t>
      </w:r>
      <w:r w:rsidR="00FC5456">
        <w:rPr>
          <w:rFonts w:ascii="Times New Roman" w:hAnsi="Times New Roman" w:cs="Times New Roman"/>
          <w:sz w:val="24"/>
          <w:szCs w:val="24"/>
        </w:rPr>
        <w:t>o</w:t>
      </w:r>
      <w:r w:rsidR="003E066F">
        <w:rPr>
          <w:rFonts w:ascii="Times New Roman" w:hAnsi="Times New Roman" w:cs="Times New Roman"/>
          <w:sz w:val="24"/>
          <w:szCs w:val="24"/>
        </w:rPr>
        <w:t>n</w:t>
      </w:r>
      <w:r w:rsidR="00FC5456">
        <w:rPr>
          <w:rFonts w:ascii="Times New Roman" w:hAnsi="Times New Roman" w:cs="Times New Roman"/>
          <w:sz w:val="24"/>
          <w:szCs w:val="24"/>
        </w:rPr>
        <w:t xml:space="preserve"> </w:t>
      </w:r>
      <w:r>
        <w:rPr>
          <w:rFonts w:ascii="Times New Roman" w:hAnsi="Times New Roman" w:cs="Times New Roman"/>
          <w:sz w:val="24"/>
          <w:szCs w:val="24"/>
        </w:rPr>
        <w:t>tissue and cell specificity, subcellular localization and enzymatic activity. NME proteins can be either tissues specific (NME5 in testis)</w:t>
      </w:r>
      <w:r w:rsidR="00195C5A">
        <w:rPr>
          <w:rFonts w:ascii="Times New Roman" w:hAnsi="Times New Roman" w:cs="Times New Roman"/>
          <w:sz w:val="24"/>
          <w:szCs w:val="24"/>
        </w:rPr>
        <w:t xml:space="preserve"> </w:t>
      </w:r>
      <w:r w:rsidR="00195C5A">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{"citationItems":[{"id":"ITEM-1","itemData":{"DOI":"10.1016/S0014-5793(98)00996-X","ISSN":"00145793","PMID":"9742940","abstract":"We have identified a cDNA encoding a 212 amino acid protein (Nm23-H5) with 27-31% identity to the human members of the nm23/nucleoside diphosphate (NDP) kinase gene family. The nm23-H5 gene is located on chromosome 5q23-31 and is transcribed as one main transcript of 1.1 kb which is highly and specifically expressed in testis, in the spermatogonia and early spermatocytes. Nm23-H5 possesses most of the residues conserved among NDP kinases plus an additional COOH-terminus end of 55 amino acids unique to this protein. However, under usual assay conditions, Nm23-H5 expressed in Escherichia coli did not exhibit NDP kinase activity. These results suggest that Nm23-H5 is specifically involved in early stages of spermatogenesis.","author":[{"dropping-particle":"","family":"Munier","given":"Annie","non-dropping-particle":"","parse-names":false,"suffix":""},{"dropping-particle":"","family":"Feral","given":"Chloé","non-dropping-particle":"","parse-names":false,"suffix":""},{"dropping-particle":"","family":"Milon","given":"Laurence","non-dropping-particle":"","parse-names":false,"suffix":""},{"dropping-particle":"","family":"Pinon","given":"Véronique Phung-Ba","non-dropping-particle":"","parse-names":false,"suffix":""},{"dropping-particle":"","family":"Gyapay","given":"Gabor","non-dropping-particle":"","parse-names":false,"suffix":""},{"dropping-particle":"","family":"Capeau","given":"Jacqueline","non-dropping-particle":"","parse-names":false,"suffix":""},{"dropping-particle":"","family":"Guellaen","given":"Georges","non-dropping-particle":"","parse-names":false,"suffix":""},{"dropping-particle":"","family":"Lacombe","given":"Marie-Lise","non-dropping-particle":"","parse-names":false,"suffix":""}],"container-title":"FEBS Letters","id":"ITEM-1","issue":"3","issued":{"date-parts":[["1998","9","4"]]},"page":"289-294","title":"A new human nm23 homologue ( nm23 -H5) specifically expressed in testis germinal cells","type":"article-journal","volume":"434"},"uris":["http://www.mendeley.com/documents/?uuid=69c68b35-41d3-47e6-85ad-4e3c73d8ab88"]}],"mendeley":{"formattedCitation":"[11]","plainTextFormattedCitation":"[11]","previouslyFormattedCitation":"[11]"},"properties":{"noteIndex":0},"schema":"https://github.com/citation-style-language/schema/raw/master/csl-citation.json"}</w:instrText>
      </w:r>
      <w:r w:rsidR="00195C5A">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[11]</w:t>
      </w:r>
      <w:r w:rsidR="00195C5A">
        <w:rPr>
          <w:rFonts w:ascii="Times New Roman" w:hAnsi="Times New Roman" w:cs="Times New Roman"/>
          <w:sz w:val="24"/>
          <w:szCs w:val="24"/>
        </w:rPr>
        <w:fldChar w:fldCharType="end"/>
      </w:r>
      <w:r>
        <w:rPr>
          <w:rFonts w:ascii="Times New Roman" w:hAnsi="Times New Roman" w:cs="Times New Roman"/>
          <w:sz w:val="24"/>
          <w:szCs w:val="24"/>
        </w:rPr>
        <w:t xml:space="preserve"> or ubiquitously expressed</w:t>
      </w:r>
      <w:r w:rsidR="00195C5A">
        <w:rPr>
          <w:rFonts w:ascii="Times New Roman" w:hAnsi="Times New Roman" w:cs="Times New Roman"/>
          <w:sz w:val="24"/>
          <w:szCs w:val="24"/>
        </w:rPr>
        <w:t xml:space="preserve"> </w:t>
      </w:r>
      <w:r w:rsidR="00195C5A">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{"citationItems":[{"id":"ITEM-1","itemData":{"DOI":"10.3390/ijms21072363","ISSN":"1422-0067","PMID":"32235358","abstract":"Nucleoside diphosphate kinases (NDPK/NME/Nm23) are enzymes composed of subunits NME1/NDPK A and NME2/NDPK B, responsible for the maintenance of the cellular (d)NTP pool and involved in other cellular processes, such as metastasis suppression and DNA damage repair. Although eukaryotic NDPKs are active only as hexamers, it is unclear whether other NME functions require the hexameric form, and how the isoenzyme composition varies in different cellular compartments. To examine the effect of DNA damage on intracellular localization of NME1 and NME2 and the composition of NME oligomers in the nucleus and the cytoplasm, we used live-cell imaging and the FRET/FLIM technique. We showed that exogenous NME1 and NME2 proteins co-localize in the cytoplasm of non-irradiated cells, and move simultaneously to the nucleus after gamma irradiation. The FRET/FLIM experiments imply that, after DNA damage, there is a slight shift in the homomer/heteromer balance between the nucleus and the cytoplasm. Collectively, our results indicate that, after irradiation, NME1 and NME2 engage in mutual functions in the nucleus, possibly performing specific functions in their homomeric states. Finally, we demonstrated that fluorophores fused to the N-termini of NME polypeptides produce the largest FRET effect and thus recommend this orientation for use in similar studies.","author":[{"dropping-particle":"","family":"Radić","given":"Martina","non-dropping-particle":"","parse-names":false,"suffix":""},{"dropping-particle":"","family":"Šoštar","given":"Marko","non-dropping-particle":"","parse-names":false,"suffix":""},{"dropping-particle":"","family":"Weber","given":"Igor","non-dropping-particle":"","parse-names":false,"suffix":""},{"dropping-particle":"","family":"Ćetković","given":"Helena","non-dropping-particle":"","parse-names":false,"suffix":""},{"dropping-particle":"","family":"Slade","given":"Neda","non-dropping-particle":"","parse-names":false,"suffix":""},{"dropping-particle":"","family":"Herak Bosnar","given":"Maja","non-dropping-particle":"","parse-names":false,"suffix":""}],"container-title":"International Journal of Molecular Sciences","id":"ITEM-1","issue":"7","issued":{"date-parts":[["2020","3","29"]]},"page":"2363","title":"The Subcellular Localization and Oligomerization Preferences of NME1/NME2 upon Radiation-Induced DNA Damage","type":"article-journal","volume":"21"},"uris":["http://www.mendeley.com/documents/?uuid=bdb8e9f0-0e21-4c12-8310-15d92e78d0e2"]},{"id":"ITEM-2","itemData":{"DOI":"10.1126/science.1253768","ISSN":"0036-8075","PMID":"24970086","abstract":"Cell membranes are very flexible and easily molded to shape; however, to physically pinch off a membrane vesicle from a membrane tube still requires power. A type of molecular machine known as dynamin is involved in this sort of membrane remodeling. Dynamins use guanosine triphosphate (GTP) rather than the more commonly used cellular energy source adenosine triphosphate to work. Boissan et al. now show that two separate dynamins found in the cytoplasm or the mitochondria both use the same sort of enzyme—nucleoside diphosphate kinases—to provide GTP at just the right time and the right place to power membrane fission.","author":[{"dropping-particle":"","family":"Boissan","given":"Mathieu","non-dropping-particle":"","parse-names":false,"suffix":""},{"dropping-particle":"","family":"Montagnac","given":"Guillaume","non-dropping-particle":"","parse-names":false,"suffix":""},{"dropping-particle":"","family":"Shen","given":"Qinfang","non-dropping-particle":"","parse-names":false,"suffix":""},{"dropping-particle":"","family":"Griparic","given":"Lorena","non-dropping-particle":"","parse-names":false,"suffix":""},{"dropping-particle":"","family":"Guitton","given":"Jérôme","non-dropping-particle":"","parse-names":false,"suffix":""},{"dropping-particle":"","family":"Romao","given":"Maryse","non-dropping-particle":"","parse-names":false,"suffix":""},{"dropping-particle":"","family":"Sauvonnet","given":"Nathalie","non-dropping-particle":"","parse-names":false,"suffix":""},{"dropping-particle":"","family":"Lagache","given":"Thibault","non-dropping-particle":"","parse-names":false,"suffix":""},{"dropping-particle":"","family":"Lascu","given":"Ioan","non-dropping-particle":"","parse-names":false,"suffix":""},{"dropping-particle":"","family":"Raposo","given":"Graça","non-dropping-particle":"","parse-names":false,"suffix":""},{"dropping-particle":"","family":"Desbourdes","given":"Céline","non-dropping-particle":"","parse-names":false,"suffix":""},{"dropping-particle":"","family":"Schlattner","given":"Uwe","non-dropping-particle":"","parse-names":false,"suffix":""},{"dropping-particle":"","family":"Lacombe","given":"Marie-Lise","non-dropping-particle":"","parse-names":false,"suffix":""},{"dropping-particle":"","family":"Polo","given":"Simona","non-dropping-particle":"","parse-names":false,"suffix":""},{"dropping-particle":"","family":"Bliek","given":"Alexander M.","non-dropping-particle":"van der","parse-names":false,"suffix":""},{"dropping-particle":"","family":"Roux","given":"Aurélien","non-dropping-particle":"","parse-names":false,"suffix":""},{"dropping-particle":"","family":"Chavrier","given":"Philippe","non-dropping-particle":"","parse-names":false,"suffix":""}],"container-title":"Science","id":"ITEM-2","issue":"6191","issued":{"date-parts":[["2014","6","27"]]},"page":"1510-1515","title":"Nucleoside diphosphate kinases fuel dynamin superfamily proteins with GTP for membrane remodeling","type":"article-journal","volume":"344"},"uris":["http://www.mendeley.com/documents/?uuid=5df83e63-a512-48cd-8919-ba80ea9075cf"]}],"mendeley":{"formattedCitation":"[17,18]","plainTextFormattedCitation":"[17,18]","previouslyFormattedCitation":"[17,18]"},"properties":{"noteIndex":0},"schema":"https://github.com/citation-style-language/schema/raw/master/csl-citation.json"}</w:instrText>
      </w:r>
      <w:r w:rsidR="00195C5A">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[17,18]</w:t>
      </w:r>
      <w:r w:rsidR="00195C5A">
        <w:rPr>
          <w:rFonts w:ascii="Times New Roman" w:hAnsi="Times New Roman" w:cs="Times New Roman"/>
          <w:sz w:val="24"/>
          <w:szCs w:val="24"/>
        </w:rPr>
        <w:fldChar w:fldCharType="end"/>
      </w:r>
      <w:r w:rsidR="00DA45C1">
        <w:rPr>
          <w:rFonts w:ascii="Times New Roman" w:hAnsi="Times New Roman" w:cs="Times New Roman"/>
          <w:sz w:val="24"/>
          <w:szCs w:val="24"/>
        </w:rPr>
        <w:t>. They</w:t>
      </w:r>
      <w:r>
        <w:rPr>
          <w:rFonts w:ascii="Times New Roman" w:hAnsi="Times New Roman" w:cs="Times New Roman"/>
          <w:sz w:val="24"/>
          <w:szCs w:val="24"/>
        </w:rPr>
        <w:t xml:space="preserve"> localize</w:t>
      </w:r>
      <w:r w:rsidR="00FC5456">
        <w:rPr>
          <w:rFonts w:ascii="Times New Roman" w:hAnsi="Times New Roman" w:cs="Times New Roman"/>
          <w:sz w:val="24"/>
          <w:szCs w:val="24"/>
        </w:rPr>
        <w:t xml:space="preserve"> among others,</w:t>
      </w:r>
      <w:r>
        <w:rPr>
          <w:rFonts w:ascii="Times New Roman" w:hAnsi="Times New Roman" w:cs="Times New Roman"/>
          <w:sz w:val="24"/>
          <w:szCs w:val="24"/>
        </w:rPr>
        <w:t xml:space="preserve"> with</w:t>
      </w:r>
      <w:r w:rsidR="00DA45C1">
        <w:rPr>
          <w:rFonts w:ascii="Times New Roman" w:hAnsi="Times New Roman" w:cs="Times New Roman"/>
          <w:sz w:val="24"/>
          <w:szCs w:val="24"/>
        </w:rPr>
        <w:t>in the</w:t>
      </w:r>
      <w:r>
        <w:rPr>
          <w:rFonts w:ascii="Times New Roman" w:hAnsi="Times New Roman" w:cs="Times New Roman"/>
          <w:sz w:val="24"/>
          <w:szCs w:val="24"/>
        </w:rPr>
        <w:t xml:space="preserve"> cytosol and nucleus (NME1-NME2)</w:t>
      </w:r>
      <w:r w:rsidR="00195C5A">
        <w:rPr>
          <w:rFonts w:ascii="Times New Roman" w:hAnsi="Times New Roman" w:cs="Times New Roman"/>
          <w:sz w:val="24"/>
          <w:szCs w:val="24"/>
        </w:rPr>
        <w:t xml:space="preserve"> </w:t>
      </w:r>
      <w:r w:rsidR="00195C5A">
        <w:rPr>
          <w:rFonts w:ascii="Times New Roman" w:hAnsi="Times New Roman" w:cs="Times New Roman"/>
          <w:sz w:val="24"/>
          <w:szCs w:val="24"/>
        </w:rPr>
        <w:fldChar w:fldCharType="begin" w:fldLock="1"/>
      </w:r>
      <w:r w:rsidR="00195C5A">
        <w:rPr>
          <w:rFonts w:ascii="Times New Roman" w:hAnsi="Times New Roman" w:cs="Times New Roman"/>
          <w:sz w:val="24"/>
          <w:szCs w:val="24"/>
        </w:rPr>
        <w:instrText>ADDIN CSL_CITATION {"citationItems":[{"id":"ITEM-1","itemData":{"DOI":"10.3390/ijms21072363","ISSN":"1422-0067","PMID":"32235358","abstract":"Nucleoside diphosphate kinases (NDPK/NME/Nm23) are enzymes composed of subunits NME1/NDPK A and NME2/NDPK B, responsible for the maintenance of the cellular (d)NTP pool and involved in other cellular processes, such as metastasis suppression and DNA damage repair. Although eukaryotic NDPKs are active only as hexamers, it is unclear whether other NME functions require the hexameric form, and how the isoenzyme composition varies in different cellular compartments. To examine the effect of DNA damage on intracellular localization of NME1 and NME2 and the composition of NME oligomers in the nucleus and the cytoplasm, we used live-cell imaging and the FRET/FLIM technique. We showed that exogenous NME1 and NME2 proteins co-localize in the cytoplasm of non-irradiated cells, and move simultaneously to the nucleus after gamma irradiation. The FRET/FLIM experiments imply that, after DNA damage, there is a slight shift in the homomer/heteromer balance between the nucleus and the cytoplasm. Collectively, our results indicate that, after irradiation, NME1 and NME2 engage in mutual functions in the nucleus, possibly performing specific functions in their homomeric states. Finally, we demonstrated that fluorophores fused to the N-termini of NME polypeptides produce the largest FRET effect and thus recommend this orientation for use in similar studies.","author":[{"dropping-particle":"","family":"Radić","given":"Martina","non-dropping-particle":"","parse-names":false,"suffix":""},{"dropping-particle":"","family":"Šoštar","given":"Marko","non-dropping-particle":"","parse-names":false,"suffix":""},{"dropping-particle":"","family":"Weber","given":"Igor","non-dropping-particle":"","parse-names":false,"suffix":""},{"dropping-particle":"","family":"Ćetković","given":"Helena","non-dropping-particle":"","parse-names":false,"suffix":""},{"dropping-particle":"","family":"Slade","given":"Neda","non-dropping-particle":"","parse-names":false,"suffix":""},{"dropping-particle":"","family":"Herak Bosnar","given":"Maja","non-dropping-particle":"","parse-names":false,"suffix":""}],"container-title":"International Journal of Molecular Sciences","id":"ITEM-1","issue":"7","issued":{"date-parts":[["2020","3","29"]]},"page":"2363","title":"The Subcellular Localization and Oligomerization Preferences of NME1/NME2 upon Radiation-Induced DNA Damage","type":"article-journal","volume":"21"},"uris":["http://www.mendeley.com/documents/?uuid=bdb8e9f0-0e21-4c12-8310-15d92e78d0e2"]}],"mendeley":{"formattedCitation":"[17]","plainTextFormattedCitation":"[17]","previouslyFormattedCitation":"[17]"},"properties":{"noteIndex":0},"schema":"https://github.com/citation-style-language/schema/raw/master/csl-citation.json"}</w:instrText>
      </w:r>
      <w:r w:rsidR="00195C5A">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[17]</w:t>
      </w:r>
      <w:r w:rsidR="00195C5A">
        <w:rPr>
          <w:rFonts w:ascii="Times New Roman" w:hAnsi="Times New Roman" w:cs="Times New Roman"/>
          <w:sz w:val="24"/>
          <w:szCs w:val="24"/>
        </w:rPr>
        <w:fldChar w:fldCharType="end"/>
      </w:r>
      <w:r>
        <w:rPr>
          <w:rFonts w:ascii="Times New Roman" w:hAnsi="Times New Roman" w:cs="Times New Roman"/>
          <w:sz w:val="24"/>
          <w:szCs w:val="24"/>
        </w:rPr>
        <w:t>, mitochondria</w:t>
      </w:r>
      <w:r w:rsidR="00FC5456">
        <w:rPr>
          <w:rFonts w:ascii="Times New Roman" w:hAnsi="Times New Roman" w:cs="Times New Roman"/>
          <w:sz w:val="24"/>
          <w:szCs w:val="24"/>
        </w:rPr>
        <w:t xml:space="preserve"> (NME3 and NME4)</w:t>
      </w:r>
      <w:r w:rsidR="00195C5A">
        <w:rPr>
          <w:rFonts w:ascii="Times New Roman" w:hAnsi="Times New Roman" w:cs="Times New Roman"/>
          <w:sz w:val="24"/>
          <w:szCs w:val="24"/>
        </w:rPr>
        <w:t xml:space="preserve"> </w:t>
      </w:r>
      <w:r w:rsidR="00195C5A">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{"citationItems":[{"id":"ITEM-1","itemData":{"DOI":"10.1073/pnas.1818629116","ISSN":"0027-8424","PMID":"30587587","abstract":"It is known that nutrient starvation stimulates mitochondrial fusion for cell survival. In this study, a homozygous mutation in the NME3 gene, which encodes an NDP kinase, was identified in a fatal neurodegenerative disorder. Cells derived from the patient were deficient of NME3 and intolerant to glucose starvation. Patient cells were used to demonstrate that NME3 rescued cell survival by two separate functions, namely stimulation of mitochondrial fusion and NDP kinase activity. Since mitochondrial dynamics and energy efficiency are important for neuronal development, our data suggest a link between two functions of NME3 and a fatal neuronal disorder.","author":[{"dropping-particle":"","family":"Chen","given":"Chih-Wei","non-dropping-particle":"","parse-names":false,"suffix":""},{"dropping-particle":"","family":"Wang","given":"Hong-Ling","non-dropping-particle":"","parse-names":false,"suffix":""},{"dropping-particle":"","family":"Huang","given":"Ching-Wen","non-dropping-particle":"","parse-names":false,"suffix":""},{"dropping-particle":"","family":"Huang","given":"Chang-Yu","non-dropping-particle":"","parse-names":false,"suffix":""},{"dropping-particle":"","family":"Lim","given":"Wai Keong","non-dropping-particle":"","parse-names":false,"suffix":""},{"dropping-particle":"","family":"Tu","given":"I-Chen","non-dropping-particle":"","parse-names":false,"suffix":""},{"dropping-particle":"","family":"Koorapati","given":"Atmaja","non-dropping-particle":"","parse-names":false,"suffix":""},{"dropping-particle":"","family":"Hsieh","given":"Sung-Tsang","non-dropping-particle":"","parse-names":false,"suffix":""},{"dropping-particle":"","family":"Kan","given":"Hung-Wei","non-dropping-particle":"","parse-names":false,"suffix":""},{"dropping-particle":"","family":"Tzeng","given":"Shiou-Ru","non-dropping-particle":"","parse-names":false,"suffix":""},{"dropping-particle":"","family":"Liao","given":"Jung-Chi","non-dropping-particle":"","parse-names":false,"suffix":""},{"dropping-particle":"","family":"Chong","given":"Weng Man","non-dropping-particle":"","parse-names":false,"suffix":""},{"dropping-particle":"","family":"Naroditzky","given":"Inna","non-dropping-particle":"","parse-names":false,"suffix":""},{"dropping-particle":"","family":"Kidron","given":"Dvora","non-dropping-particle":"","parse-names":false,"suffix":""},{"dropping-particle":"","family":"Eran","given":"Ayelet","non-dropping-particle":"","parse-names":false,"suffix":""},{"dropping-particle":"","family":"Nijim","given":"Yousif","non-dropping-particle":"","parse-names":false,"suffix":""},{"dropping-particle":"","family":"Sela","given":"Ella","non-dropping-particle":"","parse-names":false,"suffix":""},{"dropping-particle":"","family":"Feldman","given":"Hagit Baris","non-dropping-particle":"","parse-names":false,"suffix":""},{"dropping-particle":"","family":"Kalfon","given":"Limor","non-dropping-particle":"","parse-names":false,"suffix":""},{"dropping-particle":"","family":"Raveh-Barak","given":"Hadas","non-dropping-particle":"","parse-names":false,"suffix":""},{"dropping-particle":"","family":"Falik-Zaccai","given":"Tzipora C.","non-dropping-particle":"","parse-names":false,"suffix":""},{"dropping-particle":"","family":"Elpeleg","given":"Orly","non-dropping-particle":"","parse-names":false,"suffix":""},{"dropping-particle":"","family":"Mandel","given":"Hanna","non-dropping-particle":"","parse-names":false,"suffix":""},{"dropping-particle":"","family":"Chang","given":"Zee-Fen","non-dropping-particle":"","parse-names":false,"suffix":""}],"container-title":"Proceedings of the National Academy of Sciences","id":"ITEM-1","issue":"2","issued":{"date-parts":[["2019","1","8"]]},"page":"566-574","title":"Two separate functions of NME3 critical for cell survival underlie a neurodegenerative disorder","type":"article-journal","volume":"116"},"uris":["http://www.mendeley.com/documents/?uuid=96217a27-cb1d-431e-bd06-6222fbaba292"]},{"id":"ITEM-2","itemData":{"DOI":"10.3390/ijms21145048","ISSN":"1422-0067","PMID":"32708927","abstract":"NME3 is a member of the nucleoside diphosphate kinase (NDPK) family that binds to the mitochondrial outer membrane to stimulate mitochondrial fusion. In this study, we showed that NME3 knockdown delayed DNA repair without reducing the cellular levels of nucleotide triphosphates. Further analyses revealed that NME3 knockdown increased fragmentation of mitochondria, which in turn led to mitochondrial oxidative stress-mediated DNA single-strand breaks (SSBs) in nuclear DNA. Re-expression of wild-type NME3 or inhibition of mitochondrial fission markedly reduced SSBs and facilitated DNA repair in NME3 knockdown cells, while expression of N-terminal deleted mutant defective in mitochondrial binding had no rescue effect. We further showed that disruption of mitochondrial fusion by knockdown of NME4 or MFN1 also caused mitochondrial oxidative stress-mediated genome instability. In conclusion, the contribution of NME3 to redox-regulated genome stability lies in its function in mitochondrial fusion.","author":[{"dropping-particle":"","family":"Chen","given":"Chih-Wei","non-dropping-particle":"","parse-names":false,"suffix":""},{"dropping-particle":"","family":"Tsao","given":"Ning","non-dropping-particle":"","parse-names":false,"suffix":""},{"dropping-particle":"","family":"Zhang","given":"Wei","non-dropping-particle":"","parse-names":false,"suffix":""},{"dropping-particle":"","family":"Chang","given":"Zee-Fen","non-dropping-particle":"","parse-names":false,"suffix":""}],"container-title":"International Journal of Molecular Sciences","id":"ITEM-2","issue":"14","issued":{"date-parts":[["2020","7","17"]]},"page":"5048","title":"NME3 Regulates Mitochondria to Reduce ROS-Mediated Genome Instability","type":"article-journal","volume":"21"},"uris":["http://www.mendeley.com/documents/?uuid=a9465582-edef-472f-9670-6e19573fb8b8"]},{"id":"ITEM-3","itemData":{"DOI":"10.1074/jbc.275.19.14264","ISSN":"00219258","abstract":"We demonstrate here the catalytic activity and subcellular localization of the Nm23-H4 protein, product of nm23-H4, a new member of the human nm23/nucleoside diphosphate (NDP) kinase gene family (Milon, L., Rousseau- Merck, M., Munier, A., Erent, M., Lascu, I., Capeau, J., and Lacombe, M. L. (1997) Hum. Genet. 99, 550-557). Nm3-H4 was synthesized in escherichia coli as the full-length protein and as a truncated form missing the N-terminal extension characteristic of mitochondrial targeting. The truncated form possesses NDP kinase activity, whereas the full-length protein is inactive, suggesting that the extension prevents enzyme folding and/or activity. X-ray crystallographic analysis was performed on active truncated Nm23-H4. Like other eukaryotic NDP kinases, it is a hexamer. Nm23-H4 naturally possesses a serine residue at position 129, equivalent to the K-pn mutation of the Drosophila NDP kinase. The x-ray structure shows that the presence of Ser129 has local structural effects that weaken subunit interactions. Site-directed mutagenesis shows that the serine is responsible for the lability of Nm23-H4 to heat and urea treatment, because the S129P mutant is greatly stabilized. Examination of human embryonic kidney 293 cells transfected with green fluorescent protein fusions by confocal microscopy shows a specific mitochondrial localization of Nm23-H4 that was also demonstrated by Western blot analysis of subcellular fractions of these cells. Import into mitochondria is accompanied by cleavage of the N-terminal extension that results in NDP Kinase activity. Submitochondrial fractionation indicates that Nm23-H4 is associated with mitochondrial membranes, possibly to the contact sites between the outer and inner membranes.","author":[{"dropping-particle":"","family":"Milon","given":"Laurence","non-dropping-particle":"","parse-names":false,"suffix":""},{"dropping-particle":"","family":"Meyer","given":"Philippe","non-dropping-particle":"","parse-names":false,"suffix":""},{"dropping-particle":"","family":"Chiadmi","given":"Mohamed","non-dropping-particle":"","parse-names":false,"suffix":""},{"dropping-particle":"","family":"Munier","given":"Annie","non-dropping-particle":"","parse-names":false,"suffix":""},{"dropping-particle":"","family":"Johansson","given":"Magnus","non-dropping-particle":"","parse-names":false,"suffix":""},{"dropping-particle":"","family":"Karlsson","given":"Anna","non-dropping-particle":"","parse-names":false,"suffix":""},{"dropping-particle":"","family":"Lascu","given":"Ioan","non-dropping-particle":"","parse-names":false,"suffix":""},{"dropping-particle":"","family":"Capeau","given":"Jacqueline","non-dropping-particle":"","parse-names":false,"suffix":""},{"dropping-particle":"","family":"Janin","given":"Joël","non-dropping-particle":"","parse-names":false,"suffix":""},{"dropping-particle":"","family":"Lacombe","given":"Marie-Lise","non-dropping-particle":"","parse-names":false,"suffix":""}],"container-title":"Journal of Biological Chemistry","id":"ITEM-3","issue":"19","issued":{"date-parts":[["2000","5","12"]]},"page":"14264-14272","title":"The Human nm23-H4 Gene Product Is a Mitochondrial Nucleoside Diphosphate Kinase","type":"article-journal","volume":"275"},"uris":["http://www.mendeley.com/documents/?uuid=4c866130-1618-43ab-9089-281265f3388a"]}],"mendeley":{"formattedCitation":"[19–21]","plainTextFormattedCitation":"[19–21]","previouslyFormattedCitation":"[19–21]"},"properties":{"noteIndex":0},"schema":"https://github.com/citation-style-language/schema/raw/master/csl-citation.json"}</w:instrText>
      </w:r>
      <w:r w:rsidR="00195C5A">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[19–21]</w:t>
      </w:r>
      <w:r w:rsidR="00195C5A">
        <w:rPr>
          <w:rFonts w:ascii="Times New Roman" w:hAnsi="Times New Roman" w:cs="Times New Roman"/>
          <w:sz w:val="24"/>
          <w:szCs w:val="24"/>
        </w:rPr>
        <w:fldChar w:fldCharType="end"/>
      </w:r>
      <w:r w:rsidR="00FC5456">
        <w:rPr>
          <w:rFonts w:ascii="Times New Roman" w:hAnsi="Times New Roman" w:cs="Times New Roman"/>
          <w:sz w:val="24"/>
          <w:szCs w:val="24"/>
        </w:rPr>
        <w:t>, or cytoskeleton (NME7 in microtubules)</w:t>
      </w:r>
      <w:r w:rsidR="00195C5A">
        <w:rPr>
          <w:rFonts w:ascii="Times New Roman" w:hAnsi="Times New Roman" w:cs="Times New Roman"/>
          <w:sz w:val="24"/>
          <w:szCs w:val="24"/>
        </w:rPr>
        <w:t xml:space="preserve"> </w:t>
      </w:r>
      <w:r w:rsidR="00195C5A">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{"citationItems":[{"id":"ITEM-1","itemData":{"DOI":"10.1016/j.cell.2021.10.007","ISSN":"00928674","PMID":"34715025","abstract":"Dynein-decorated doublet microtubules (DMTs) are critical components of the oscillatory molecular machine of cilia, the axoneme, and have luminal surfaces patterned periodically by microtubule inner proteins (MIPs). Here we present an atomic model of the 48-nm repeat of a mammalian DMT, derived from a cryoelectron microscopy (cryo-EM) map of the complex isolated from bovine respiratory cilia. The structure uncovers principles of doublet microtubule organization and features specific to vertebrate cilia, including previously unknown MIPs, a luminal bundle of tektin filaments, and a pentameric dynein-docking complex. We identify a mechanism for bridging 48- to 24-nm periodicity across the microtubule wall and show that loss of the proteins involved causes defective ciliary motility and laterality abnormalities in zebrafish and mice. Our structure identifies candidate genes for diagnosis of ciliopathies and provides a framework to understand their functions in driving ciliary motility.","author":[{"dropping-particle":"","family":"Gui","given":"Miao","non-dropping-particle":"","parse-names":false,"suffix":""},{"dropping-particle":"","family":"Farley","given":"Hannah","non-dropping-particle":"","parse-names":false,"suffix":""},{"dropping-particle":"","family":"Anujan","given":"Priyanka","non-dropping-particle":"","parse-names":false,"suffix":""},{"dropping-particle":"","family":"Anderson","given":"Jacob R.","non-dropping-particle":"","parse-names":false,"suffix":""},{"dropping-particle":"","family":"Maxwell","given":"Dale W.","non-dropping-particle":"","parse-names":false,"suffix":""},{"dropping-particle":"","family":"Whitchurch","given":"Jonathan B.","non-dropping-particle":"","parse-names":false,"suffix":""},{"dropping-particle":"","family":"Botsch","given":"J. Josephine","non-dropping-particle":"","parse-names":false,"suffix":""},{"dropping-particle":"","family":"Qiu","given":"Tao","non-dropping-particle":"","parse-names":false,"suffix":""},{"dropping-particle":"","family":"Meleppattu","given":"Shimi","non-dropping-particle":"","parse-names":false,"suffix":""},{"dropping-particle":"","family":"Singh","given":"Sandeep K.","non-dropping-particle":"","parse-names":false,"suffix":""},{"dropping-particle":"","family":"Zhang","given":"Qi","non-dropping-particle":"","parse-names":false,"suffix":""},{"dropping-particle":"","family":"Thompson","given":"James","non-dropping-particle":"","parse-names":false,"suffix":""},{"dropping-particle":"","family":"Lucas","given":"Jane S.","non-dropping-particle":"","parse-names":false,"suffix":""},{"dropping-particle":"","family":"Bingle","given":"Colin D.","non-dropping-particle":"","parse-names":false,"suffix":""},{"dropping-particle":"","family":"Norris","given":"Dominic P.","non-dropping-particle":"","parse-names":false,"suffix":""},{"dropping-particle":"","family":"Roy","given":"Sudipto","non-dropping-particle":"","parse-names":false,"suffix":""},{"dropping-particle":"","family":"Brown","given":"Alan","non-dropping-particle":"","parse-names":false,"suffix":""}],"container-title":"Cell","id":"ITEM-1","issue":"23","issued":{"date-parts":[["2021","11","11"]]},"page":"5791-5806","publisher":"Cell Press","title":"De novo identification of mammalian ciliary motility proteins using cryo-EM","type":"article-journal","volume":"184"},"uris":["http://www.mendeley.com/documents/?uuid=fcc8718b-81d2-3cb8-b787-527aea6436ec"]}],"mendeley":{"formattedCitation":"[22]","plainTextFormattedCitation":"[22]","previouslyFormattedCitation":"[22]"},"properties":{"noteIndex":0},"schema":"https://github.com/citation-style-language/schema/raw/master/csl-citation.json"}</w:instrText>
      </w:r>
      <w:r w:rsidR="00195C5A">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[22]</w:t>
      </w:r>
      <w:r w:rsidR="00195C5A">
        <w:rPr>
          <w:rFonts w:ascii="Times New Roman" w:hAnsi="Times New Roman" w:cs="Times New Roman"/>
          <w:sz w:val="24"/>
          <w:szCs w:val="24"/>
        </w:rPr>
        <w:fldChar w:fldCharType="end"/>
      </w:r>
      <w:r w:rsidR="00FC5456">
        <w:rPr>
          <w:rFonts w:ascii="Times New Roman" w:hAnsi="Times New Roman" w:cs="Times New Roman"/>
          <w:sz w:val="24"/>
          <w:szCs w:val="24"/>
        </w:rPr>
        <w:t xml:space="preserve">. They are associated with a large range of biological effects and diseases, as </w:t>
      </w:r>
      <w:r w:rsidR="00354224">
        <w:rPr>
          <w:rFonts w:ascii="Times New Roman" w:hAnsi="Times New Roman" w:cs="Times New Roman"/>
          <w:sz w:val="24"/>
          <w:szCs w:val="24"/>
        </w:rPr>
        <w:t xml:space="preserve">extensively </w:t>
      </w:r>
      <w:r w:rsidR="00FC5456">
        <w:rPr>
          <w:rFonts w:ascii="Times New Roman" w:hAnsi="Times New Roman" w:cs="Times New Roman"/>
          <w:sz w:val="24"/>
          <w:szCs w:val="24"/>
        </w:rPr>
        <w:t>described in the section (</w:t>
      </w:r>
      <w:r w:rsidR="00FC5456">
        <w:rPr>
          <w:rFonts w:ascii="Times New Roman" w:hAnsi="Times New Roman" w:cs="Times New Roman"/>
          <w:sz w:val="24"/>
          <w:szCs w:val="24"/>
        </w:rPr>
        <w:fldChar w:fldCharType="begin"/>
      </w:r>
      <w:r w:rsidR="00FC5456">
        <w:rPr>
          <w:rFonts w:ascii="Times New Roman" w:hAnsi="Times New Roman" w:cs="Times New Roman"/>
          <w:sz w:val="24"/>
          <w:szCs w:val="24"/>
        </w:rPr>
        <w:instrText xml:space="preserve"> REF _Ref106180198 \r \h </w:instrText>
      </w:r>
      <w:r w:rsidR="00FC5456">
        <w:rPr>
          <w:rFonts w:ascii="Times New Roman" w:hAnsi="Times New Roman" w:cs="Times New Roman"/>
          <w:sz w:val="24"/>
          <w:szCs w:val="24"/>
        </w:rPr>
      </w:r>
      <w:r w:rsidR="00FC5456">
        <w:rPr>
          <w:rFonts w:ascii="Times New Roman" w:hAnsi="Times New Roman" w:cs="Times New Roman"/>
          <w:sz w:val="24"/>
          <w:szCs w:val="24"/>
        </w:rPr>
        <w:fldChar w:fldCharType="separate"/>
      </w:r>
      <w:r w:rsidR="00790F77">
        <w:rPr>
          <w:rFonts w:ascii="Times New Roman" w:hAnsi="Times New Roman" w:cs="Times New Roman"/>
          <w:sz w:val="24"/>
          <w:szCs w:val="24"/>
        </w:rPr>
        <w:t>2.3</w:t>
      </w:r>
      <w:r w:rsidR="00FC5456">
        <w:rPr>
          <w:rFonts w:ascii="Times New Roman" w:hAnsi="Times New Roman" w:cs="Times New Roman"/>
          <w:sz w:val="24"/>
          <w:szCs w:val="24"/>
        </w:rPr>
        <w:fldChar w:fldCharType="end"/>
      </w:r>
      <w:r w:rsidR="00FC5456">
        <w:rPr>
          <w:rFonts w:ascii="Times New Roman" w:hAnsi="Times New Roman" w:cs="Times New Roman"/>
          <w:sz w:val="24"/>
          <w:szCs w:val="24"/>
        </w:rPr>
        <w:t>).</w:t>
      </w:r>
    </w:p>
    <w:p w14:paraId="114D4BAE" w14:textId="1514CC8F" w:rsidR="009049DA" w:rsidRDefault="00687C50" w:rsidP="004927BB">
      <w:pPr>
        <w:spacing w:line="360" w:lineRule="auto"/>
        <w:jc w:val="both"/>
        <w:rPr>
          <w:rFonts w:ascii="Times New Roman" w:hAnsi="Times New Roman" w:cs="Times New Roman"/>
          <w:sz w:val="24"/>
          <w:szCs w:val="24"/>
        </w:rPr>
      </w:pPr>
      <w:r w:rsidRPr="2ACD72AF">
        <w:rPr>
          <w:rFonts w:ascii="Times New Roman" w:hAnsi="Times New Roman" w:cs="Times New Roman"/>
          <w:sz w:val="24"/>
          <w:szCs w:val="24"/>
        </w:rPr>
        <w:lastRenderedPageBreak/>
        <w:t xml:space="preserve">The NME </w:t>
      </w:r>
      <w:r w:rsidR="00E35E44" w:rsidRPr="2ACD72AF">
        <w:rPr>
          <w:rFonts w:ascii="Times New Roman" w:hAnsi="Times New Roman" w:cs="Times New Roman"/>
          <w:sz w:val="24"/>
          <w:szCs w:val="24"/>
        </w:rPr>
        <w:t>family is an ancient group of genes</w:t>
      </w:r>
      <w:r w:rsidR="00DA45C1" w:rsidRPr="2ACD72AF">
        <w:rPr>
          <w:rFonts w:ascii="Times New Roman" w:hAnsi="Times New Roman" w:cs="Times New Roman"/>
          <w:sz w:val="24"/>
          <w:szCs w:val="24"/>
        </w:rPr>
        <w:t>/proteins</w:t>
      </w:r>
      <w:r w:rsidR="00806132" w:rsidRPr="2ACD72AF">
        <w:rPr>
          <w:rFonts w:ascii="Times New Roman" w:hAnsi="Times New Roman" w:cs="Times New Roman"/>
          <w:sz w:val="24"/>
          <w:szCs w:val="24"/>
        </w:rPr>
        <w:t>,</w:t>
      </w:r>
      <w:r w:rsidR="00D67F9D" w:rsidRPr="2ACD72AF">
        <w:rPr>
          <w:rFonts w:ascii="Times New Roman" w:hAnsi="Times New Roman" w:cs="Times New Roman"/>
          <w:sz w:val="24"/>
          <w:szCs w:val="24"/>
        </w:rPr>
        <w:t xml:space="preserve"> </w:t>
      </w:r>
      <w:r w:rsidR="00E35E44" w:rsidRPr="2ACD72AF">
        <w:rPr>
          <w:rFonts w:ascii="Times New Roman" w:hAnsi="Times New Roman" w:cs="Times New Roman"/>
          <w:sz w:val="24"/>
          <w:szCs w:val="24"/>
        </w:rPr>
        <w:t xml:space="preserve">found </w:t>
      </w:r>
      <w:r w:rsidR="00DA45C1" w:rsidRPr="2ACD72AF">
        <w:rPr>
          <w:rFonts w:ascii="Times New Roman" w:hAnsi="Times New Roman" w:cs="Times New Roman"/>
          <w:sz w:val="24"/>
          <w:szCs w:val="24"/>
        </w:rPr>
        <w:t>throughout</w:t>
      </w:r>
      <w:r w:rsidR="00E35E44" w:rsidRPr="2ACD72AF">
        <w:rPr>
          <w:rFonts w:ascii="Times New Roman" w:hAnsi="Times New Roman" w:cs="Times New Roman"/>
          <w:sz w:val="24"/>
          <w:szCs w:val="24"/>
        </w:rPr>
        <w:t xml:space="preserve"> all three </w:t>
      </w:r>
      <w:r w:rsidR="00806132" w:rsidRPr="2ACD72AF">
        <w:rPr>
          <w:rFonts w:ascii="Times New Roman" w:hAnsi="Times New Roman" w:cs="Times New Roman"/>
          <w:sz w:val="24"/>
          <w:szCs w:val="24"/>
        </w:rPr>
        <w:t>domains</w:t>
      </w:r>
      <w:r w:rsidR="00E35E44" w:rsidRPr="2ACD72AF">
        <w:rPr>
          <w:rFonts w:ascii="Times New Roman" w:hAnsi="Times New Roman" w:cs="Times New Roman"/>
          <w:sz w:val="24"/>
          <w:szCs w:val="24"/>
        </w:rPr>
        <w:t xml:space="preserve"> of life: Bacteria, Archaea and Eukaryota</w:t>
      </w:r>
      <w:r w:rsidR="00701D83" w:rsidRPr="2ACD72AF">
        <w:rPr>
          <w:rFonts w:ascii="Times New Roman" w:hAnsi="Times New Roman" w:cs="Times New Roman"/>
          <w:sz w:val="24"/>
          <w:szCs w:val="24"/>
        </w:rPr>
        <w:t xml:space="preserve">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{"citationItems":[{"id":"ITEM-1","itemData":{"DOI":"10.1007/s11010-009-0121-6","ISSN":"0300-8177","PMID":"19421718","abstract":"The NM23 (non-metastatic 23) family is almost universally conserved across all three domains of life: eubacteria, archaea and eucaryotes. Unicellular organisms possess one NM23 ortholog, whilst vertebrates possess several. Gene multiplication through evolution has been accompanied by structural and functional diversification. Many NM23 orthologs are nucleoside diphosphate kinases (NDP kinases), but some more recently evolved members lack NDP kinase activity and/or display other functions, for instance, acting as protein kinases or transcription factors. These members display overlapping but distinct expression patterns during vertebrate development. In this review, we describe the functional differences and similarities among various NM23 family members. Moreover, we establish orthologous relationships through a phylogenetic analysis of NM23 members across vertebrate species, including Xenopus laevis and zebrafish, primitive chordates and several phyla of invertebrates. Finally, we summarize the involvement of NM23 proteins in development, in particular neural development. Carcinogenesis is a process of misregulated development, and NM23 was initially implicated as a metastasis suppressor. A more detailed understanding of the evolution of the family and its role in vertebrate development will facilitate elucidation of the mechanism of NM23 involvement in human cancer.","author":[{"dropping-particle":"","family":"Bilitou","given":"Aikaterini","non-dropping-particle":"","parse-names":false,"suffix":""},{"dropping-particle":"","family":"Watson","given":"Julie","non-dropping-particle":"","parse-names":false,"suffix":""},{"dropping-particle":"","family":"Gartner","given":"Anton","non-dropping-particle":"","parse-names":false,"suffix":""},{"dropping-particle":"","family":"Ohnuma","given":"Shin-ichi","non-dropping-particle":"","parse-names":false,"suffix":""}],"container-title":"Molecular and Cellular Biochemistry","id":"ITEM-1","issue":"1-2","issued":{"date-parts":[["2009","9","7"]]},"page":"17-33","title":"The NM23 family in development","type":"article-journal","volume":"329"},"uris":["http://www.mendeley.com/documents/?uuid=24e1fcec-62ee-4165-99d9-c8a1af518ea0"]}],"mendeley":{"formattedCitation":"[23]","plainTextFormattedCitation":"[23]","previouslyFormattedCitation":"[23]"},"properties":{"noteIndex":0},"schema":"https://github.com/citation-style-language/schema/raw/master/csl-citation.json"}</w:instrText>
      </w:r>
      <w:r w:rsidRPr="2ACD72AF">
        <w:rPr>
          <w:rFonts w:ascii="Times New Roman" w:hAnsi="Times New Roman" w:cs="Times New Roman"/>
          <w:sz w:val="24"/>
          <w:szCs w:val="24"/>
        </w:rPr>
        <w:fldChar w:fldCharType="separate"/>
      </w:r>
      <w:r w:rsidR="00701D83" w:rsidRPr="2ACD72AF">
        <w:rPr>
          <w:rFonts w:ascii="Times New Roman" w:hAnsi="Times New Roman" w:cs="Times New Roman"/>
          <w:noProof/>
          <w:sz w:val="24"/>
          <w:szCs w:val="24"/>
        </w:rPr>
        <w:t>[23]</w:t>
      </w:r>
      <w:r w:rsidRPr="2ACD72AF">
        <w:rPr>
          <w:rFonts w:ascii="Times New Roman" w:hAnsi="Times New Roman" w:cs="Times New Roman"/>
          <w:sz w:val="24"/>
          <w:szCs w:val="24"/>
        </w:rPr>
        <w:fldChar w:fldCharType="end"/>
      </w:r>
      <w:r w:rsidR="00806132" w:rsidRPr="2ACD72AF">
        <w:rPr>
          <w:rFonts w:ascii="Times New Roman" w:hAnsi="Times New Roman" w:cs="Times New Roman"/>
          <w:sz w:val="24"/>
          <w:szCs w:val="24"/>
        </w:rPr>
        <w:t xml:space="preserve">, thus emphasizing </w:t>
      </w:r>
      <w:r w:rsidR="000035A3" w:rsidRPr="2ACD72AF">
        <w:rPr>
          <w:rFonts w:ascii="Times New Roman" w:hAnsi="Times New Roman" w:cs="Times New Roman"/>
          <w:sz w:val="24"/>
          <w:szCs w:val="24"/>
        </w:rPr>
        <w:t xml:space="preserve">their necessity in </w:t>
      </w:r>
      <w:r w:rsidR="00495501" w:rsidRPr="2ACD72AF">
        <w:rPr>
          <w:rFonts w:ascii="Times New Roman" w:hAnsi="Times New Roman" w:cs="Times New Roman"/>
          <w:sz w:val="24"/>
          <w:szCs w:val="24"/>
        </w:rPr>
        <w:t>key cellular functions and</w:t>
      </w:r>
      <w:r w:rsidR="000035A3" w:rsidRPr="2ACD72AF">
        <w:rPr>
          <w:rFonts w:ascii="Times New Roman" w:hAnsi="Times New Roman" w:cs="Times New Roman"/>
          <w:sz w:val="24"/>
          <w:szCs w:val="24"/>
        </w:rPr>
        <w:t xml:space="preserve"> physiology of cells</w:t>
      </w:r>
      <w:r w:rsidR="00701D83" w:rsidRPr="2ACD72AF">
        <w:rPr>
          <w:rFonts w:ascii="Times New Roman" w:hAnsi="Times New Roman" w:cs="Times New Roman"/>
          <w:sz w:val="24"/>
          <w:szCs w:val="24"/>
        </w:rPr>
        <w:t xml:space="preserve">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{"citationItems":[{"id":"ITEM-1","itemData":{"DOI":"10.18054/pb.v120i1.6229","ISSN":"00315362","abstract":"Nucleoside diphosphate kinases (NDPKs) catalyze the exchange of the terminal phosphate from trinucleotides to dinucleotides through a highenergy phosphohistidine intermedier. They are encoded by NME genes and have been found, with a few exceptions, in all living beings. Besides their well-known function as key regulators of the cellular nucleotide homeostasis, they have been appointed numerous additional biochemical and biological functions. The discovery of NME1/NDPK A as the first metastasis suppressor opened new avenues in cancer research. Although the precise role of NME genes/proteins in cancer dissemination is not yet revealed, it seems that further intensive research in this field may lead to new advances in cancer diagnosis and prognosis, as well as encourage new therapeutic strategies.","author":[{"dropping-particle":"","family":"Herak Bosnar","given":"Maja","non-dropping-particle":"","parse-names":false,"suffix":""},{"dropping-particle":"","family":"Radić","given":"Martina","non-dropping-particle":"","parse-names":false,"suffix":""},{"dropping-particle":"","family":"Ćetković","given":"Helena","non-dropping-particle":"","parse-names":false,"suffix":""}],"container-title":"Periodicum Biologorum","id":"ITEM-1","issue":"1","issued":{"date-parts":[["2018","6","30"]]},"page":"3-9","title":"A young researcher’s guide to NME/Nm23/NDP Kinase","type":"article-journal","volume":"120"},"uris":["http://www.mendeley.com/documents/?uuid=40279e92-bd0d-411f-a42e-83c016960952"]},{"id":"ITEM-2","itemData":{"DOI":"10.1371/journal.pone.0015506","ISSN":"1932-6203","PMID":"21085602","abstract":"BACKGROUND The Nme gene family is involved in multiple physiological and pathological processes such as cellular differentiation, development, metastatic dissemination, and cilia functions. Despite the known importance of Nme genes and their use as clinical markers of tumor aggressiveness, the associated cellular mechanisms remain poorly understood. Over the last 20 years, several non-vertebrate model species have been used to investigate Nme functions. However, the evolutionary history of the family remains poorly understood outside the vertebrate lineage. The aim of the study was thus to elucidate the evolutionary history of the Nme gene family in Metazoans. METHODOLOGY/PRINCIPAL FINDINGS Using a total of 21 eukaryote species including 14 metazoans, the evolutionary history of Nme genes was reconstructed in the metazoan lineage. We demonstrated that the complexity of the Nme gene family, initially thought to be restricted to chordates, was also shared by the metazoan ancestor. We also provide evidence suggesting that the complexity of the family is mainly a eukaryotic innovation, with the exception of Nme8 that is likely to be a choanoflagellate/metazoan innovation. Highly conserved gene structure, genomic linkage, and protein domains were identified among metazoans, some features being also conserved in eukaryotes. When considering the entire Nme family, the starlet sea anemone is the studied metazoan species exhibiting the most conserved gene and protein sequence features with humans. In addition, we were able to show that most of the proteins known to interact with human NME proteins were also found in starlet sea anemone. CONCLUSION/SIGNIFICANCE Together, our observations further support the association of Nme genes with key cellular functions that have been conserved throughout metazoan evolution. Future investigations of evolutionarily conserved Nme gene functions using the starlet sea anemone could shed new light on a wide variety of key developmental and cellular processes.","author":[{"dropping-particle":"","family":"Desvignes","given":"Thomas","non-dropping-particle":"","parse-names":false,"suffix":""},{"dropping-particle":"","family":"Pontarotti","given":"Pierre","non-dropping-particle":"","parse-names":false,"suffix":""},{"dropping-particle":"","family":"Bobe","given":"Julien","non-dropping-particle":"","parse-names":false,"suffix":""}],"container-title":"PLoS ONE","editor":[{"dropping-particle":"","family":"Kolokotronis","given":"Sergios-Orestis","non-dropping-particle":"","parse-names":false,"suffix":""}],"id":"ITEM-2","issue":"11","issued":{"date-parts":[["2010","11","11"]]},"page":"e15506","title":"Nme Gene Family Evolutionary History Reveals Pre-Metazoan Origins and High Conservation between Humans and the Sea Anemone, Nematostella vectensis","type":"article-journal","volume":"5"},"uris":["http://www.mendeley.com/documents/?uuid=c0b5775c-b810-48a8-bff1-66038ddaf22f"]}],"mendeley":{"formattedCitation":"[24,25]","plainTextFormattedCitation":"[24,25]","previouslyFormattedCitation":"[24,25]"},"properties":{"noteIndex":0},"schema":"https://github.com/citation-style-language/schema/raw/master/csl-citation.json"}</w:instrText>
      </w:r>
      <w:r w:rsidRPr="2ACD72AF">
        <w:rPr>
          <w:rFonts w:ascii="Times New Roman" w:hAnsi="Times New Roman" w:cs="Times New Roman"/>
          <w:sz w:val="24"/>
          <w:szCs w:val="24"/>
        </w:rPr>
        <w:fldChar w:fldCharType="separate"/>
      </w:r>
      <w:r w:rsidR="00936168" w:rsidRPr="2ACD72AF">
        <w:rPr>
          <w:rFonts w:ascii="Times New Roman" w:hAnsi="Times New Roman" w:cs="Times New Roman"/>
          <w:noProof/>
          <w:sz w:val="24"/>
          <w:szCs w:val="24"/>
        </w:rPr>
        <w:t>[24,25]</w:t>
      </w:r>
      <w:r w:rsidRPr="2ACD72AF">
        <w:rPr>
          <w:rFonts w:ascii="Times New Roman" w:hAnsi="Times New Roman" w:cs="Times New Roman"/>
          <w:sz w:val="24"/>
          <w:szCs w:val="24"/>
        </w:rPr>
        <w:fldChar w:fldCharType="end"/>
      </w:r>
      <w:r w:rsidR="000035A3" w:rsidRPr="2ACD72AF">
        <w:rPr>
          <w:rFonts w:ascii="Times New Roman" w:hAnsi="Times New Roman" w:cs="Times New Roman"/>
          <w:sz w:val="24"/>
          <w:szCs w:val="24"/>
        </w:rPr>
        <w:t>.</w:t>
      </w:r>
      <w:r w:rsidR="00E35E44" w:rsidRPr="2ACD72AF">
        <w:rPr>
          <w:rFonts w:ascii="Times New Roman" w:hAnsi="Times New Roman" w:cs="Times New Roman"/>
          <w:sz w:val="24"/>
          <w:szCs w:val="24"/>
        </w:rPr>
        <w:t xml:space="preserve"> </w:t>
      </w:r>
      <w:r w:rsidR="001C18E7" w:rsidRPr="2ACD72AF">
        <w:rPr>
          <w:rFonts w:ascii="Times New Roman" w:hAnsi="Times New Roman" w:cs="Times New Roman"/>
          <w:sz w:val="24"/>
          <w:szCs w:val="24"/>
        </w:rPr>
        <w:t xml:space="preserve">Group II members arose earlier </w:t>
      </w:r>
      <w:r w:rsidR="00806132" w:rsidRPr="2ACD72AF">
        <w:rPr>
          <w:rFonts w:ascii="Times New Roman" w:hAnsi="Times New Roman" w:cs="Times New Roman"/>
          <w:sz w:val="24"/>
          <w:szCs w:val="24"/>
        </w:rPr>
        <w:t xml:space="preserve">than </w:t>
      </w:r>
      <w:r w:rsidR="00DA45C1" w:rsidRPr="2ACD72AF">
        <w:rPr>
          <w:rFonts w:ascii="Times New Roman" w:hAnsi="Times New Roman" w:cs="Times New Roman"/>
          <w:sz w:val="24"/>
          <w:szCs w:val="24"/>
        </w:rPr>
        <w:t xml:space="preserve">most of the members of </w:t>
      </w:r>
      <w:r w:rsidR="00806132" w:rsidRPr="2ACD72AF">
        <w:rPr>
          <w:rFonts w:ascii="Times New Roman" w:hAnsi="Times New Roman" w:cs="Times New Roman"/>
          <w:sz w:val="24"/>
          <w:szCs w:val="24"/>
        </w:rPr>
        <w:t xml:space="preserve">Group I </w:t>
      </w:r>
      <w:r w:rsidR="001C18E7" w:rsidRPr="2ACD72AF">
        <w:rPr>
          <w:rFonts w:ascii="Times New Roman" w:hAnsi="Times New Roman" w:cs="Times New Roman"/>
          <w:sz w:val="24"/>
          <w:szCs w:val="24"/>
        </w:rPr>
        <w:t>during the course of evolution</w:t>
      </w:r>
      <w:r w:rsidR="00806132" w:rsidRPr="2ACD72AF">
        <w:rPr>
          <w:rFonts w:ascii="Times New Roman" w:hAnsi="Times New Roman" w:cs="Times New Roman"/>
          <w:sz w:val="24"/>
          <w:szCs w:val="24"/>
        </w:rPr>
        <w:t>,</w:t>
      </w:r>
      <w:r w:rsidR="008C61D5" w:rsidRPr="2ACD72AF">
        <w:rPr>
          <w:rFonts w:ascii="Times New Roman" w:hAnsi="Times New Roman" w:cs="Times New Roman"/>
          <w:sz w:val="24"/>
          <w:szCs w:val="24"/>
        </w:rPr>
        <w:t xml:space="preserve"> i.e. </w:t>
      </w:r>
      <w:r w:rsidR="00354224" w:rsidRPr="2ACD72AF">
        <w:rPr>
          <w:rFonts w:ascii="Times New Roman" w:hAnsi="Times New Roman" w:cs="Times New Roman"/>
          <w:sz w:val="24"/>
          <w:szCs w:val="24"/>
        </w:rPr>
        <w:t xml:space="preserve">they </w:t>
      </w:r>
      <w:r w:rsidR="008C61D5" w:rsidRPr="2ACD72AF">
        <w:rPr>
          <w:rFonts w:ascii="Times New Roman" w:hAnsi="Times New Roman" w:cs="Times New Roman"/>
          <w:sz w:val="24"/>
          <w:szCs w:val="24"/>
        </w:rPr>
        <w:t>are evolutionary “older”</w:t>
      </w:r>
      <w:r w:rsidR="00701D83" w:rsidRPr="2ACD72AF">
        <w:rPr>
          <w:rFonts w:ascii="Times New Roman" w:hAnsi="Times New Roman" w:cs="Times New Roman"/>
          <w:sz w:val="24"/>
          <w:szCs w:val="24"/>
        </w:rPr>
        <w:t xml:space="preserve">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2ACD72AF">
        <w:rPr>
          <w:rFonts w:ascii="Times New Roman" w:hAnsi="Times New Roman" w:cs="Times New Roman"/>
          <w:sz w:val="24"/>
          <w:szCs w:val="24"/>
        </w:rPr>
        <w:fldChar w:fldCharType="separate"/>
      </w:r>
      <w:r w:rsidR="00701D83" w:rsidRPr="2ACD72AF">
        <w:rPr>
          <w:rFonts w:ascii="Times New Roman" w:hAnsi="Times New Roman" w:cs="Times New Roman"/>
          <w:noProof/>
          <w:sz w:val="24"/>
          <w:szCs w:val="24"/>
        </w:rPr>
        <w:t>[1]</w:t>
      </w:r>
      <w:r w:rsidRPr="2ACD72AF">
        <w:rPr>
          <w:rFonts w:ascii="Times New Roman" w:hAnsi="Times New Roman" w:cs="Times New Roman"/>
          <w:sz w:val="24"/>
          <w:szCs w:val="24"/>
        </w:rPr>
        <w:fldChar w:fldCharType="end"/>
      </w:r>
      <w:r w:rsidR="008C61D5" w:rsidRPr="2ACD72AF">
        <w:rPr>
          <w:rFonts w:ascii="Times New Roman" w:hAnsi="Times New Roman" w:cs="Times New Roman"/>
          <w:sz w:val="24"/>
          <w:szCs w:val="24"/>
        </w:rPr>
        <w:t>. Studies on simple metazoan models like sponges, representing common ancestor of animals</w:t>
      </w:r>
      <w:r w:rsidR="00752F5B" w:rsidRPr="2ACD72AF">
        <w:rPr>
          <w:rFonts w:ascii="Times New Roman" w:hAnsi="Times New Roman" w:cs="Times New Roman"/>
          <w:sz w:val="24"/>
          <w:szCs w:val="24"/>
        </w:rPr>
        <w:t>,</w:t>
      </w:r>
      <w:r w:rsidR="008C61D5" w:rsidRPr="2ACD72AF">
        <w:rPr>
          <w:rFonts w:ascii="Times New Roman" w:hAnsi="Times New Roman" w:cs="Times New Roman"/>
          <w:sz w:val="24"/>
          <w:szCs w:val="24"/>
        </w:rPr>
        <w:t xml:space="preserve"> showed that the</w:t>
      </w:r>
      <w:r w:rsidR="00752F5B" w:rsidRPr="2ACD72AF">
        <w:rPr>
          <w:rFonts w:ascii="Times New Roman" w:hAnsi="Times New Roman" w:cs="Times New Roman"/>
          <w:sz w:val="24"/>
          <w:szCs w:val="24"/>
        </w:rPr>
        <w:t xml:space="preserve"> ancestral</w:t>
      </w:r>
      <w:r w:rsidR="008C61D5" w:rsidRPr="2ACD72AF">
        <w:rPr>
          <w:rFonts w:ascii="Times New Roman" w:hAnsi="Times New Roman" w:cs="Times New Roman"/>
          <w:sz w:val="24"/>
          <w:szCs w:val="24"/>
        </w:rPr>
        <w:t xml:space="preserve"> sponge NME</w:t>
      </w:r>
      <w:r w:rsidR="00752F5B" w:rsidRPr="2ACD72AF">
        <w:rPr>
          <w:rFonts w:ascii="Times New Roman" w:hAnsi="Times New Roman" w:cs="Times New Roman"/>
          <w:sz w:val="24"/>
          <w:szCs w:val="24"/>
        </w:rPr>
        <w:t xml:space="preserve">Gp1Sd displayed similar structure, localization and function as the human NME1/2 </w:t>
      </w:r>
      <w:r w:rsidR="00DA45C1" w:rsidRPr="2ACD72AF">
        <w:rPr>
          <w:rFonts w:ascii="Times New Roman" w:hAnsi="Times New Roman" w:cs="Times New Roman"/>
          <w:sz w:val="24"/>
          <w:szCs w:val="24"/>
        </w:rPr>
        <w:t xml:space="preserve">homolog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{"citationItems":[{"id":"ITEM-1","itemData":{"DOI":"10.1186/1471-2148-11-87","ISSN":"1471-2148","abstract":"Abstract. Background: Nucleoside diphosphate kinases NDPK are evolutionarily conserved enzymes present in Bacteria, Archaea and Eukarya, with human Nme1 the most studied representative of the family and the first identified metastasis suppressor. Sponges (Porifera) are simple metazoans without tissues, closest to the common ancestor of all animals. They changed little during evolution and probably provide the best insight into the metazoan ancestor's genomic features. Recent studies show that sponges have a wide repertoire of genes many of which are involved in diseases in more complex metazoans. The original function of those genes and the way it has evolved in the animal lineage is largely unknown. Here we report new results on the metastasis suppressor gene/protein homolog from the marine sponge Suberites domuncula, NmeGp1Sd. The purpose of this study was to investigate the properties of the sponge Group I Nme gene and protein, and compare it to its human homolog in order to elucidate the evolution of the structure and function of Nme. Results: We found that sponge genes coding for Group I Nme protein are intron-rich. Furthermore, we discovered that the sponge NmeGp1Sd protein has a similar level of kinase activity as its human homolog Nme1, does not cleave negatively supercoiled DNA and shows nonspecific DNA-binding activity. The sponge NmeGp1Sd forms a hexamer, like human Nme1, and all other eukaryotic Nme proteins. NmeGp1Sd interacts with human Nme1 in human cells and exhibits the same subcellular localization. Stable clones expressing sponge NmeGp1Sd inhibited the migratory potential of CAL 27 cells, as already reported for human Nme1, which suggests that Nme's function in migratory processes was engaged long before the composition of true tissues. Conclusions: This study suggests that the ancestor of all animals possessed a NmeGp1 protein with properties and functions similar to evolutionarily recent versions of the protein, even before the appearance of true tissues and the origin of tumors and metastasis. © 2011 Perina et al; licensee BioMed Central Ltd.","author":[{"dropping-particle":"","family":"Perina","given":"Drago","non-dropping-particle":"","parse-names":false,"suffix":""},{"dropping-particle":"","family":"Herak Bosnar","given":"Maja","non-dropping-particle":"","parse-names":false,"suffix":""},{"dropping-particle":"","family":"Bago","given":"Ružica","non-dropping-particle":"","parse-names":false,"suffix":""},{"dropping-particle":"","family":"Mikoč","given":"Andreja","non-dropping-particle":"","parse-names":false,"suffix":""},{"dropping-particle":"","family":"Harcet","given":"Matija","non-dropping-particle":"","parse-names":false,"suffix":""},{"dropping-particle":"","family":"Deželjin","given":"Martina","non-dropping-particle":"","parse-names":false,"suffix":""},{"dropping-particle":"","family":"Ćetković","given":"Helena","non-dropping-particle":"","parse-names":false,"suffix":""}],"container-title":"BMC Evolutionary Biology","id":"ITEM-1","issue":"1","issued":{"date-parts":[["2011","12","1"]]},"page":"87","title":"Sponge non-metastatic Group I Nme gene/protein - structure and function is conserved from sponges to humans","type":"article-journal","volume":"11"},"uris":["http://www.mendeley.com/documents/?uuid=76461635-c564-45eb-b9f2-e6d1419eed85"]}],"mendeley":{"formattedCitation":"[26]","plainTextFormattedCitation":"[26]","previouslyFormattedCitation":"[26]"},"properties":{"noteIndex":0},"schema":"https://github.com/citation-style-language/schema/raw/master/csl-citation.json"}</w:instrText>
      </w:r>
      <w:r w:rsidRPr="2ACD72AF">
        <w:rPr>
          <w:rFonts w:ascii="Times New Roman" w:hAnsi="Times New Roman" w:cs="Times New Roman"/>
          <w:sz w:val="24"/>
          <w:szCs w:val="24"/>
        </w:rPr>
        <w:fldChar w:fldCharType="separate"/>
      </w:r>
      <w:r w:rsidR="00495501" w:rsidRPr="2ACD72AF">
        <w:rPr>
          <w:rFonts w:ascii="Times New Roman" w:hAnsi="Times New Roman" w:cs="Times New Roman"/>
          <w:noProof/>
          <w:sz w:val="24"/>
          <w:szCs w:val="24"/>
        </w:rPr>
        <w:t>[26]</w:t>
      </w:r>
      <w:r w:rsidRPr="2ACD72AF">
        <w:rPr>
          <w:rFonts w:ascii="Times New Roman" w:hAnsi="Times New Roman" w:cs="Times New Roman"/>
          <w:sz w:val="24"/>
          <w:szCs w:val="24"/>
        </w:rPr>
        <w:fldChar w:fldCharType="end"/>
      </w:r>
      <w:r w:rsidR="00752F5B" w:rsidRPr="2ACD72AF">
        <w:rPr>
          <w:rFonts w:ascii="Times New Roman" w:hAnsi="Times New Roman" w:cs="Times New Roman"/>
          <w:sz w:val="24"/>
          <w:szCs w:val="24"/>
        </w:rPr>
        <w:t xml:space="preserve">. On the other hand, a study conducted on the sponge NME6Sd, a </w:t>
      </w:r>
      <w:r w:rsidR="00DA45C1" w:rsidRPr="2ACD72AF">
        <w:rPr>
          <w:rFonts w:ascii="Times New Roman" w:hAnsi="Times New Roman" w:cs="Times New Roman"/>
          <w:sz w:val="24"/>
          <w:szCs w:val="24"/>
        </w:rPr>
        <w:t>homolog</w:t>
      </w:r>
      <w:r w:rsidR="00752F5B" w:rsidRPr="2ACD72AF">
        <w:rPr>
          <w:rFonts w:ascii="Times New Roman" w:hAnsi="Times New Roman" w:cs="Times New Roman"/>
          <w:sz w:val="24"/>
          <w:szCs w:val="24"/>
        </w:rPr>
        <w:t xml:space="preserve"> of human NME6, concluded that the cellular function of th</w:t>
      </w:r>
      <w:r w:rsidR="00DA45C1" w:rsidRPr="2ACD72AF">
        <w:rPr>
          <w:rFonts w:ascii="Times New Roman" w:hAnsi="Times New Roman" w:cs="Times New Roman"/>
          <w:sz w:val="24"/>
          <w:szCs w:val="24"/>
        </w:rPr>
        <w:t>is</w:t>
      </w:r>
      <w:r w:rsidR="00752F5B" w:rsidRPr="2ACD72AF">
        <w:rPr>
          <w:rFonts w:ascii="Times New Roman" w:hAnsi="Times New Roman" w:cs="Times New Roman"/>
          <w:sz w:val="24"/>
          <w:szCs w:val="24"/>
        </w:rPr>
        <w:t xml:space="preserve"> protein p</w:t>
      </w:r>
      <w:r w:rsidR="00D47D50" w:rsidRPr="2ACD72AF">
        <w:rPr>
          <w:rFonts w:ascii="Times New Roman" w:hAnsi="Times New Roman" w:cs="Times New Roman"/>
          <w:sz w:val="24"/>
          <w:szCs w:val="24"/>
        </w:rPr>
        <w:t>ossibly</w:t>
      </w:r>
      <w:r w:rsidR="00752F5B" w:rsidRPr="2ACD72AF">
        <w:rPr>
          <w:rFonts w:ascii="Times New Roman" w:hAnsi="Times New Roman" w:cs="Times New Roman"/>
          <w:sz w:val="24"/>
          <w:szCs w:val="24"/>
        </w:rPr>
        <w:t xml:space="preserve"> changed from sponge to human</w:t>
      </w:r>
      <w:r w:rsidR="00495501" w:rsidRPr="2ACD72AF">
        <w:rPr>
          <w:rFonts w:ascii="Times New Roman" w:hAnsi="Times New Roman" w:cs="Times New Roman"/>
          <w:sz w:val="24"/>
          <w:szCs w:val="24"/>
        </w:rPr>
        <w:t xml:space="preserve">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{"citationItems":[{"id":"ITEM-1","itemData":{"DOI":"10.1007/s00210-011-0635-9","ISBN":"0028-1298","ISSN":"0028-1298","PMID":"21533994","abstract":"Nucleoside diphosphate kinases (NDPKs) are evolutionarily conserved enzymes involved in many biological processes such as metastasis, proliferation, development, differentiation, ciliary functions, vesicle transport and apoptosis in vertebrates. Biochemical mechanisms of these processes are still largely unknown. Sponges (Porifera) are simple metazoans without tissues, closest to the common ancestor of all animals. They changed little during evolution and probably provide the best insight into the metazoan ancestors' genomic features. The purpose of this study was to address structural and functional properties of group II Nme6 gene/protein ortholog from the marine sponge Suberites domuncula, Nme6, in order to elucidate its evolutionary history. Sponge Nme6 gene and promoter were sequenced and analysed with various bioinformatical tools. Nme6 and Nme6Δ31 proteins were produced in E. coli strain BL21 and NDPK activity was measured using a coupled pyruvate kinase-lactate dehydrogenase assay. Subcellular localization in human tumour cells was examined by confocal scanning microscopy. Our results show that the sponge Nme6 compared to human Nme6 does not possess NDPK activity, does not localize in mitochondria at least in human cells although it has a putative mitochondrial signal sequence, lacks two recent introns that comprise miRNAs and have different transcriptional binding sites in the promoter region. Therefore, we conclude that the structure of Nme6 gene has changed during metazoan evolution possibly in correlation with the function of the protein.","author":[{"dropping-particle":"","family":"Perina","given":"Drago","non-dropping-particle":"","parse-names":false,"suffix":""},{"dropping-particle":"","family":"Herak Bosnar","given":"Maja","non-dropping-particle":"","parse-names":false,"suffix":""},{"dropping-particle":"","family":"Mikoč","given":"Andreja","non-dropping-particle":"","parse-names":false,"suffix":""},{"dropping-particle":"","family":"Müller","given":"Werner E. G.","non-dropping-particle":"","parse-names":false,"suffix":""},{"dropping-particle":"","family":"Ćetković","given":"Helena","non-dropping-particle":"","parse-names":false,"suffix":""}],"container-title":"Naunyn-Schmiedeberg's Archives of Pharmacology","id":"ITEM-1","issue":"4-5","issued":{"date-parts":[["2011","10","2"]]},"page":"451-460","publisher":"Springer-Verlag","title":"Characterization of Nme6-like gene/protein from marine sponge Suberites domuncula","type":"article-journal","volume":"384"},"uris":["http://www.mendeley.com/documents/?uuid=3089d1cd-f2e2-35bb-9bd6-c04478f05767"]}],"mendeley":{"formattedCitation":"[27]","plainTextFormattedCitation":"[27]","previouslyFormattedCitation":"[27]"},"properties":{"noteIndex":0},"schema":"https://github.com/citation-style-language/schema/raw/master/csl-citation.json"}</w:instrText>
      </w:r>
      <w:r w:rsidRPr="2ACD72AF">
        <w:rPr>
          <w:rFonts w:ascii="Times New Roman" w:hAnsi="Times New Roman" w:cs="Times New Roman"/>
          <w:sz w:val="24"/>
          <w:szCs w:val="24"/>
        </w:rPr>
        <w:fldChar w:fldCharType="separate"/>
      </w:r>
      <w:r w:rsidR="00495501" w:rsidRPr="2ACD72AF">
        <w:rPr>
          <w:rFonts w:ascii="Times New Roman" w:hAnsi="Times New Roman" w:cs="Times New Roman"/>
          <w:noProof/>
          <w:sz w:val="24"/>
          <w:szCs w:val="24"/>
        </w:rPr>
        <w:t>[27]</w:t>
      </w:r>
      <w:r w:rsidRPr="2ACD72AF">
        <w:rPr>
          <w:rFonts w:ascii="Times New Roman" w:hAnsi="Times New Roman" w:cs="Times New Roman"/>
          <w:sz w:val="24"/>
          <w:szCs w:val="24"/>
        </w:rPr>
        <w:fldChar w:fldCharType="end"/>
      </w:r>
      <w:r w:rsidR="00752F5B" w:rsidRPr="2ACD72AF">
        <w:rPr>
          <w:rFonts w:ascii="Times New Roman" w:hAnsi="Times New Roman" w:cs="Times New Roman"/>
          <w:sz w:val="24"/>
          <w:szCs w:val="24"/>
        </w:rPr>
        <w:t>.</w:t>
      </w:r>
    </w:p>
    <w:p w14:paraId="687F3440" w14:textId="4D7C3516" w:rsidR="00354224" w:rsidRDefault="00354224" w:rsidP="004927BB">
      <w:pPr>
        <w:spacing w:line="360" w:lineRule="auto"/>
        <w:jc w:val="both"/>
        <w:rPr>
          <w:rFonts w:ascii="Times New Roman" w:hAnsi="Times New Roman" w:cs="Times New Roman"/>
          <w:sz w:val="24"/>
          <w:szCs w:val="24"/>
        </w:rPr>
      </w:pPr>
      <w:r w:rsidRPr="2ACD72AF">
        <w:rPr>
          <w:rFonts w:ascii="Times New Roman" w:hAnsi="Times New Roman" w:cs="Times New Roman"/>
          <w:sz w:val="24"/>
          <w:szCs w:val="24"/>
        </w:rPr>
        <w:t xml:space="preserve">Unlike </w:t>
      </w:r>
      <w:r w:rsidR="006E2859" w:rsidRPr="2ACD72AF">
        <w:rPr>
          <w:rFonts w:ascii="Times New Roman" w:hAnsi="Times New Roman" w:cs="Times New Roman"/>
          <w:sz w:val="24"/>
          <w:szCs w:val="24"/>
        </w:rPr>
        <w:t xml:space="preserve">NME </w:t>
      </w:r>
      <w:r w:rsidRPr="2ACD72AF">
        <w:rPr>
          <w:rFonts w:ascii="Times New Roman" w:hAnsi="Times New Roman" w:cs="Times New Roman"/>
          <w:sz w:val="24"/>
          <w:szCs w:val="24"/>
        </w:rPr>
        <w:t>proteins of the Group I</w:t>
      </w:r>
      <w:r w:rsidR="006E2859" w:rsidRPr="2ACD72AF">
        <w:rPr>
          <w:rFonts w:ascii="Times New Roman" w:hAnsi="Times New Roman" w:cs="Times New Roman"/>
          <w:sz w:val="24"/>
          <w:szCs w:val="24"/>
        </w:rPr>
        <w:t xml:space="preserve"> that underwent decades of intensive research</w:t>
      </w:r>
      <w:r w:rsidRPr="2ACD72AF">
        <w:rPr>
          <w:rFonts w:ascii="Times New Roman" w:hAnsi="Times New Roman" w:cs="Times New Roman"/>
          <w:sz w:val="24"/>
          <w:szCs w:val="24"/>
        </w:rPr>
        <w:t>, the Group II members are to date barely explored</w:t>
      </w:r>
      <w:r w:rsidR="006E2859" w:rsidRPr="2ACD72AF">
        <w:rPr>
          <w:rFonts w:ascii="Times New Roman" w:hAnsi="Times New Roman" w:cs="Times New Roman"/>
          <w:sz w:val="24"/>
          <w:szCs w:val="24"/>
        </w:rPr>
        <w:t xml:space="preserve">. Available information on the human NME6 </w:t>
      </w:r>
      <w:r w:rsidR="63BAF931" w:rsidRPr="2ACD72AF">
        <w:rPr>
          <w:rFonts w:ascii="Times New Roman" w:hAnsi="Times New Roman" w:cs="Times New Roman"/>
          <w:sz w:val="24"/>
          <w:szCs w:val="24"/>
        </w:rPr>
        <w:t xml:space="preserve">is </w:t>
      </w:r>
      <w:r w:rsidR="006E2859" w:rsidRPr="2ACD72AF">
        <w:rPr>
          <w:rFonts w:ascii="Times New Roman" w:hAnsi="Times New Roman" w:cs="Times New Roman"/>
          <w:sz w:val="24"/>
          <w:szCs w:val="24"/>
        </w:rPr>
        <w:t>mostly based on three publication</w:t>
      </w:r>
      <w:r w:rsidR="002C13AE" w:rsidRPr="2ACD72AF">
        <w:rPr>
          <w:rFonts w:ascii="Times New Roman" w:hAnsi="Times New Roman" w:cs="Times New Roman"/>
          <w:sz w:val="24"/>
          <w:szCs w:val="24"/>
        </w:rPr>
        <w:t>s</w:t>
      </w:r>
      <w:r w:rsidR="006E2859" w:rsidRPr="2ACD72AF">
        <w:rPr>
          <w:rFonts w:ascii="Times New Roman" w:hAnsi="Times New Roman" w:cs="Times New Roman"/>
          <w:sz w:val="24"/>
          <w:szCs w:val="24"/>
        </w:rPr>
        <w:t xml:space="preserve"> from the early 2000s. </w:t>
      </w:r>
      <w:r w:rsidR="004E607E" w:rsidRPr="2ACD72AF">
        <w:rPr>
          <w:rFonts w:ascii="Times New Roman" w:hAnsi="Times New Roman" w:cs="Times New Roman"/>
          <w:sz w:val="24"/>
          <w:szCs w:val="24"/>
        </w:rPr>
        <w:t xml:space="preserve">In 1999, two independent groups first described the </w:t>
      </w:r>
      <w:r w:rsidR="004E607E" w:rsidRPr="2ACD72AF">
        <w:rPr>
          <w:rFonts w:ascii="Times New Roman" w:hAnsi="Times New Roman" w:cs="Times New Roman"/>
          <w:i/>
          <w:iCs/>
          <w:sz w:val="24"/>
          <w:szCs w:val="24"/>
        </w:rPr>
        <w:t>NME6</w:t>
      </w:r>
      <w:r w:rsidR="004E607E" w:rsidRPr="2ACD72AF">
        <w:rPr>
          <w:rFonts w:ascii="Times New Roman" w:hAnsi="Times New Roman" w:cs="Times New Roman"/>
          <w:sz w:val="24"/>
          <w:szCs w:val="24"/>
        </w:rPr>
        <w:t xml:space="preserve"> gene, but disagreed on the length of the resulting protein</w:t>
      </w:r>
      <w:r w:rsidR="00CE3BDE" w:rsidRPr="2ACD72AF">
        <w:rPr>
          <w:rFonts w:ascii="Times New Roman" w:hAnsi="Times New Roman" w:cs="Times New Roman"/>
          <w:sz w:val="24"/>
          <w:szCs w:val="24"/>
        </w:rPr>
        <w:t>, describing isoforms of 186</w:t>
      </w:r>
      <w:r w:rsidR="00CD6296" w:rsidRPr="2ACD72AF">
        <w:rPr>
          <w:rFonts w:ascii="Times New Roman" w:hAnsi="Times New Roman" w:cs="Times New Roman"/>
          <w:sz w:val="24"/>
          <w:szCs w:val="24"/>
        </w:rPr>
        <w:t xml:space="preserve"> amino acid (aa)</w:t>
      </w:r>
      <w:r w:rsidR="00CE3BDE" w:rsidRPr="2ACD72AF">
        <w:rPr>
          <w:rFonts w:ascii="Times New Roman" w:hAnsi="Times New Roman" w:cs="Times New Roman"/>
          <w:sz w:val="24"/>
          <w:szCs w:val="24"/>
        </w:rPr>
        <w:t xml:space="preserve"> or 19</w:t>
      </w:r>
      <w:r w:rsidR="00CD6296" w:rsidRPr="2ACD72AF">
        <w:rPr>
          <w:rFonts w:ascii="Times New Roman" w:hAnsi="Times New Roman" w:cs="Times New Roman"/>
          <w:sz w:val="24"/>
          <w:szCs w:val="24"/>
        </w:rPr>
        <w:t xml:space="preserve">4 </w:t>
      </w:r>
      <w:r w:rsidR="00CE3BDE" w:rsidRPr="2ACD72AF">
        <w:rPr>
          <w:rFonts w:ascii="Times New Roman" w:hAnsi="Times New Roman" w:cs="Times New Roman"/>
          <w:sz w:val="24"/>
          <w:szCs w:val="24"/>
        </w:rPr>
        <w:t>aa long</w:t>
      </w:r>
      <w:r w:rsidR="001C3E62" w:rsidRPr="2ACD72AF">
        <w:rPr>
          <w:rFonts w:ascii="Times New Roman" w:hAnsi="Times New Roman" w:cs="Times New Roman"/>
          <w:sz w:val="24"/>
          <w:szCs w:val="24"/>
        </w:rPr>
        <w:t xml:space="preserve">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cytokinesis","type":"article-journal","volume":"76"},"uris":["http://www.mendeley.com/documents/?uuid=df2c4c21-5d94-4732-9900-18fddab52f72"]},{"id":"ITEM-2","itemData":{"DOI":"10.1007/s004390050987","ISSN":"0340-6717","PMID":"10453732","abstract":"The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Genetics","id":"ITEM-2","issue":"6","issued":{"date-parts":[["1999","7","16"]]},"page":"454-459","title":"NME6: a new member of the nm23 /nucleoside diphosphate kinase gene family located on human chromosome 3p21.3","type":"article-journal","volume":"104"},"uris":["http://www.mendeley.com/documents/?uuid=1d07d158-8520-4451-a56d-a4c8f7d9a373"]}],"mendeley":{"formattedCitation":"[8,28]","plainTextFormattedCitation":"[8,28]","previouslyFormattedCitation":"[8,28]"},"properties":{"noteIndex":0},"schema":"https://github.com/citation-style-language/schema/raw/master/csl-citation.json"}</w:instrText>
      </w:r>
      <w:r w:rsidRPr="2ACD72AF">
        <w:rPr>
          <w:rFonts w:ascii="Times New Roman" w:hAnsi="Times New Roman" w:cs="Times New Roman"/>
          <w:sz w:val="24"/>
          <w:szCs w:val="24"/>
        </w:rPr>
        <w:fldChar w:fldCharType="separate"/>
      </w:r>
      <w:r w:rsidR="00936168" w:rsidRPr="2ACD72AF">
        <w:rPr>
          <w:rFonts w:ascii="Times New Roman" w:hAnsi="Times New Roman" w:cs="Times New Roman"/>
          <w:noProof/>
          <w:sz w:val="24"/>
          <w:szCs w:val="24"/>
        </w:rPr>
        <w:t>[8,28]</w:t>
      </w:r>
      <w:r w:rsidRPr="2ACD72AF">
        <w:rPr>
          <w:rFonts w:ascii="Times New Roman" w:hAnsi="Times New Roman" w:cs="Times New Roman"/>
          <w:sz w:val="24"/>
          <w:szCs w:val="24"/>
        </w:rPr>
        <w:fldChar w:fldCharType="end"/>
      </w:r>
      <w:r w:rsidR="004E607E" w:rsidRPr="2ACD72AF">
        <w:rPr>
          <w:rFonts w:ascii="Times New Roman" w:hAnsi="Times New Roman" w:cs="Times New Roman"/>
          <w:sz w:val="24"/>
          <w:szCs w:val="24"/>
        </w:rPr>
        <w:t xml:space="preserve">. The question about the actual isoform(s) expressed in human cells remained unsolved until now. Similarly, the </w:t>
      </w:r>
      <w:r w:rsidR="006B26E1" w:rsidRPr="2ACD72AF">
        <w:rPr>
          <w:rFonts w:ascii="Times New Roman" w:hAnsi="Times New Roman" w:cs="Times New Roman"/>
          <w:sz w:val="24"/>
          <w:szCs w:val="24"/>
        </w:rPr>
        <w:t xml:space="preserve">potential </w:t>
      </w:r>
      <w:r w:rsidR="004E607E" w:rsidRPr="2ACD72AF">
        <w:rPr>
          <w:rFonts w:ascii="Times New Roman" w:hAnsi="Times New Roman" w:cs="Times New Roman"/>
          <w:sz w:val="24"/>
          <w:szCs w:val="24"/>
        </w:rPr>
        <w:t>NDPK activity of human NME6 remained debatable</w:t>
      </w:r>
      <w:r w:rsidR="001C3E62" w:rsidRPr="2ACD72AF">
        <w:rPr>
          <w:rFonts w:ascii="Times New Roman" w:hAnsi="Times New Roman" w:cs="Times New Roman"/>
          <w:sz w:val="24"/>
          <w:szCs w:val="24"/>
        </w:rPr>
        <w:t xml:space="preserve">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P.","non-dropping-particle":"","parse-names":false,"suffix":""}],"container-title":"Biochemistry","id":"ITEM-1","issue":"48","issued":{"date-parts":[["2005","12","1"]]},"page":"15774-15786","title":"Characterization of the 3‘ → 5‘ Exonuclease Activity Found in Human Nucleoside Diphosphate Kinase 1 (NDK1) and Several of Its Homologues","type":"article-journal","volume":"44"},"uris":["http://www.mendeley.com/documents/?uuid=d08e4b91-7cb9-4360-83cb-d2ba4f733d59"]},{"id":"ITEM-2","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Biochemistry","id":"ITEM-2","issue":"2","issued":{"date-parts":[["2000","2","1"]]},"page":"254-269","title":"A novel human nucleoside diphosphate (NDP) kinase, Nm23-H6, localizes in mitochondria and affects cytokinesis","type":"article-journal","volume":"76"},"uris":["http://www.mendeley.com/documents/?uuid=df2c4c21-5d94-4732-9900-18fddab52f72"]},{"id":"ITEM-3","itemData":{"DOI":"10.1007/s004390050987","ISSN":"0340-6717","PMID":"10453732","abstract":"The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Genetics","id":"ITEM-3","issue":"6","issued":{"date-parts":[["1999","7","16"]]},"page":"454-459","title":"NME6: a new member of the nm23 /nucleoside diphosphate kinase gene family located on human chromosome 3p21.3","type":"article-journal","volume":"104"},"uris":["http://www.mendeley.com/documents/?uuid=1d07d158-8520-4451-a56d-a4c8f7d9a373"]}],"mendeley":{"formattedCitation":"[6,8,28]","plainTextFormattedCitation":"[6,8,28]","previouslyFormattedCitation":"[6,8,28]"},"properties":{"noteIndex":0},"schema":"https://github.com/citation-style-language/schema/raw/master/csl-citation.json"}</w:instrText>
      </w:r>
      <w:r w:rsidRPr="2ACD72AF">
        <w:rPr>
          <w:rFonts w:ascii="Times New Roman" w:hAnsi="Times New Roman" w:cs="Times New Roman"/>
          <w:sz w:val="24"/>
          <w:szCs w:val="24"/>
        </w:rPr>
        <w:fldChar w:fldCharType="separate"/>
      </w:r>
      <w:r w:rsidR="00936168" w:rsidRPr="2ACD72AF">
        <w:rPr>
          <w:rFonts w:ascii="Times New Roman" w:hAnsi="Times New Roman" w:cs="Times New Roman"/>
          <w:noProof/>
          <w:sz w:val="24"/>
          <w:szCs w:val="24"/>
        </w:rPr>
        <w:t>[6,8,28]</w:t>
      </w:r>
      <w:r w:rsidRPr="2ACD72AF">
        <w:rPr>
          <w:rFonts w:ascii="Times New Roman" w:hAnsi="Times New Roman" w:cs="Times New Roman"/>
          <w:sz w:val="24"/>
          <w:szCs w:val="24"/>
        </w:rPr>
        <w:fldChar w:fldCharType="end"/>
      </w:r>
      <w:r w:rsidR="004E607E" w:rsidRPr="2ACD72AF">
        <w:rPr>
          <w:rFonts w:ascii="Times New Roman" w:hAnsi="Times New Roman" w:cs="Times New Roman"/>
          <w:sz w:val="24"/>
          <w:szCs w:val="24"/>
        </w:rPr>
        <w:t xml:space="preserve">, even though </w:t>
      </w:r>
      <w:r w:rsidR="002C13AE" w:rsidRPr="2ACD72AF">
        <w:rPr>
          <w:rFonts w:ascii="Times New Roman" w:hAnsi="Times New Roman" w:cs="Times New Roman"/>
          <w:sz w:val="24"/>
          <w:szCs w:val="24"/>
        </w:rPr>
        <w:t xml:space="preserve">the few amino acids deemed essential for enzymatic structure and catalytic activity </w:t>
      </w:r>
      <w:r w:rsidR="00EA1880" w:rsidRPr="2ACD72AF">
        <w:rPr>
          <w:rFonts w:ascii="Times New Roman" w:hAnsi="Times New Roman" w:cs="Times New Roman"/>
          <w:sz w:val="24"/>
          <w:szCs w:val="24"/>
        </w:rPr>
        <w:t xml:space="preserve">of </w:t>
      </w:r>
      <w:r w:rsidR="004E607E" w:rsidRPr="2ACD72AF">
        <w:rPr>
          <w:rFonts w:ascii="Times New Roman" w:hAnsi="Times New Roman" w:cs="Times New Roman"/>
          <w:sz w:val="24"/>
          <w:szCs w:val="24"/>
        </w:rPr>
        <w:t>the protein</w:t>
      </w:r>
      <w:r w:rsidR="002C13AE" w:rsidRPr="2ACD72AF">
        <w:rPr>
          <w:rFonts w:ascii="Times New Roman" w:hAnsi="Times New Roman" w:cs="Times New Roman"/>
          <w:sz w:val="24"/>
          <w:szCs w:val="24"/>
        </w:rPr>
        <w:t xml:space="preserve"> are</w:t>
      </w:r>
      <w:r w:rsidR="004E607E" w:rsidRPr="2ACD72AF">
        <w:rPr>
          <w:rFonts w:ascii="Times New Roman" w:hAnsi="Times New Roman" w:cs="Times New Roman"/>
          <w:sz w:val="24"/>
          <w:szCs w:val="24"/>
        </w:rPr>
        <w:t xml:space="preserve"> conserved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2ACD72AF">
        <w:rPr>
          <w:rFonts w:ascii="Times New Roman" w:hAnsi="Times New Roman" w:cs="Times New Roman"/>
          <w:sz w:val="24"/>
          <w:szCs w:val="24"/>
        </w:rPr>
        <w:fldChar w:fldCharType="separate"/>
      </w:r>
      <w:r w:rsidR="001C3E62" w:rsidRPr="2ACD72AF">
        <w:rPr>
          <w:rFonts w:ascii="Times New Roman" w:hAnsi="Times New Roman" w:cs="Times New Roman"/>
          <w:noProof/>
          <w:sz w:val="24"/>
          <w:szCs w:val="24"/>
        </w:rPr>
        <w:t>[1]</w:t>
      </w:r>
      <w:r w:rsidRPr="2ACD72AF">
        <w:rPr>
          <w:rFonts w:ascii="Times New Roman" w:hAnsi="Times New Roman" w:cs="Times New Roman"/>
          <w:sz w:val="24"/>
          <w:szCs w:val="24"/>
        </w:rPr>
        <w:fldChar w:fldCharType="end"/>
      </w:r>
      <w:r w:rsidR="004E607E" w:rsidRPr="2ACD72AF">
        <w:rPr>
          <w:rFonts w:ascii="Times New Roman" w:hAnsi="Times New Roman" w:cs="Times New Roman"/>
          <w:sz w:val="24"/>
          <w:szCs w:val="24"/>
        </w:rPr>
        <w:t>.</w:t>
      </w:r>
      <w:r w:rsidR="006B26E1" w:rsidRPr="2ACD72AF">
        <w:rPr>
          <w:rFonts w:ascii="Times New Roman" w:hAnsi="Times New Roman" w:cs="Times New Roman"/>
          <w:sz w:val="24"/>
          <w:szCs w:val="24"/>
        </w:rPr>
        <w:t xml:space="preserve"> NME6 </w:t>
      </w:r>
      <w:r w:rsidR="002C13AE" w:rsidRPr="2ACD72AF">
        <w:rPr>
          <w:rFonts w:ascii="Times New Roman" w:hAnsi="Times New Roman" w:cs="Times New Roman"/>
          <w:sz w:val="24"/>
          <w:szCs w:val="24"/>
        </w:rPr>
        <w:t xml:space="preserve">seems to </w:t>
      </w:r>
      <w:r w:rsidR="006B26E1" w:rsidRPr="2ACD72AF">
        <w:rPr>
          <w:rFonts w:ascii="Times New Roman" w:hAnsi="Times New Roman" w:cs="Times New Roman"/>
          <w:sz w:val="24"/>
          <w:szCs w:val="24"/>
        </w:rPr>
        <w:t>localize</w:t>
      </w:r>
      <w:r w:rsidR="00EA1880" w:rsidRPr="2ACD72AF">
        <w:rPr>
          <w:rFonts w:ascii="Times New Roman" w:hAnsi="Times New Roman" w:cs="Times New Roman"/>
          <w:sz w:val="24"/>
          <w:szCs w:val="24"/>
        </w:rPr>
        <w:t xml:space="preserve"> </w:t>
      </w:r>
      <w:r w:rsidR="006B26E1" w:rsidRPr="2ACD72AF">
        <w:rPr>
          <w:rFonts w:ascii="Times New Roman" w:hAnsi="Times New Roman" w:cs="Times New Roman"/>
          <w:sz w:val="24"/>
          <w:szCs w:val="24"/>
        </w:rPr>
        <w:t>with mitochondria, although the protein lacks a conventional mitochondrial targeting sequence (MTS)</w:t>
      </w:r>
      <w:r w:rsidR="001C3E62" w:rsidRPr="2ACD72AF">
        <w:rPr>
          <w:rFonts w:ascii="Times New Roman" w:hAnsi="Times New Roman" w:cs="Times New Roman"/>
          <w:sz w:val="24"/>
          <w:szCs w:val="24"/>
        </w:rPr>
        <w:t xml:space="preserve"> </w:t>
      </w:r>
      <w:r w:rsidRPr="2ACD72AF">
        <w:rPr>
          <w:rFonts w:ascii="Times New Roman" w:hAnsi="Times New Roman" w:cs="Times New Roman"/>
          <w:sz w:val="24"/>
          <w:szCs w:val="24"/>
        </w:rPr>
        <w:fldChar w:fldCharType="begin" w:fldLock="1"/>
      </w:r>
      <w:r w:rsidRPr="2ACD72AF">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cytokinesis","type":"article-journal","volume":"76"},"uris":["http://www.mendeley.com/documents/?uuid=df2c4c21-5d94-4732-9900-18fddab52f72"]},{"id":"ITEM-2","itemData":{"DOI":"10.1007/s004390050987","ISSN":"0340-6717","PMID":"10453732","abstract":"The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Genetics","id":"ITEM-2","issue":"6","issued":{"date-parts":[["1999","7","16"]]},"page":"454-459","title":"NME6: a new member of the nm23 /nucleoside diphosphate kinase gene family located on human chromosome 3p21.3","type":"article-journal","volume":"104"},"uris":["http://www.mendeley.com/documents/?uuid=1d07d158-8520-4451-a56d-a4c8f7d9a373"]}],"mendeley":{"formattedCitation":"[8,28]","plainTextFormattedCitation":"[8,28]","previouslyFormattedCitation":"[8,28]"},"properties":{"noteIndex":0},"schema":"https://github.com/citation-style-language/schema/raw/master/csl-citation.json"}</w:instrText>
      </w:r>
      <w:r w:rsidRPr="2ACD72AF">
        <w:rPr>
          <w:rFonts w:ascii="Times New Roman" w:hAnsi="Times New Roman" w:cs="Times New Roman"/>
          <w:sz w:val="24"/>
          <w:szCs w:val="24"/>
        </w:rPr>
        <w:fldChar w:fldCharType="separate"/>
      </w:r>
      <w:r w:rsidR="00936168" w:rsidRPr="2ACD72AF">
        <w:rPr>
          <w:rFonts w:ascii="Times New Roman" w:hAnsi="Times New Roman" w:cs="Times New Roman"/>
          <w:noProof/>
          <w:sz w:val="24"/>
          <w:szCs w:val="24"/>
        </w:rPr>
        <w:t>[8,28]</w:t>
      </w:r>
      <w:r w:rsidRPr="2ACD72AF">
        <w:rPr>
          <w:rFonts w:ascii="Times New Roman" w:hAnsi="Times New Roman" w:cs="Times New Roman"/>
          <w:sz w:val="24"/>
          <w:szCs w:val="24"/>
        </w:rPr>
        <w:fldChar w:fldCharType="end"/>
      </w:r>
      <w:r w:rsidR="006B26E1" w:rsidRPr="2ACD72AF">
        <w:rPr>
          <w:rFonts w:ascii="Times New Roman" w:hAnsi="Times New Roman" w:cs="Times New Roman"/>
          <w:sz w:val="24"/>
          <w:szCs w:val="24"/>
        </w:rPr>
        <w:t xml:space="preserve">. </w:t>
      </w:r>
    </w:p>
    <w:p w14:paraId="3758C31B" w14:textId="6F65EB51" w:rsidR="001C657E" w:rsidRPr="002E26D2" w:rsidRDefault="00233B7E" w:rsidP="001C657E">
      <w:pPr>
        <w:spacing w:line="360" w:lineRule="auto"/>
        <w:jc w:val="both"/>
        <w:rPr>
          <w:rFonts w:ascii="Times New Roman" w:hAnsi="Times New Roman" w:cs="Times New Roman"/>
          <w:sz w:val="24"/>
          <w:szCs w:val="24"/>
        </w:rPr>
      </w:pPr>
      <w:r w:rsidRPr="00233B7E">
        <w:rPr>
          <w:rFonts w:ascii="Times New Roman" w:hAnsi="Times New Roman" w:cs="Times New Roman"/>
          <w:b/>
          <w:sz w:val="24"/>
          <w:szCs w:val="24"/>
        </w:rPr>
        <w:t>Aim:</w:t>
      </w:r>
      <w:r>
        <w:rPr>
          <w:rFonts w:ascii="Times New Roman" w:hAnsi="Times New Roman" w:cs="Times New Roman"/>
          <w:sz w:val="24"/>
          <w:szCs w:val="24"/>
        </w:rPr>
        <w:t xml:space="preserve"> </w:t>
      </w:r>
      <w:r w:rsidR="00CB2841">
        <w:rPr>
          <w:rFonts w:ascii="Times New Roman" w:hAnsi="Times New Roman" w:cs="Times New Roman"/>
          <w:sz w:val="24"/>
          <w:szCs w:val="24"/>
        </w:rPr>
        <w:t>The aim of this doctoral thesis was</w:t>
      </w:r>
      <w:r w:rsidR="00CC4194">
        <w:rPr>
          <w:rFonts w:ascii="Times New Roman" w:hAnsi="Times New Roman" w:cs="Times New Roman"/>
          <w:sz w:val="24"/>
          <w:szCs w:val="24"/>
        </w:rPr>
        <w:t xml:space="preserve"> to produce an extensive description of the </w:t>
      </w:r>
      <w:r w:rsidR="000E2BEE">
        <w:rPr>
          <w:rFonts w:ascii="Times New Roman" w:hAnsi="Times New Roman" w:cs="Times New Roman"/>
          <w:sz w:val="24"/>
          <w:szCs w:val="24"/>
        </w:rPr>
        <w:t>h</w:t>
      </w:r>
      <w:r w:rsidR="00CC4194">
        <w:rPr>
          <w:rFonts w:ascii="Times New Roman" w:hAnsi="Times New Roman" w:cs="Times New Roman"/>
          <w:sz w:val="24"/>
          <w:szCs w:val="24"/>
        </w:rPr>
        <w:t>uman NME6 protein</w:t>
      </w:r>
      <w:r w:rsidR="000E2BEE">
        <w:rPr>
          <w:rFonts w:ascii="Times New Roman" w:hAnsi="Times New Roman" w:cs="Times New Roman"/>
          <w:sz w:val="24"/>
          <w:szCs w:val="24"/>
        </w:rPr>
        <w:t>,</w:t>
      </w:r>
      <w:r w:rsidR="000E2BEE" w:rsidRPr="000E2BEE">
        <w:rPr>
          <w:rFonts w:ascii="Times New Roman" w:hAnsi="Times New Roman" w:cs="Times New Roman"/>
          <w:sz w:val="24"/>
          <w:szCs w:val="24"/>
        </w:rPr>
        <w:t xml:space="preserve"> </w:t>
      </w:r>
      <w:r w:rsidR="000E2BEE" w:rsidRPr="002E26D2">
        <w:rPr>
          <w:rFonts w:ascii="Times New Roman" w:hAnsi="Times New Roman" w:cs="Times New Roman"/>
          <w:sz w:val="24"/>
          <w:szCs w:val="24"/>
        </w:rPr>
        <w:t>regarding the cellular and subcellular localization, NDPK activity, oligomerization status, interacting partners, but also the impact on basic cellular functions such as apoptosis, cell cycle and mitochondrial respiration.</w:t>
      </w:r>
      <w:r>
        <w:rPr>
          <w:rFonts w:ascii="Times New Roman" w:hAnsi="Times New Roman" w:cs="Times New Roman"/>
          <w:sz w:val="24"/>
          <w:szCs w:val="24"/>
        </w:rPr>
        <w:t xml:space="preserve"> </w:t>
      </w:r>
      <w:r w:rsidR="00CC4194" w:rsidRPr="00233B7E">
        <w:rPr>
          <w:rFonts w:ascii="Times New Roman" w:hAnsi="Times New Roman" w:cs="Times New Roman"/>
          <w:b/>
          <w:sz w:val="24"/>
          <w:szCs w:val="24"/>
        </w:rPr>
        <w:t>Methods:</w:t>
      </w:r>
      <w:r w:rsidR="00CC4194">
        <w:rPr>
          <w:rFonts w:ascii="Times New Roman" w:hAnsi="Times New Roman" w:cs="Times New Roman"/>
          <w:sz w:val="24"/>
          <w:szCs w:val="24"/>
        </w:rPr>
        <w:t xml:space="preserve"> The human NME6 protein </w:t>
      </w:r>
      <w:r w:rsidR="001A6557">
        <w:rPr>
          <w:rFonts w:ascii="Times New Roman" w:hAnsi="Times New Roman" w:cs="Times New Roman"/>
          <w:sz w:val="24"/>
          <w:szCs w:val="24"/>
        </w:rPr>
        <w:t>was</w:t>
      </w:r>
      <w:r w:rsidR="00CC4194">
        <w:rPr>
          <w:rFonts w:ascii="Times New Roman" w:hAnsi="Times New Roman" w:cs="Times New Roman"/>
          <w:sz w:val="24"/>
          <w:szCs w:val="24"/>
        </w:rPr>
        <w:t xml:space="preserve"> </w:t>
      </w:r>
      <w:r w:rsidR="00576E8E">
        <w:rPr>
          <w:rFonts w:ascii="Times New Roman" w:hAnsi="Times New Roman" w:cs="Times New Roman"/>
          <w:sz w:val="24"/>
          <w:szCs w:val="24"/>
        </w:rPr>
        <w:t>analyzed</w:t>
      </w:r>
      <w:r w:rsidR="00CC4194">
        <w:rPr>
          <w:rFonts w:ascii="Times New Roman" w:hAnsi="Times New Roman" w:cs="Times New Roman"/>
          <w:sz w:val="24"/>
          <w:szCs w:val="24"/>
        </w:rPr>
        <w:t xml:space="preserve"> by</w:t>
      </w:r>
      <w:r w:rsidR="00EA1880">
        <w:rPr>
          <w:rFonts w:ascii="Times New Roman" w:hAnsi="Times New Roman" w:cs="Times New Roman"/>
          <w:sz w:val="24"/>
          <w:szCs w:val="24"/>
        </w:rPr>
        <w:t xml:space="preserve"> </w:t>
      </w:r>
      <w:r w:rsidR="00CC4194">
        <w:rPr>
          <w:rFonts w:ascii="Times New Roman" w:hAnsi="Times New Roman" w:cs="Times New Roman"/>
          <w:sz w:val="24"/>
          <w:szCs w:val="24"/>
        </w:rPr>
        <w:t>Western blot</w:t>
      </w:r>
      <w:r w:rsidR="00405A63">
        <w:rPr>
          <w:rFonts w:ascii="Times New Roman" w:hAnsi="Times New Roman" w:cs="Times New Roman"/>
          <w:sz w:val="24"/>
          <w:szCs w:val="24"/>
        </w:rPr>
        <w:t>ting</w:t>
      </w:r>
      <w:r w:rsidR="00CC4194">
        <w:rPr>
          <w:rFonts w:ascii="Times New Roman" w:hAnsi="Times New Roman" w:cs="Times New Roman"/>
          <w:sz w:val="24"/>
          <w:szCs w:val="24"/>
        </w:rPr>
        <w:t xml:space="preserve"> and</w:t>
      </w:r>
      <w:r w:rsidR="00EA1880">
        <w:rPr>
          <w:rFonts w:ascii="Times New Roman" w:hAnsi="Times New Roman" w:cs="Times New Roman"/>
          <w:sz w:val="24"/>
          <w:szCs w:val="24"/>
        </w:rPr>
        <w:t xml:space="preserve"> </w:t>
      </w:r>
      <w:r w:rsidR="00CC4194">
        <w:rPr>
          <w:rFonts w:ascii="Times New Roman" w:hAnsi="Times New Roman" w:cs="Times New Roman"/>
          <w:sz w:val="24"/>
          <w:szCs w:val="24"/>
        </w:rPr>
        <w:t xml:space="preserve">mass spectrometry to </w:t>
      </w:r>
      <w:r w:rsidR="00CE3BDE">
        <w:rPr>
          <w:rFonts w:ascii="Times New Roman" w:hAnsi="Times New Roman" w:cs="Times New Roman"/>
          <w:sz w:val="24"/>
          <w:szCs w:val="24"/>
        </w:rPr>
        <w:t>unravel</w:t>
      </w:r>
      <w:r w:rsidR="00576E8E">
        <w:rPr>
          <w:rFonts w:ascii="Times New Roman" w:hAnsi="Times New Roman" w:cs="Times New Roman"/>
          <w:sz w:val="24"/>
          <w:szCs w:val="24"/>
        </w:rPr>
        <w:t xml:space="preserve"> the </w:t>
      </w:r>
      <w:r w:rsidR="00EA1880">
        <w:rPr>
          <w:rFonts w:ascii="Times New Roman" w:hAnsi="Times New Roman" w:cs="Times New Roman"/>
          <w:sz w:val="24"/>
          <w:szCs w:val="24"/>
        </w:rPr>
        <w:t>dominant</w:t>
      </w:r>
      <w:r w:rsidR="00576E8E">
        <w:rPr>
          <w:rFonts w:ascii="Times New Roman" w:hAnsi="Times New Roman" w:cs="Times New Roman"/>
          <w:sz w:val="24"/>
          <w:szCs w:val="24"/>
        </w:rPr>
        <w:t xml:space="preserve"> NME6 isoform(s) </w:t>
      </w:r>
      <w:r w:rsidR="006F184B">
        <w:rPr>
          <w:rFonts w:ascii="Times New Roman" w:hAnsi="Times New Roman" w:cs="Times New Roman"/>
          <w:sz w:val="24"/>
          <w:szCs w:val="24"/>
        </w:rPr>
        <w:t>and its</w:t>
      </w:r>
      <w:r w:rsidR="00576E8E">
        <w:rPr>
          <w:rFonts w:ascii="Times New Roman" w:hAnsi="Times New Roman" w:cs="Times New Roman"/>
          <w:sz w:val="24"/>
          <w:szCs w:val="24"/>
        </w:rPr>
        <w:t xml:space="preserve"> related expression profile in a large panel of human cell lines.</w:t>
      </w:r>
      <w:r w:rsidR="00CC4194">
        <w:rPr>
          <w:rFonts w:ascii="Times New Roman" w:hAnsi="Times New Roman" w:cs="Times New Roman"/>
          <w:sz w:val="24"/>
          <w:szCs w:val="24"/>
        </w:rPr>
        <w:t xml:space="preserve"> The fine cellular localization of NME6 </w:t>
      </w:r>
      <w:r w:rsidR="00CC4194" w:rsidRPr="00EF42EB">
        <w:rPr>
          <w:rFonts w:ascii="Times New Roman" w:hAnsi="Times New Roman" w:cs="Times New Roman"/>
          <w:sz w:val="24"/>
          <w:szCs w:val="24"/>
        </w:rPr>
        <w:t xml:space="preserve">protein </w:t>
      </w:r>
      <w:r w:rsidR="003206F0" w:rsidRPr="00EF42EB">
        <w:rPr>
          <w:rFonts w:ascii="Times New Roman" w:hAnsi="Times New Roman" w:cs="Times New Roman"/>
          <w:sz w:val="24"/>
          <w:szCs w:val="24"/>
        </w:rPr>
        <w:t>was</w:t>
      </w:r>
      <w:r w:rsidR="00CC4194" w:rsidRPr="00EF42EB">
        <w:rPr>
          <w:rFonts w:ascii="Times New Roman" w:hAnsi="Times New Roman" w:cs="Times New Roman"/>
          <w:sz w:val="24"/>
          <w:szCs w:val="24"/>
        </w:rPr>
        <w:t xml:space="preserve"> addressed by both confocal microscopy </w:t>
      </w:r>
      <w:r w:rsidRPr="00EF42EB">
        <w:rPr>
          <w:rFonts w:ascii="Times New Roman" w:hAnsi="Times New Roman" w:cs="Times New Roman"/>
          <w:sz w:val="24"/>
          <w:szCs w:val="24"/>
        </w:rPr>
        <w:t>of</w:t>
      </w:r>
      <w:r w:rsidR="00CC4194" w:rsidRPr="00EF42EB">
        <w:rPr>
          <w:rFonts w:ascii="Times New Roman" w:hAnsi="Times New Roman" w:cs="Times New Roman"/>
          <w:sz w:val="24"/>
          <w:szCs w:val="24"/>
        </w:rPr>
        <w:t xml:space="preserve"> live and fixed cells, and by cellular fractionation</w:t>
      </w:r>
      <w:r w:rsidR="000E2BEE" w:rsidRPr="00EF42EB">
        <w:rPr>
          <w:rFonts w:ascii="Times New Roman" w:hAnsi="Times New Roman" w:cs="Times New Roman"/>
          <w:sz w:val="24"/>
          <w:szCs w:val="24"/>
        </w:rPr>
        <w:t xml:space="preserve"> methods</w:t>
      </w:r>
      <w:r w:rsidR="00CC4194" w:rsidRPr="00EF42EB">
        <w:rPr>
          <w:rFonts w:ascii="Times New Roman" w:hAnsi="Times New Roman" w:cs="Times New Roman"/>
          <w:sz w:val="24"/>
          <w:szCs w:val="24"/>
        </w:rPr>
        <w:t xml:space="preserve"> followed by Western blot</w:t>
      </w:r>
      <w:r w:rsidR="00F60B19" w:rsidRPr="00EF42EB">
        <w:rPr>
          <w:rFonts w:ascii="Times New Roman" w:hAnsi="Times New Roman" w:cs="Times New Roman"/>
          <w:sz w:val="24"/>
          <w:szCs w:val="24"/>
        </w:rPr>
        <w:t>ting</w:t>
      </w:r>
      <w:r w:rsidR="00CC4194" w:rsidRPr="00EF42EB">
        <w:rPr>
          <w:rFonts w:ascii="Times New Roman" w:hAnsi="Times New Roman" w:cs="Times New Roman"/>
          <w:sz w:val="24"/>
          <w:szCs w:val="24"/>
        </w:rPr>
        <w:t xml:space="preserve">. </w:t>
      </w:r>
      <w:r w:rsidR="00576E8E" w:rsidRPr="00EF42EB">
        <w:rPr>
          <w:rFonts w:ascii="Times New Roman" w:hAnsi="Times New Roman" w:cs="Times New Roman"/>
          <w:sz w:val="24"/>
          <w:szCs w:val="24"/>
        </w:rPr>
        <w:t xml:space="preserve">The enzymatic properties of the recombinant protein </w:t>
      </w:r>
      <w:r w:rsidR="003206F0" w:rsidRPr="00EF42EB">
        <w:rPr>
          <w:rFonts w:ascii="Times New Roman" w:hAnsi="Times New Roman" w:cs="Times New Roman"/>
          <w:sz w:val="24"/>
          <w:szCs w:val="24"/>
        </w:rPr>
        <w:t>w</w:t>
      </w:r>
      <w:r w:rsidR="00DF2ABF" w:rsidRPr="00EF42EB">
        <w:rPr>
          <w:rFonts w:ascii="Times New Roman" w:hAnsi="Times New Roman" w:cs="Times New Roman"/>
          <w:sz w:val="24"/>
          <w:szCs w:val="24"/>
        </w:rPr>
        <w:t>ere</w:t>
      </w:r>
      <w:r w:rsidR="00576E8E" w:rsidRPr="00EF42EB">
        <w:rPr>
          <w:rFonts w:ascii="Times New Roman" w:hAnsi="Times New Roman" w:cs="Times New Roman"/>
          <w:sz w:val="24"/>
          <w:szCs w:val="24"/>
        </w:rPr>
        <w:t xml:space="preserve"> tested </w:t>
      </w:r>
      <w:r w:rsidR="00576E8E" w:rsidRPr="00EF42EB">
        <w:rPr>
          <w:rFonts w:ascii="Times New Roman" w:hAnsi="Times New Roman" w:cs="Times New Roman"/>
          <w:i/>
          <w:iCs/>
          <w:sz w:val="24"/>
          <w:szCs w:val="24"/>
        </w:rPr>
        <w:t>in vitro</w:t>
      </w:r>
      <w:r w:rsidR="00576E8E" w:rsidRPr="00EF42EB">
        <w:rPr>
          <w:rFonts w:ascii="Times New Roman" w:hAnsi="Times New Roman" w:cs="Times New Roman"/>
          <w:sz w:val="24"/>
          <w:szCs w:val="24"/>
        </w:rPr>
        <w:t xml:space="preserve"> using </w:t>
      </w:r>
      <w:r w:rsidR="00CB2841" w:rsidRPr="00EF42EB">
        <w:rPr>
          <w:rFonts w:ascii="Times New Roman" w:hAnsi="Times New Roman" w:cs="Times New Roman"/>
          <w:sz w:val="24"/>
          <w:szCs w:val="24"/>
        </w:rPr>
        <w:t xml:space="preserve">the standard pyruvate kinase-lactate dehydrogenase coupled assay </w:t>
      </w:r>
      <w:r w:rsidR="00576E8E" w:rsidRPr="00EF42EB">
        <w:rPr>
          <w:rFonts w:ascii="Times New Roman" w:hAnsi="Times New Roman" w:cs="Times New Roman"/>
          <w:sz w:val="24"/>
          <w:szCs w:val="24"/>
        </w:rPr>
        <w:t>to measure NDPK activity</w:t>
      </w:r>
      <w:r w:rsidR="00CB2841" w:rsidRPr="00EF42EB">
        <w:rPr>
          <w:rFonts w:ascii="Times New Roman" w:hAnsi="Times New Roman" w:cs="Times New Roman"/>
          <w:sz w:val="24"/>
          <w:szCs w:val="24"/>
        </w:rPr>
        <w:t xml:space="preserve">, while the phosphorylated-histidine status of the endogenous NME6 </w:t>
      </w:r>
      <w:r w:rsidR="003206F0" w:rsidRPr="00EF42EB">
        <w:rPr>
          <w:rFonts w:ascii="Times New Roman" w:hAnsi="Times New Roman" w:cs="Times New Roman"/>
          <w:sz w:val="24"/>
          <w:szCs w:val="24"/>
        </w:rPr>
        <w:t>was</w:t>
      </w:r>
      <w:r w:rsidR="00CB2841" w:rsidRPr="00EF42EB">
        <w:rPr>
          <w:rFonts w:ascii="Times New Roman" w:hAnsi="Times New Roman" w:cs="Times New Roman"/>
          <w:sz w:val="24"/>
          <w:szCs w:val="24"/>
        </w:rPr>
        <w:t xml:space="preserve"> tested by Western blot</w:t>
      </w:r>
      <w:r w:rsidR="00F60B19" w:rsidRPr="00EF42EB">
        <w:rPr>
          <w:rFonts w:ascii="Times New Roman" w:hAnsi="Times New Roman" w:cs="Times New Roman"/>
          <w:sz w:val="24"/>
          <w:szCs w:val="24"/>
        </w:rPr>
        <w:t>ting</w:t>
      </w:r>
      <w:r w:rsidR="00576E8E" w:rsidRPr="00EF42EB">
        <w:rPr>
          <w:rFonts w:ascii="Times New Roman" w:hAnsi="Times New Roman" w:cs="Times New Roman"/>
          <w:sz w:val="24"/>
          <w:szCs w:val="24"/>
        </w:rPr>
        <w:t xml:space="preserve">. The </w:t>
      </w:r>
      <w:r w:rsidR="00CB2841" w:rsidRPr="00EF42EB">
        <w:rPr>
          <w:rFonts w:ascii="Times New Roman" w:hAnsi="Times New Roman" w:cs="Times New Roman"/>
          <w:sz w:val="24"/>
          <w:szCs w:val="24"/>
        </w:rPr>
        <w:t xml:space="preserve">NME6 </w:t>
      </w:r>
      <w:r w:rsidR="00576E8E" w:rsidRPr="00EF42EB">
        <w:rPr>
          <w:rFonts w:ascii="Times New Roman" w:hAnsi="Times New Roman" w:cs="Times New Roman"/>
          <w:sz w:val="24"/>
          <w:szCs w:val="24"/>
        </w:rPr>
        <w:t xml:space="preserve">oligomerization status </w:t>
      </w:r>
      <w:r w:rsidR="003206F0" w:rsidRPr="00EF42EB">
        <w:rPr>
          <w:rFonts w:ascii="Times New Roman" w:hAnsi="Times New Roman" w:cs="Times New Roman"/>
          <w:sz w:val="24"/>
          <w:szCs w:val="24"/>
        </w:rPr>
        <w:t>was</w:t>
      </w:r>
      <w:r w:rsidR="00576E8E" w:rsidRPr="00EF42EB">
        <w:rPr>
          <w:rFonts w:ascii="Times New Roman" w:hAnsi="Times New Roman" w:cs="Times New Roman"/>
          <w:sz w:val="24"/>
          <w:szCs w:val="24"/>
        </w:rPr>
        <w:t xml:space="preserve"> tested by crosslinking, size exclusion chromatography and co-immunoprecipitation. </w:t>
      </w:r>
      <w:r w:rsidR="000E2BEE" w:rsidRPr="00EF42EB">
        <w:rPr>
          <w:rFonts w:ascii="Times New Roman" w:hAnsi="Times New Roman" w:cs="Times New Roman"/>
          <w:sz w:val="24"/>
          <w:szCs w:val="24"/>
        </w:rPr>
        <w:t xml:space="preserve">Candidate interacting partners </w:t>
      </w:r>
      <w:r w:rsidR="003206F0" w:rsidRPr="00EF42EB">
        <w:rPr>
          <w:rFonts w:ascii="Times New Roman" w:hAnsi="Times New Roman" w:cs="Times New Roman"/>
          <w:sz w:val="24"/>
          <w:szCs w:val="24"/>
        </w:rPr>
        <w:t>were</w:t>
      </w:r>
      <w:r w:rsidR="000E2BEE" w:rsidRPr="00EF42EB">
        <w:rPr>
          <w:rFonts w:ascii="Times New Roman" w:hAnsi="Times New Roman" w:cs="Times New Roman"/>
          <w:sz w:val="24"/>
          <w:szCs w:val="24"/>
        </w:rPr>
        <w:t xml:space="preserve"> assayed by co-immunoprecipitation. The role of NME6 in basic cellular functions </w:t>
      </w:r>
      <w:r w:rsidR="00DF2ABF" w:rsidRPr="00EF42EB">
        <w:rPr>
          <w:rFonts w:ascii="Times New Roman" w:hAnsi="Times New Roman" w:cs="Times New Roman"/>
          <w:sz w:val="24"/>
          <w:szCs w:val="24"/>
        </w:rPr>
        <w:t>was</w:t>
      </w:r>
      <w:r w:rsidR="000E2BEE" w:rsidRPr="00EF42EB">
        <w:rPr>
          <w:rFonts w:ascii="Times New Roman" w:hAnsi="Times New Roman" w:cs="Times New Roman"/>
          <w:sz w:val="24"/>
          <w:szCs w:val="24"/>
        </w:rPr>
        <w:t xml:space="preserve"> unrevealed</w:t>
      </w:r>
      <w:r w:rsidR="000E2BEE">
        <w:rPr>
          <w:rFonts w:ascii="Times New Roman" w:hAnsi="Times New Roman" w:cs="Times New Roman"/>
          <w:sz w:val="24"/>
          <w:szCs w:val="24"/>
        </w:rPr>
        <w:t xml:space="preserve"> by studying apoptosis</w:t>
      </w:r>
      <w:r w:rsidR="00B96013">
        <w:rPr>
          <w:rFonts w:ascii="Times New Roman" w:hAnsi="Times New Roman" w:cs="Times New Roman"/>
          <w:sz w:val="24"/>
          <w:szCs w:val="24"/>
        </w:rPr>
        <w:t xml:space="preserve"> and</w:t>
      </w:r>
      <w:r w:rsidR="000E2BEE">
        <w:rPr>
          <w:rFonts w:ascii="Times New Roman" w:hAnsi="Times New Roman" w:cs="Times New Roman"/>
          <w:sz w:val="24"/>
          <w:szCs w:val="24"/>
        </w:rPr>
        <w:t xml:space="preserve"> cell </w:t>
      </w:r>
      <w:r w:rsidR="000E2BEE">
        <w:rPr>
          <w:rFonts w:ascii="Times New Roman" w:hAnsi="Times New Roman" w:cs="Times New Roman"/>
          <w:sz w:val="24"/>
          <w:szCs w:val="24"/>
        </w:rPr>
        <w:lastRenderedPageBreak/>
        <w:t>cycle</w:t>
      </w:r>
      <w:r w:rsidR="00B96013">
        <w:rPr>
          <w:rFonts w:ascii="Times New Roman" w:hAnsi="Times New Roman" w:cs="Times New Roman"/>
          <w:sz w:val="24"/>
          <w:szCs w:val="24"/>
        </w:rPr>
        <w:t xml:space="preserve"> by flow cytometry methods, </w:t>
      </w:r>
      <w:r w:rsidR="000E2BEE">
        <w:rPr>
          <w:rFonts w:ascii="Times New Roman" w:hAnsi="Times New Roman" w:cs="Times New Roman"/>
          <w:sz w:val="24"/>
          <w:szCs w:val="24"/>
        </w:rPr>
        <w:t>and mitochondrial respiration</w:t>
      </w:r>
      <w:r w:rsidR="00CB2841" w:rsidRPr="00CB2841">
        <w:rPr>
          <w:rFonts w:ascii="Times New Roman" w:hAnsi="Times New Roman" w:cs="Times New Roman"/>
          <w:sz w:val="24"/>
          <w:szCs w:val="24"/>
        </w:rPr>
        <w:t xml:space="preserve"> </w:t>
      </w:r>
      <w:r w:rsidR="00CB2841">
        <w:rPr>
          <w:rFonts w:ascii="Times New Roman" w:hAnsi="Times New Roman" w:cs="Times New Roman"/>
          <w:sz w:val="24"/>
          <w:szCs w:val="24"/>
        </w:rPr>
        <w:t xml:space="preserve">using </w:t>
      </w:r>
      <w:r w:rsidR="00380077">
        <w:rPr>
          <w:rFonts w:ascii="Times New Roman" w:hAnsi="Times New Roman" w:cs="Times New Roman"/>
          <w:sz w:val="24"/>
          <w:szCs w:val="24"/>
        </w:rPr>
        <w:t>oxi</w:t>
      </w:r>
      <w:r w:rsidR="00CB2841">
        <w:rPr>
          <w:rFonts w:ascii="Times New Roman" w:hAnsi="Times New Roman" w:cs="Times New Roman"/>
          <w:sz w:val="24"/>
          <w:szCs w:val="24"/>
        </w:rPr>
        <w:t>metry methods</w:t>
      </w:r>
      <w:r w:rsidR="000E2BEE">
        <w:rPr>
          <w:rFonts w:ascii="Times New Roman" w:hAnsi="Times New Roman" w:cs="Times New Roman"/>
          <w:sz w:val="24"/>
          <w:szCs w:val="24"/>
        </w:rPr>
        <w:t>.</w:t>
      </w:r>
      <w:r w:rsidR="000F28E2">
        <w:rPr>
          <w:rFonts w:ascii="Times New Roman" w:hAnsi="Times New Roman" w:cs="Times New Roman"/>
          <w:sz w:val="24"/>
          <w:szCs w:val="24"/>
        </w:rPr>
        <w:t xml:space="preserve"> </w:t>
      </w:r>
      <w:r w:rsidR="000F28E2" w:rsidRPr="000F28E2">
        <w:rPr>
          <w:rFonts w:ascii="Times New Roman" w:hAnsi="Times New Roman" w:cs="Times New Roman"/>
          <w:b/>
          <w:sz w:val="24"/>
          <w:szCs w:val="24"/>
        </w:rPr>
        <w:t>Hypothesis</w:t>
      </w:r>
      <w:r w:rsidR="000F28E2">
        <w:rPr>
          <w:rFonts w:ascii="Times New Roman" w:hAnsi="Times New Roman" w:cs="Times New Roman"/>
          <w:sz w:val="24"/>
          <w:szCs w:val="24"/>
        </w:rPr>
        <w:t xml:space="preserve">: The endogenous human NME6 protein </w:t>
      </w:r>
      <w:r w:rsidR="006F184B">
        <w:rPr>
          <w:rFonts w:ascii="Times New Roman" w:hAnsi="Times New Roman" w:cs="Times New Roman"/>
          <w:sz w:val="24"/>
          <w:szCs w:val="24"/>
        </w:rPr>
        <w:t xml:space="preserve">is expressed in all human cell lines of different tissues of origin, as </w:t>
      </w:r>
      <w:r w:rsidR="000F28E2">
        <w:rPr>
          <w:rFonts w:ascii="Times New Roman" w:hAnsi="Times New Roman" w:cs="Times New Roman"/>
          <w:sz w:val="24"/>
          <w:szCs w:val="24"/>
        </w:rPr>
        <w:t>one o</w:t>
      </w:r>
      <w:r w:rsidR="00F96A10">
        <w:rPr>
          <w:rFonts w:ascii="Times New Roman" w:hAnsi="Times New Roman" w:cs="Times New Roman"/>
          <w:sz w:val="24"/>
          <w:szCs w:val="24"/>
        </w:rPr>
        <w:t>r both</w:t>
      </w:r>
      <w:r w:rsidR="000F28E2">
        <w:rPr>
          <w:rFonts w:ascii="Times New Roman" w:hAnsi="Times New Roman" w:cs="Times New Roman"/>
          <w:sz w:val="24"/>
          <w:szCs w:val="24"/>
        </w:rPr>
        <w:t xml:space="preserve"> isoforms described in the literature (194</w:t>
      </w:r>
      <w:r w:rsidR="002E043A">
        <w:rPr>
          <w:rFonts w:ascii="Times New Roman" w:hAnsi="Times New Roman" w:cs="Times New Roman"/>
          <w:sz w:val="24"/>
          <w:szCs w:val="24"/>
        </w:rPr>
        <w:t xml:space="preserve"> </w:t>
      </w:r>
      <w:r w:rsidR="000F28E2">
        <w:rPr>
          <w:rFonts w:ascii="Times New Roman" w:hAnsi="Times New Roman" w:cs="Times New Roman"/>
          <w:sz w:val="24"/>
          <w:szCs w:val="24"/>
        </w:rPr>
        <w:t>aa and/or 186</w:t>
      </w:r>
      <w:r w:rsidR="002E043A">
        <w:rPr>
          <w:rFonts w:ascii="Times New Roman" w:hAnsi="Times New Roman" w:cs="Times New Roman"/>
          <w:sz w:val="24"/>
          <w:szCs w:val="24"/>
        </w:rPr>
        <w:t xml:space="preserve"> </w:t>
      </w:r>
      <w:r w:rsidR="000F28E2">
        <w:rPr>
          <w:rFonts w:ascii="Times New Roman" w:hAnsi="Times New Roman" w:cs="Times New Roman"/>
          <w:sz w:val="24"/>
          <w:szCs w:val="24"/>
        </w:rPr>
        <w:t>aa)</w:t>
      </w:r>
      <w:r w:rsidR="006F184B">
        <w:rPr>
          <w:rFonts w:ascii="Times New Roman" w:hAnsi="Times New Roman" w:cs="Times New Roman"/>
          <w:sz w:val="24"/>
          <w:szCs w:val="24"/>
        </w:rPr>
        <w:t xml:space="preserve">. The protein localizes in the mitochondria and </w:t>
      </w:r>
      <w:r w:rsidR="00F96A10">
        <w:rPr>
          <w:rFonts w:ascii="Times New Roman" w:hAnsi="Times New Roman" w:cs="Times New Roman"/>
          <w:sz w:val="24"/>
          <w:szCs w:val="24"/>
        </w:rPr>
        <w:t>potentially interacts with other mitochondrial NME protein</w:t>
      </w:r>
      <w:r w:rsidR="00E4472D">
        <w:rPr>
          <w:rFonts w:ascii="Times New Roman" w:hAnsi="Times New Roman" w:cs="Times New Roman"/>
          <w:sz w:val="24"/>
          <w:szCs w:val="24"/>
        </w:rPr>
        <w:t>s, and/or</w:t>
      </w:r>
      <w:r w:rsidR="00EA1880">
        <w:rPr>
          <w:rFonts w:ascii="Times New Roman" w:hAnsi="Times New Roman" w:cs="Times New Roman"/>
          <w:sz w:val="24"/>
          <w:szCs w:val="24"/>
        </w:rPr>
        <w:t xml:space="preserve"> </w:t>
      </w:r>
      <w:r w:rsidR="00E4472D">
        <w:rPr>
          <w:rFonts w:ascii="Times New Roman" w:hAnsi="Times New Roman" w:cs="Times New Roman"/>
          <w:sz w:val="24"/>
          <w:szCs w:val="24"/>
        </w:rPr>
        <w:t xml:space="preserve">with </w:t>
      </w:r>
      <w:r w:rsidR="00F96A10">
        <w:rPr>
          <w:rFonts w:ascii="Times New Roman" w:hAnsi="Times New Roman" w:cs="Times New Roman"/>
          <w:sz w:val="24"/>
          <w:szCs w:val="24"/>
        </w:rPr>
        <w:t>protein</w:t>
      </w:r>
      <w:r w:rsidR="00662CDD">
        <w:rPr>
          <w:rFonts w:ascii="Times New Roman" w:hAnsi="Times New Roman" w:cs="Times New Roman"/>
          <w:sz w:val="24"/>
          <w:szCs w:val="24"/>
        </w:rPr>
        <w:t>s</w:t>
      </w:r>
      <w:r w:rsidR="00F96A10">
        <w:rPr>
          <w:rFonts w:ascii="Times New Roman" w:hAnsi="Times New Roman" w:cs="Times New Roman"/>
          <w:sz w:val="24"/>
          <w:szCs w:val="24"/>
        </w:rPr>
        <w:t xml:space="preserve"> </w:t>
      </w:r>
      <w:r w:rsidR="00E4472D">
        <w:rPr>
          <w:rFonts w:ascii="Times New Roman" w:hAnsi="Times New Roman" w:cs="Times New Roman"/>
          <w:sz w:val="24"/>
          <w:szCs w:val="24"/>
        </w:rPr>
        <w:t>suggested</w:t>
      </w:r>
      <w:r w:rsidR="00F96A10">
        <w:rPr>
          <w:rFonts w:ascii="Times New Roman" w:hAnsi="Times New Roman" w:cs="Times New Roman"/>
          <w:sz w:val="24"/>
          <w:szCs w:val="24"/>
        </w:rPr>
        <w:t xml:space="preserve"> by </w:t>
      </w:r>
      <w:r w:rsidR="00E4472D">
        <w:rPr>
          <w:rFonts w:ascii="Times New Roman" w:hAnsi="Times New Roman" w:cs="Times New Roman"/>
          <w:sz w:val="24"/>
          <w:szCs w:val="24"/>
        </w:rPr>
        <w:t>large-scale proteomic data</w:t>
      </w:r>
      <w:r w:rsidR="00F96A10">
        <w:rPr>
          <w:rFonts w:ascii="Times New Roman" w:hAnsi="Times New Roman" w:cs="Times New Roman"/>
          <w:sz w:val="24"/>
          <w:szCs w:val="24"/>
        </w:rPr>
        <w:t xml:space="preserve"> analysis</w:t>
      </w:r>
      <w:r w:rsidR="006F184B">
        <w:rPr>
          <w:rFonts w:ascii="Times New Roman" w:hAnsi="Times New Roman" w:cs="Times New Roman"/>
          <w:sz w:val="24"/>
          <w:szCs w:val="24"/>
        </w:rPr>
        <w:t xml:space="preserve">. NME6 is devoid of NDPK activity, but is involved in the regulation of one or several basic cellular functions. </w:t>
      </w:r>
      <w:r w:rsidR="006F184B" w:rsidRPr="006F184B">
        <w:rPr>
          <w:rFonts w:ascii="Times New Roman" w:hAnsi="Times New Roman" w:cs="Times New Roman"/>
          <w:b/>
          <w:sz w:val="24"/>
          <w:szCs w:val="24"/>
        </w:rPr>
        <w:t>Results:</w:t>
      </w:r>
      <w:r w:rsidR="006F184B">
        <w:rPr>
          <w:rFonts w:ascii="Times New Roman" w:hAnsi="Times New Roman" w:cs="Times New Roman"/>
          <w:sz w:val="24"/>
          <w:szCs w:val="24"/>
        </w:rPr>
        <w:t xml:space="preserve"> </w:t>
      </w:r>
      <w:r w:rsidR="00456640">
        <w:rPr>
          <w:rFonts w:ascii="Times New Roman" w:hAnsi="Times New Roman" w:cs="Times New Roman"/>
          <w:sz w:val="24"/>
          <w:szCs w:val="24"/>
        </w:rPr>
        <w:t>The</w:t>
      </w:r>
      <w:r w:rsidR="006F184B">
        <w:rPr>
          <w:rFonts w:ascii="Times New Roman" w:hAnsi="Times New Roman" w:cs="Times New Roman"/>
          <w:sz w:val="24"/>
          <w:szCs w:val="24"/>
        </w:rPr>
        <w:t xml:space="preserve"> NME6</w:t>
      </w:r>
      <w:r w:rsidR="00456640">
        <w:rPr>
          <w:rFonts w:ascii="Times New Roman" w:hAnsi="Times New Roman" w:cs="Times New Roman"/>
          <w:sz w:val="24"/>
          <w:szCs w:val="24"/>
        </w:rPr>
        <w:t xml:space="preserve"> protein</w:t>
      </w:r>
      <w:r w:rsidR="006F184B">
        <w:rPr>
          <w:rFonts w:ascii="Times New Roman" w:hAnsi="Times New Roman" w:cs="Times New Roman"/>
          <w:sz w:val="24"/>
          <w:szCs w:val="24"/>
        </w:rPr>
        <w:t xml:space="preserve"> is ubiquitously expressed in human cell lines</w:t>
      </w:r>
      <w:r w:rsidR="003561AD">
        <w:rPr>
          <w:rFonts w:ascii="Times New Roman" w:hAnsi="Times New Roman" w:cs="Times New Roman"/>
          <w:sz w:val="24"/>
          <w:szCs w:val="24"/>
        </w:rPr>
        <w:t>, predominantly</w:t>
      </w:r>
      <w:r w:rsidR="006F184B">
        <w:rPr>
          <w:rFonts w:ascii="Times New Roman" w:hAnsi="Times New Roman" w:cs="Times New Roman"/>
          <w:sz w:val="24"/>
          <w:szCs w:val="24"/>
        </w:rPr>
        <w:t xml:space="preserve"> as </w:t>
      </w:r>
      <w:r w:rsidR="003561AD">
        <w:rPr>
          <w:rFonts w:ascii="Times New Roman" w:hAnsi="Times New Roman" w:cs="Times New Roman"/>
          <w:sz w:val="24"/>
          <w:szCs w:val="24"/>
        </w:rPr>
        <w:t>the 186</w:t>
      </w:r>
      <w:r w:rsidR="002E043A">
        <w:rPr>
          <w:rFonts w:ascii="Times New Roman" w:hAnsi="Times New Roman" w:cs="Times New Roman"/>
          <w:sz w:val="24"/>
          <w:szCs w:val="24"/>
        </w:rPr>
        <w:t xml:space="preserve"> </w:t>
      </w:r>
      <w:r w:rsidR="003561AD">
        <w:rPr>
          <w:rFonts w:ascii="Times New Roman" w:hAnsi="Times New Roman" w:cs="Times New Roman"/>
          <w:sz w:val="24"/>
          <w:szCs w:val="24"/>
        </w:rPr>
        <w:t xml:space="preserve">aa isoform. </w:t>
      </w:r>
      <w:r w:rsidR="001C657E" w:rsidRPr="002E26D2">
        <w:rPr>
          <w:rFonts w:ascii="Times New Roman" w:hAnsi="Times New Roman" w:cs="Times New Roman"/>
          <w:sz w:val="24"/>
          <w:szCs w:val="24"/>
        </w:rPr>
        <w:t xml:space="preserve">NME6 failed to display </w:t>
      </w:r>
      <w:r w:rsidR="002E043A">
        <w:rPr>
          <w:rFonts w:ascii="Times New Roman" w:hAnsi="Times New Roman" w:cs="Times New Roman"/>
          <w:sz w:val="24"/>
          <w:szCs w:val="24"/>
        </w:rPr>
        <w:t>phosphorylated histidine (pHis)</w:t>
      </w:r>
      <w:r w:rsidR="001C657E" w:rsidRPr="002E26D2">
        <w:rPr>
          <w:rFonts w:ascii="Times New Roman" w:hAnsi="Times New Roman" w:cs="Times New Roman"/>
          <w:sz w:val="24"/>
          <w:szCs w:val="24"/>
        </w:rPr>
        <w:t xml:space="preserve"> and was unable to oligomerize, and </w:t>
      </w:r>
      <w:r w:rsidR="003561AD">
        <w:rPr>
          <w:rFonts w:ascii="Times New Roman" w:hAnsi="Times New Roman" w:cs="Times New Roman"/>
          <w:sz w:val="24"/>
          <w:szCs w:val="24"/>
        </w:rPr>
        <w:t>accordingly</w:t>
      </w:r>
      <w:r w:rsidR="001C657E" w:rsidRPr="002E26D2">
        <w:rPr>
          <w:rFonts w:ascii="Times New Roman" w:hAnsi="Times New Roman" w:cs="Times New Roman"/>
          <w:sz w:val="24"/>
          <w:szCs w:val="24"/>
        </w:rPr>
        <w:t xml:space="preserve"> </w:t>
      </w:r>
      <w:r w:rsidR="00F96A10">
        <w:rPr>
          <w:rFonts w:ascii="Times New Roman" w:hAnsi="Times New Roman" w:cs="Times New Roman"/>
          <w:sz w:val="24"/>
          <w:szCs w:val="24"/>
        </w:rPr>
        <w:t>d</w:t>
      </w:r>
      <w:r w:rsidR="00E4472D">
        <w:rPr>
          <w:rFonts w:ascii="Times New Roman" w:hAnsi="Times New Roman" w:cs="Times New Roman"/>
          <w:sz w:val="24"/>
          <w:szCs w:val="24"/>
        </w:rPr>
        <w:t>id</w:t>
      </w:r>
      <w:r w:rsidR="00F96A10">
        <w:rPr>
          <w:rFonts w:ascii="Times New Roman" w:hAnsi="Times New Roman" w:cs="Times New Roman"/>
          <w:sz w:val="24"/>
          <w:szCs w:val="24"/>
        </w:rPr>
        <w:t xml:space="preserve"> not</w:t>
      </w:r>
      <w:r w:rsidR="001C657E" w:rsidRPr="002E26D2">
        <w:rPr>
          <w:rFonts w:ascii="Times New Roman" w:hAnsi="Times New Roman" w:cs="Times New Roman"/>
          <w:sz w:val="24"/>
          <w:szCs w:val="24"/>
        </w:rPr>
        <w:t xml:space="preserve"> display </w:t>
      </w:r>
      <w:r w:rsidR="00C66477">
        <w:rPr>
          <w:rFonts w:ascii="Times New Roman" w:hAnsi="Times New Roman" w:cs="Times New Roman"/>
          <w:sz w:val="24"/>
          <w:szCs w:val="24"/>
        </w:rPr>
        <w:t xml:space="preserve">the </w:t>
      </w:r>
      <w:r w:rsidR="001C657E" w:rsidRPr="002E26D2">
        <w:rPr>
          <w:rFonts w:ascii="Times New Roman" w:hAnsi="Times New Roman" w:cs="Times New Roman"/>
          <w:sz w:val="24"/>
          <w:szCs w:val="24"/>
        </w:rPr>
        <w:t xml:space="preserve">NDPK activity. NME6 was localized </w:t>
      </w:r>
      <w:r w:rsidR="00F96A10">
        <w:rPr>
          <w:rFonts w:ascii="Times New Roman" w:hAnsi="Times New Roman" w:cs="Times New Roman"/>
          <w:sz w:val="24"/>
          <w:szCs w:val="24"/>
        </w:rPr>
        <w:t>to</w:t>
      </w:r>
      <w:r w:rsidR="001C657E" w:rsidRPr="002E26D2">
        <w:rPr>
          <w:rFonts w:ascii="Times New Roman" w:hAnsi="Times New Roman" w:cs="Times New Roman"/>
          <w:sz w:val="24"/>
          <w:szCs w:val="24"/>
        </w:rPr>
        <w:t xml:space="preserve"> </w:t>
      </w:r>
      <w:r w:rsidR="00E4472D">
        <w:rPr>
          <w:rFonts w:ascii="Times New Roman" w:hAnsi="Times New Roman" w:cs="Times New Roman"/>
          <w:sz w:val="24"/>
          <w:szCs w:val="24"/>
        </w:rPr>
        <w:t xml:space="preserve">the </w:t>
      </w:r>
      <w:r w:rsidR="001C657E" w:rsidRPr="002E26D2">
        <w:rPr>
          <w:rFonts w:ascii="Times New Roman" w:hAnsi="Times New Roman" w:cs="Times New Roman"/>
          <w:sz w:val="24"/>
          <w:szCs w:val="24"/>
        </w:rPr>
        <w:t>mitochondria</w:t>
      </w:r>
      <w:r w:rsidR="00E4472D">
        <w:rPr>
          <w:rFonts w:ascii="Times New Roman" w:hAnsi="Times New Roman" w:cs="Times New Roman"/>
          <w:sz w:val="24"/>
          <w:szCs w:val="24"/>
        </w:rPr>
        <w:t>,</w:t>
      </w:r>
      <w:r w:rsidR="001C657E" w:rsidRPr="002E26D2">
        <w:rPr>
          <w:rFonts w:ascii="Times New Roman" w:hAnsi="Times New Roman" w:cs="Times New Roman"/>
          <w:sz w:val="24"/>
          <w:szCs w:val="24"/>
        </w:rPr>
        <w:t xml:space="preserve"> facing the matrix space</w:t>
      </w:r>
      <w:r w:rsidR="00E4472D">
        <w:rPr>
          <w:rFonts w:ascii="Times New Roman" w:hAnsi="Times New Roman" w:cs="Times New Roman"/>
          <w:sz w:val="24"/>
          <w:szCs w:val="24"/>
        </w:rPr>
        <w:t xml:space="preserve"> and</w:t>
      </w:r>
      <w:r w:rsidR="001C657E" w:rsidRPr="002E26D2">
        <w:rPr>
          <w:rFonts w:ascii="Times New Roman" w:hAnsi="Times New Roman" w:cs="Times New Roman"/>
          <w:sz w:val="24"/>
          <w:szCs w:val="24"/>
        </w:rPr>
        <w:t xml:space="preserve"> </w:t>
      </w:r>
      <w:r w:rsidR="00E4472D" w:rsidRPr="002E26D2">
        <w:rPr>
          <w:rFonts w:ascii="Times New Roman" w:hAnsi="Times New Roman" w:cs="Times New Roman"/>
          <w:sz w:val="24"/>
          <w:szCs w:val="24"/>
        </w:rPr>
        <w:t>p</w:t>
      </w:r>
      <w:r w:rsidR="00E4472D">
        <w:rPr>
          <w:rFonts w:ascii="Times New Roman" w:hAnsi="Times New Roman" w:cs="Times New Roman"/>
          <w:sz w:val="24"/>
          <w:szCs w:val="24"/>
        </w:rPr>
        <w:t>artially</w:t>
      </w:r>
      <w:r w:rsidR="00E4472D" w:rsidRPr="002E26D2">
        <w:rPr>
          <w:rFonts w:ascii="Times New Roman" w:hAnsi="Times New Roman" w:cs="Times New Roman"/>
          <w:sz w:val="24"/>
          <w:szCs w:val="24"/>
        </w:rPr>
        <w:t xml:space="preserve"> </w:t>
      </w:r>
      <w:r w:rsidR="001C657E" w:rsidRPr="002E26D2">
        <w:rPr>
          <w:rFonts w:ascii="Times New Roman" w:hAnsi="Times New Roman" w:cs="Times New Roman"/>
          <w:sz w:val="24"/>
          <w:szCs w:val="24"/>
        </w:rPr>
        <w:t>interacting with the</w:t>
      </w:r>
      <w:r w:rsidR="00456640">
        <w:rPr>
          <w:rFonts w:ascii="Times New Roman" w:hAnsi="Times New Roman" w:cs="Times New Roman"/>
          <w:sz w:val="24"/>
          <w:szCs w:val="24"/>
        </w:rPr>
        <w:t xml:space="preserve"> mitochondrial inner membrane</w:t>
      </w:r>
      <w:r w:rsidR="001C657E" w:rsidRPr="002E26D2">
        <w:rPr>
          <w:rFonts w:ascii="Times New Roman" w:hAnsi="Times New Roman" w:cs="Times New Roman"/>
          <w:sz w:val="24"/>
          <w:szCs w:val="24"/>
        </w:rPr>
        <w:t xml:space="preserve"> </w:t>
      </w:r>
      <w:r w:rsidR="00456640">
        <w:rPr>
          <w:rFonts w:ascii="Times New Roman" w:hAnsi="Times New Roman" w:cs="Times New Roman"/>
          <w:sz w:val="24"/>
          <w:szCs w:val="24"/>
        </w:rPr>
        <w:t>(</w:t>
      </w:r>
      <w:r w:rsidR="001C657E" w:rsidRPr="002E26D2">
        <w:rPr>
          <w:rFonts w:ascii="Times New Roman" w:hAnsi="Times New Roman" w:cs="Times New Roman"/>
          <w:sz w:val="24"/>
          <w:szCs w:val="24"/>
        </w:rPr>
        <w:t>MIM</w:t>
      </w:r>
      <w:r w:rsidR="00456640">
        <w:rPr>
          <w:rFonts w:ascii="Times New Roman" w:hAnsi="Times New Roman" w:cs="Times New Roman"/>
          <w:sz w:val="24"/>
          <w:szCs w:val="24"/>
        </w:rPr>
        <w:t>).</w:t>
      </w:r>
      <w:r w:rsidR="001C657E" w:rsidRPr="002E26D2">
        <w:rPr>
          <w:rFonts w:ascii="Times New Roman" w:hAnsi="Times New Roman" w:cs="Times New Roman"/>
          <w:sz w:val="24"/>
          <w:szCs w:val="24"/>
        </w:rPr>
        <w:t xml:space="preserve"> The results were reinforced by NME6 interaction with RCC1L, a protein interacting with mitoribosomes and localized in the mitochondrial matrix </w:t>
      </w:r>
      <w:r w:rsidR="00E4472D">
        <w:rPr>
          <w:rFonts w:ascii="Times New Roman" w:hAnsi="Times New Roman" w:cs="Times New Roman"/>
          <w:sz w:val="24"/>
          <w:szCs w:val="24"/>
        </w:rPr>
        <w:t>compartment</w:t>
      </w:r>
      <w:r w:rsidR="001C657E" w:rsidRPr="002E26D2">
        <w:rPr>
          <w:rFonts w:ascii="Times New Roman" w:hAnsi="Times New Roman" w:cs="Times New Roman"/>
          <w:sz w:val="24"/>
          <w:szCs w:val="24"/>
        </w:rPr>
        <w:t xml:space="preserve">. </w:t>
      </w:r>
      <w:r w:rsidR="00662CDD">
        <w:rPr>
          <w:rFonts w:ascii="Times New Roman" w:hAnsi="Times New Roman" w:cs="Times New Roman"/>
          <w:sz w:val="24"/>
          <w:szCs w:val="24"/>
        </w:rPr>
        <w:t xml:space="preserve">Changes in the </w:t>
      </w:r>
      <w:r w:rsidR="001C657E" w:rsidRPr="002E26D2">
        <w:rPr>
          <w:rFonts w:ascii="Times New Roman" w:hAnsi="Times New Roman" w:cs="Times New Roman"/>
          <w:sz w:val="24"/>
          <w:szCs w:val="24"/>
        </w:rPr>
        <w:t xml:space="preserve">NME6 </w:t>
      </w:r>
      <w:r w:rsidR="00662CDD">
        <w:rPr>
          <w:rFonts w:ascii="Times New Roman" w:hAnsi="Times New Roman" w:cs="Times New Roman"/>
          <w:sz w:val="24"/>
          <w:szCs w:val="24"/>
        </w:rPr>
        <w:t xml:space="preserve">levels </w:t>
      </w:r>
      <w:r w:rsidR="001C657E" w:rsidRPr="002E26D2">
        <w:rPr>
          <w:rFonts w:ascii="Times New Roman" w:hAnsi="Times New Roman" w:cs="Times New Roman"/>
          <w:sz w:val="24"/>
          <w:szCs w:val="24"/>
        </w:rPr>
        <w:t xml:space="preserve">did not affect apoptosis or cell cycle, but strongly reduced ADP stimulated respiration upon overexpression, </w:t>
      </w:r>
      <w:r w:rsidR="00E4472D">
        <w:rPr>
          <w:rFonts w:ascii="Times New Roman" w:hAnsi="Times New Roman" w:cs="Times New Roman"/>
          <w:sz w:val="24"/>
          <w:szCs w:val="24"/>
        </w:rPr>
        <w:t xml:space="preserve">associated with </w:t>
      </w:r>
      <w:r w:rsidR="001C657E" w:rsidRPr="002E26D2">
        <w:rPr>
          <w:rFonts w:ascii="Times New Roman" w:hAnsi="Times New Roman" w:cs="Times New Roman"/>
          <w:sz w:val="24"/>
          <w:szCs w:val="24"/>
        </w:rPr>
        <w:t xml:space="preserve">downregulation of respiratory complexes abundance. </w:t>
      </w:r>
    </w:p>
    <w:p w14:paraId="6341C3C4" w14:textId="617BA896" w:rsidR="001C657E" w:rsidRPr="002E26D2" w:rsidRDefault="001C657E" w:rsidP="001C657E">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To summarize, </w:t>
      </w:r>
      <w:r w:rsidR="00456640">
        <w:rPr>
          <w:rFonts w:ascii="Times New Roman" w:hAnsi="Times New Roman" w:cs="Times New Roman"/>
          <w:sz w:val="24"/>
          <w:szCs w:val="24"/>
        </w:rPr>
        <w:t xml:space="preserve">the </w:t>
      </w:r>
      <w:r w:rsidRPr="002E26D2">
        <w:rPr>
          <w:rFonts w:ascii="Times New Roman" w:hAnsi="Times New Roman" w:cs="Times New Roman"/>
          <w:sz w:val="24"/>
          <w:szCs w:val="24"/>
        </w:rPr>
        <w:t>NME6</w:t>
      </w:r>
      <w:r w:rsidR="00456640">
        <w:rPr>
          <w:rFonts w:ascii="Times New Roman" w:hAnsi="Times New Roman" w:cs="Times New Roman"/>
          <w:sz w:val="24"/>
          <w:szCs w:val="24"/>
        </w:rPr>
        <w:t xml:space="preserve"> protein</w:t>
      </w:r>
      <w:r w:rsidRPr="002E26D2">
        <w:rPr>
          <w:rFonts w:ascii="Times New Roman" w:hAnsi="Times New Roman" w:cs="Times New Roman"/>
          <w:sz w:val="24"/>
          <w:szCs w:val="24"/>
        </w:rPr>
        <w:t xml:space="preserve"> is a monomeric, enzymatically inactive NME member, localized in the mitochondrial matrix </w:t>
      </w:r>
      <w:r w:rsidR="0027046F">
        <w:rPr>
          <w:rFonts w:ascii="Times New Roman" w:hAnsi="Times New Roman" w:cs="Times New Roman"/>
          <w:sz w:val="24"/>
          <w:szCs w:val="24"/>
        </w:rPr>
        <w:t xml:space="preserve">and </w:t>
      </w:r>
      <w:r w:rsidRPr="002E26D2">
        <w:rPr>
          <w:rFonts w:ascii="Times New Roman" w:hAnsi="Times New Roman" w:cs="Times New Roman"/>
          <w:sz w:val="24"/>
          <w:szCs w:val="24"/>
        </w:rPr>
        <w:t>impacting mitochondrial respiration.</w:t>
      </w:r>
    </w:p>
    <w:p w14:paraId="018DDA80" w14:textId="77777777" w:rsidR="009E7BED" w:rsidRPr="002E26D2" w:rsidRDefault="009E7BED" w:rsidP="004927BB">
      <w:pPr>
        <w:spacing w:line="360" w:lineRule="auto"/>
        <w:jc w:val="both"/>
        <w:rPr>
          <w:rFonts w:ascii="Times New Roman" w:hAnsi="Times New Roman" w:cs="Times New Roman"/>
          <w:sz w:val="24"/>
          <w:szCs w:val="24"/>
        </w:rPr>
      </w:pPr>
    </w:p>
    <w:p w14:paraId="4E834A10" w14:textId="77777777" w:rsidR="009E0121" w:rsidRDefault="009E0121">
      <w:pPr>
        <w:rPr>
          <w:rFonts w:ascii="Times New Roman" w:eastAsia="Calibri" w:hAnsi="Times New Roman" w:cs="Times New Roman"/>
          <w:b/>
          <w:sz w:val="32"/>
          <w:szCs w:val="32"/>
          <w:u w:val="single"/>
        </w:rPr>
      </w:pPr>
      <w:r>
        <w:rPr>
          <w:rFonts w:cs="Times New Roman"/>
          <w:szCs w:val="32"/>
        </w:rPr>
        <w:br w:type="page"/>
      </w:r>
    </w:p>
    <w:p w14:paraId="5CDE92D3" w14:textId="37193DB1" w:rsidR="000B3AF7" w:rsidRPr="005953EB" w:rsidRDefault="00467508" w:rsidP="004927BB">
      <w:pPr>
        <w:pStyle w:val="Heading1"/>
        <w:spacing w:line="360" w:lineRule="auto"/>
        <w:rPr>
          <w:rFonts w:cs="Times New Roman"/>
          <w:szCs w:val="32"/>
        </w:rPr>
      </w:pPr>
      <w:bookmarkStart w:id="2" w:name="_Toc117153820"/>
      <w:r w:rsidRPr="005953EB">
        <w:rPr>
          <w:rFonts w:cs="Times New Roman"/>
          <w:szCs w:val="32"/>
        </w:rPr>
        <w:lastRenderedPageBreak/>
        <w:t>LITERATURE OVERVIEW</w:t>
      </w:r>
      <w:bookmarkEnd w:id="2"/>
    </w:p>
    <w:p w14:paraId="17DFA061" w14:textId="7BAAE4C9" w:rsidR="00AC4DFA" w:rsidRPr="00794577" w:rsidRDefault="009E0113" w:rsidP="004927BB">
      <w:pPr>
        <w:pStyle w:val="Heading2"/>
        <w:spacing w:line="360" w:lineRule="auto"/>
        <w:rPr>
          <w:rFonts w:cs="Times New Roman"/>
          <w:szCs w:val="32"/>
        </w:rPr>
      </w:pPr>
      <w:bookmarkStart w:id="3" w:name="_Toc117153821"/>
      <w:r w:rsidRPr="00794577">
        <w:rPr>
          <w:rFonts w:cs="Times New Roman"/>
          <w:szCs w:val="32"/>
        </w:rPr>
        <w:t>M</w:t>
      </w:r>
      <w:r w:rsidR="00AC4DFA" w:rsidRPr="00794577">
        <w:rPr>
          <w:rFonts w:cs="Times New Roman"/>
          <w:szCs w:val="32"/>
        </w:rPr>
        <w:t>itochondria and respiration</w:t>
      </w:r>
      <w:bookmarkEnd w:id="3"/>
    </w:p>
    <w:p w14:paraId="791860FB" w14:textId="47519646" w:rsidR="00AC4DFA" w:rsidRPr="002E26D2" w:rsidRDefault="009E0113" w:rsidP="003775DE">
      <w:pPr>
        <w:pStyle w:val="Heading3"/>
      </w:pPr>
      <w:bookmarkStart w:id="4" w:name="_Toc117153822"/>
      <w:r w:rsidRPr="002E26D2">
        <w:t>Mitochondrial o</w:t>
      </w:r>
      <w:r w:rsidR="00AC4DFA" w:rsidRPr="002E26D2">
        <w:t>rigin</w:t>
      </w:r>
      <w:bookmarkEnd w:id="4"/>
    </w:p>
    <w:p w14:paraId="374D82C8" w14:textId="57FC6316" w:rsidR="00AC4DFA"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Mitochondria arose only once in evolution, from </w:t>
      </w:r>
      <w:r w:rsidR="00D441D1">
        <w:rPr>
          <w:rFonts w:ascii="Times New Roman" w:hAnsi="Times New Roman" w:cs="Times New Roman"/>
          <w:sz w:val="24"/>
          <w:szCs w:val="24"/>
        </w:rPr>
        <w:t>the</w:t>
      </w:r>
      <w:r w:rsidRPr="002E26D2">
        <w:rPr>
          <w:rFonts w:ascii="Times New Roman" w:hAnsi="Times New Roman" w:cs="Times New Roman"/>
          <w:sz w:val="24"/>
          <w:szCs w:val="24"/>
        </w:rPr>
        <w:t xml:space="preserve"> endosymbiosis of </w:t>
      </w:r>
      <w:r w:rsidR="00D441D1">
        <w:rPr>
          <w:rFonts w:ascii="Times New Roman" w:hAnsi="Times New Roman" w:cs="Times New Roman"/>
          <w:sz w:val="24"/>
          <w:szCs w:val="24"/>
        </w:rPr>
        <w:t xml:space="preserve">an </w:t>
      </w:r>
      <w:r w:rsidRPr="002E26D2">
        <w:rPr>
          <w:rFonts w:ascii="Times New Roman" w:hAnsi="Times New Roman" w:cs="Times New Roman"/>
          <w:sz w:val="24"/>
          <w:szCs w:val="24"/>
        </w:rPr>
        <w:t xml:space="preserve">α-proteobacterium into </w:t>
      </w:r>
      <w:r w:rsidR="00D441D1">
        <w:rPr>
          <w:rFonts w:ascii="Times New Roman" w:hAnsi="Times New Roman" w:cs="Times New Roman"/>
          <w:sz w:val="24"/>
          <w:szCs w:val="24"/>
        </w:rPr>
        <w:t xml:space="preserve">a </w:t>
      </w:r>
      <w:r w:rsidRPr="002E26D2">
        <w:rPr>
          <w:rFonts w:ascii="Times New Roman" w:hAnsi="Times New Roman" w:cs="Times New Roman"/>
          <w:sz w:val="24"/>
          <w:szCs w:val="24"/>
        </w:rPr>
        <w:t xml:space="preserve">proto-eukaryotic cell, early after the emergence of eukaryotes, as widely accepted in the endosymbiotic hypothesis </w:t>
      </w:r>
      <w:r w:rsidRPr="002E26D2">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{"citationItems":[{"id":"ITEM-1","itemData":{"DOI":"10.1016/j.cub.2017.09.015","ISSN":"09609822","PMID":"29112874","abstract":"Mitochondria are best known for their role in the generation of ATP by aerobic respiration. Yet, research in the past half century has shown that they perform a much larger suite of functions and that these functions can vary substantially among diverse eukaryotic lineages. Despite this diversity, all mitochondria derive from a common ancestral organelle that originated from the integration of an endosymbiotic alphaproteobacterium into a host cell related to Asgard Archaea. The transition from endosymbiotic bacterium to permanent organelle entailed a massive number of evolutionary changes including the origins of hundreds of new genes and a protein import system, insertion of membrane transporters, integration of metabolism and reproduction, genome reduction, endosymbiotic gene transfer, lateral gene transfer and the retargeting of proteins. These changes occurred incrementally as the endosymbiont and the host became integrated. Although many insights into this transition have been gained, controversy persists regarding the nature of the original endosymbiont, its initial interactions with the host and the timing of its integration relative to the origin of other features of eukaryote cells. Since the establishment of the organelle, proteins have been gained, lost, transferred and retargeted as mitochondria have specialized into the spectrum of functional types seen across the eukaryotic tree of life. Moving beyond the simplistic view of mitochondria as the power house of the cell, Roger et al. present the immense diversity of mitochondria and mitochondrial functions across eukaryotes, and bring the reader up to date on the current view of how these organelles evolved from an ancient ancestral alphaproteobacterium.","author":[{"dropping-particle":"","family":"Roger","given":"Andrew J.","non-dropping-particle":"","parse-names":false,"suffix":""},{"dropping-particle":"","family":"Muñoz-Gómez","given":"Sergio A.","non-dropping-particle":"","parse-names":false,"suffix":""},{"dropping-particle":"","family":"Kamikawa","given":"Ryoma","non-dropping-particle":"","parse-names":false,"suffix":""}],"container-title":"Current Biology","id":"ITEM-1","issue":"21","issued":{"date-parts":[["2017","11","6"]]},"page":"R1177-R1192","publisher":"Cell Press","title":"The Origin and Diversification of Mitochondria","type":"article-journal","volume":"27"},"uris":["http://www.mendeley.com/documents/?uuid=662bc7f4-be03-30e9-95df-65bb4890ca3e"]},{"id":"ITEM-2","itemData":{"DOI":"10.1186/gb-2001-2-6-reviews1018","ISSN":"1474-760X","PMID":"11423013","abstract":"Complete sequences of numerous mitochondrial, many prokaryotic, and several nuclear genomes are now available. These data confirm that the mitochondrial genome originated from a eubacterial (specifically alpha-proteobacterial) ancestor but raise questions about the evolutionary antecedents of the mitochondrial proteome.","author":[{"dropping-particle":"","family":"Gray","given":"Michael W","non-dropping-particle":"","parse-names":false,"suffix":""},{"dropping-particle":"","family":"Burger","given":"Gertraud","non-dropping-particle":"","parse-names":false,"suffix":""},{"dropping-particle":"","family":"Lang","given":"B Franz","non-dropping-particle":"","parse-names":false,"suffix":""}],"container-title":"Genome biology","id":"ITEM-2","issue":"6","issued":{"date-parts":[["2001","6","5"]]},"page":"1018.1–1018.5","publisher":"BioMed Central","title":"The origin and early evolution of mitochondria.","type":"article-journal","volume":"2"},"uris":["http://www.mendeley.com/documents/?uuid=99d177f0-0d40-3acf-bec2-87964a41c96e"]}],"mendeley":{"formattedCitation":"[29,30]","plainTextFormattedCitation":"[29,30]","previouslyFormattedCitation":"[29,30]"},"properties":{"noteIndex":0},"schema":"https://github.com/citation-style-language/schema/raw/master/csl-citation.json"}</w:instrText>
      </w:r>
      <w:r w:rsidRPr="002E26D2">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[29,30]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Accordingly, mitochondria possess their own DNA and transcription/translation machinery. The symbiosis event conferred advantages to the eukaryotic cell, among which the key improvement is the generation of ATP through aerobic respiration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{"citationItems":[{"id":"ITEM-1","itemData":{"DOI":"10.1098/rspb.2006.3531","ISSN":"0962-8452","PMID":"16822756","abstract":"Mitochondria originated by permanent enslavement of purple non-sulphur bacteria. These endosymbionts became organelles through the origin of complex protein-import machinery and insertion into their inner membranes of protein carriers for extracting energy for the host. A chicken-and-egg problem exists: selective advantages for evolving import machinery were absent until inner membrane carriers were present, but this very machinery is now required for carrier insertion. I argue here that this problem was probably circumvented by conversion of the symbiont protein-export machinery into protein-import machinery, in three phases. I suggest that the first carrier entered the periplasmic space via pre-existing β-barrel proteins in the bacterial outer membrane that later became Tom40, and inserted into the inner membrane probably helped by a pre-existing inner membrane protein, thereby immediately providing the protoeukaryote host with photosynthesate. This would have created a powerful selective advantage for evolving more efficient carrier import by inserting Tom70 receptors. Massive gene transfer to the nucleus inevitably occurred by mutation pressure. Finally, pressure from harmful, non-selected gene transfer to the nucleus probably caused evolution of the presequence mechanism, and photosynthesis was lost.","author":[{"dropping-particle":"","family":"Cavalier-Smith","given":"Thomas","non-dropping-particle":"","parse-names":false,"suffix":""}],"container-title":"Proceedings of the Royal Society B: Biological Sciences","id":"ITEM-1","issue":"1596","issued":{"date-parts":[["2006","8","7"]]},"page":"1943-1952","publisher":"The Royal Society","title":"Origin of mitochondria by intracellular enslavement of a photosynthetic purple bacterium","type":"article-journal","volume":"273"},"uris":["http://www.mendeley.com/documents/?uuid=9d7a5e4e-3656-3f52-9f21-9a49d42e33a3"]}],"mendeley":{"formattedCitation":"[31]","plainTextFormattedCitation":"[31]","previouslyFormattedCitation":"[31]"},"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[31]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339F0767" w14:textId="03E80C63" w:rsidR="00AC4DFA" w:rsidRPr="002E26D2" w:rsidRDefault="009E0113" w:rsidP="003775DE">
      <w:pPr>
        <w:pStyle w:val="Heading3"/>
      </w:pPr>
      <w:bookmarkStart w:id="5" w:name="_Toc117153823"/>
      <w:r w:rsidRPr="002E26D2">
        <w:t>Mitochondrial o</w:t>
      </w:r>
      <w:r w:rsidR="00AC4DFA" w:rsidRPr="002E26D2">
        <w:t>rganization</w:t>
      </w:r>
      <w:bookmarkEnd w:id="5"/>
    </w:p>
    <w:p w14:paraId="76EBBE9A" w14:textId="7248540C"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Mitochondria are tube-shaped, double-membrane organelles, with a diameter ranging from 0.5 to 1 µm, and a variable length from 1 to 10 µm. The mitochondrial outer membrane (MOM, also shortened as OMM and OM</w:t>
      </w:r>
      <w:r w:rsidR="009E0113" w:rsidRPr="002E26D2">
        <w:rPr>
          <w:rFonts w:ascii="Times New Roman" w:hAnsi="Times New Roman" w:cs="Times New Roman"/>
          <w:sz w:val="24"/>
          <w:szCs w:val="24"/>
        </w:rPr>
        <w:t xml:space="preserve"> in literature</w:t>
      </w:r>
      <w:r w:rsidRPr="002E26D2">
        <w:rPr>
          <w:rFonts w:ascii="Times New Roman" w:hAnsi="Times New Roman" w:cs="Times New Roman"/>
          <w:sz w:val="24"/>
          <w:szCs w:val="24"/>
        </w:rPr>
        <w:t>), similar to eukaryotic membranes in lipids composition, is surrounding the cardiolipin-rich mitochondrial inner membrane (MIM, also shortened as IMM and IM</w:t>
      </w:r>
      <w:r w:rsidR="009E0113" w:rsidRPr="002E26D2">
        <w:rPr>
          <w:rFonts w:ascii="Times New Roman" w:hAnsi="Times New Roman" w:cs="Times New Roman"/>
          <w:sz w:val="24"/>
          <w:szCs w:val="24"/>
        </w:rPr>
        <w:t xml:space="preserve"> in literature</w:t>
      </w:r>
      <w:r w:rsidRPr="002E26D2">
        <w:rPr>
          <w:rFonts w:ascii="Times New Roman" w:hAnsi="Times New Roman" w:cs="Times New Roman"/>
          <w:sz w:val="24"/>
          <w:szCs w:val="24"/>
        </w:rPr>
        <w:t xml:space="preserve">), similar to cardiolipin-containing bacterial membranes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{"citationItems":[{"id":"ITEM-1","itemData":{"DOI":"10.1098/rspb.2006.3531","ISSN":"0962-8452","PMID":"16822756","abstract":"Mitochondria originated by permanent enslavement of purple non-sulphur bacteria. These endosymbionts became organelles through the origin of complex protein-import machinery and insertion into their inner membranes of protein carriers for extracting energy for the host. A chicken-and-egg problem exists: selective advantages for evolving import machinery were absent until inner membrane carriers were present, but this very machinery is now required for carrier insertion. I argue here that this problem was probably circumvented by conversion of the symbiont protein-export machinery into protein-import machinery, in three phases. I suggest that the first carrier entered the periplasmic space via pre-existing β-barrel proteins in the bacterial outer membrane that later became Tom40, and inserted into the inner membrane probably helped by a pre-existing inner membrane protein, thereby immediately providing the protoeukaryote host with photosynthesate. This would have created a powerful selective advantage for evolving more efficient carrier import by inserting Tom70 receptors. Massive gene transfer to the nucleus inevitably occurred by mutation pressure. Finally, pressure from harmful, non-selected gene transfer to the nucleus probably caused evolution of the presequence mechanism, and photosynthesis was lost.","author":[{"dropping-particle":"","family":"Cavalier-Smith","given":"Thomas","non-dropping-particle":"","parse-names":false,"suffix":""}],"container-title":"Proceedings of the Royal Society B: Biological Sciences","id":"ITEM-1","issue":"1596","issued":{"date-parts":[["2006","8","7"]]},"page":"1943-1952","publisher":"The Royal Society","title":"Origin of mitochondria by intracellular enslavement of a photosynthetic purple bacterium","type":"article-journal","volume":"273"},"uris":["http://www.mendeley.com/documents/?uuid=9d7a5e4e-3656-3f52-9f21-9a49d42e33a3"]}],"mendeley":{"formattedCitation":"[31]","plainTextFormattedCitation":"[31]","previouslyFormattedCitation":"[31]"},"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[31]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aqueous compartment between the two membranes is called the intermembrane space (IMS), while the aqueous compartment surrounded by the MIM is called the matrix</w:t>
      </w:r>
      <w:r w:rsidR="00C3744C" w:rsidRPr="002E26D2">
        <w:rPr>
          <w:rFonts w:ascii="Times New Roman" w:hAnsi="Times New Roman" w:cs="Times New Roman"/>
          <w:sz w:val="24"/>
          <w:szCs w:val="24"/>
        </w:rPr>
        <w:t xml:space="preserve"> (</w:t>
      </w:r>
      <w:r w:rsidR="00C3744C" w:rsidRPr="002E26D2">
        <w:rPr>
          <w:rFonts w:ascii="Times New Roman" w:hAnsi="Times New Roman" w:cs="Times New Roman"/>
          <w:sz w:val="24"/>
          <w:szCs w:val="24"/>
        </w:rPr>
        <w:fldChar w:fldCharType="begin"/>
      </w:r>
      <w:r w:rsidR="00C3744C" w:rsidRPr="002E26D2">
        <w:rPr>
          <w:rFonts w:ascii="Times New Roman" w:hAnsi="Times New Roman" w:cs="Times New Roman"/>
          <w:sz w:val="24"/>
          <w:szCs w:val="24"/>
        </w:rPr>
        <w:instrText xml:space="preserve"> REF _Ref106009081 \h </w:instrText>
      </w:r>
      <w:r w:rsidR="002E26D2" w:rsidRPr="002E26D2">
        <w:rPr>
          <w:rFonts w:ascii="Times New Roman" w:hAnsi="Times New Roman" w:cs="Times New Roman"/>
          <w:sz w:val="24"/>
          <w:szCs w:val="24"/>
        </w:rPr>
        <w:instrText xml:space="preserve"> \* MERGEFORMAT </w:instrText>
      </w:r>
      <w:r w:rsidR="00C3744C" w:rsidRPr="002E26D2">
        <w:rPr>
          <w:rFonts w:ascii="Times New Roman" w:hAnsi="Times New Roman" w:cs="Times New Roman"/>
          <w:sz w:val="24"/>
          <w:szCs w:val="24"/>
        </w:rPr>
      </w:r>
      <w:r w:rsidR="00C3744C"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w:t>
      </w:r>
      <w:r w:rsidR="00C3744C" w:rsidRPr="002E26D2">
        <w:rPr>
          <w:rFonts w:ascii="Times New Roman" w:hAnsi="Times New Roman" w:cs="Times New Roman"/>
          <w:sz w:val="24"/>
          <w:szCs w:val="24"/>
        </w:rPr>
        <w:fldChar w:fldCharType="end"/>
      </w:r>
      <w:r w:rsidR="00C3744C" w:rsidRPr="002E26D2">
        <w:rPr>
          <w:rFonts w:ascii="Times New Roman" w:hAnsi="Times New Roman" w:cs="Times New Roman"/>
          <w:sz w:val="24"/>
          <w:szCs w:val="24"/>
        </w:rPr>
        <w:t>)</w:t>
      </w:r>
      <w:r w:rsidRPr="002E26D2">
        <w:rPr>
          <w:rFonts w:ascii="Times New Roman" w:hAnsi="Times New Roman" w:cs="Times New Roman"/>
          <w:sz w:val="24"/>
          <w:szCs w:val="24"/>
        </w:rPr>
        <w:t xml:space="preserve">. </w:t>
      </w:r>
    </w:p>
    <w:p w14:paraId="4CFBFF06" w14:textId="5D3993A0"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MOM forms the first barrier and controls the diffusion of molecules inside and outside the mitochondria (ions, nucleotides, metabolites, proteins) via specific channels, carriers and translocase complexes. The MOM is relatively permeable to ions and small molecules due to porin protein complexes (typically VDAC: voltage dependent anion channel) that allow the passage of molecules smaller than 6000 Daltons, leading to an IMS chemical composition comparable to cytosol in this respect </w:t>
      </w:r>
      <w:r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{"citationItems":[{"id":"ITEM-1","itemData":{"DOI":"10.1016/j.bbadis.2005.10.006","ISSN":"09254439","PMID":"16307870","abstract":"Despite a detailed understanding of their metabolism, mitochondria often behave anomalously. In particular, global suppression of mitochondrial metabolism and metabolite exchange occurs in apoptosis, ischemia and anoxia, cytopathic hypoxia of sepsis and multiple organ failure, alcoholic liver disease, aerobic glycolysis in cancer cells (Warburg effect) and unstimulated pancreatic beta cells. Here, we propose that closure of voltage-dependent anion channels (VDAC) in the mitochondrial outer membrane accounts for global mitochondrial suppression. In anoxia, cytopathic hypoxia and ethanol treatment, reactive oxygen and nitrogen species, cytokines, kinase cascades and increased NADH act to inhibit VDAC conductance and promote selective oxidation of membrane-permeable respiratory substrates like short chain fatty acids and acetaldehyde. In cancer cells, highly expressed hexokinase binds to and inhibits VDAC to suppress mitochondrial function while stimulating glycolysis, but an escape mechanism intervenes when glucose-6-phosphate accumulates and dissociates hexokinase from VDAC. Similarly, glucokinase binds mitochondria of insulin-secreting beta cells, possibly blocking VDAC and suppressing mitochondrial function. We propose that glucose metabolism leads to glucose-6-phosphate-dependent unbinding of glucokinase, relief of VDAC inhibition, release of ATP from mitochondria and ATP-dependent insulin release. In support of the overall proposal, ethanol treatment of isolated rat hepatocytes inhibited mitochondrial respiration and accessibility to adenylate kinase in the intermembrane space, effects that were overcome by digitonin permeabilization of the outer membrane. Overall, these considerations suggest that VDAC is a dynamic regulator, or governator, of global mitochondrial function both in health and disease. © 2005 Elsevier B.V. All rights reserved.","author":[{"dropping-particle":"","family":"Lemasters","given":"John J.","non-dropping-particle":"","parse-names":false,"suffix":""},{"dropping-particle":"","family":"Holmuhamedov","given":"Ekhson","non-dropping-particle":"","parse-names":false,"suffix":""}],"container-title":"Biochimica et Biophysica Acta (BBA) - Molecular Basis of Disease","id":"ITEM-1","issue":"2","issued":{"date-parts":[["2006","2","1"]]},"page":"181-190","publisher":"Elsevier","title":"Voltage-dependent anion channel (VDAC) as mitochondrial governator—Thinking outside the box","type":"article-journal","volume":"1762"},"uris":["http://www.mendeley.com/documents/?uuid=c6337cd0-a83b-3487-a5ab-1925bdb29ee5"]}],"mendeley":{"formattedCitation":"[32]","plainTextFormattedCitation":"[32]","previouslyFormattedCitation":"[32]"},"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[32]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7A73645D" w14:textId="6E959643"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The MIM</w:t>
      </w:r>
      <w:r w:rsidR="000174E8">
        <w:rPr>
          <w:rFonts w:ascii="Times New Roman" w:hAnsi="Times New Roman" w:cs="Times New Roman"/>
          <w:sz w:val="24"/>
          <w:szCs w:val="24"/>
        </w:rPr>
        <w:t>,</w:t>
      </w:r>
      <w:r w:rsidRPr="002E26D2">
        <w:rPr>
          <w:rFonts w:ascii="Times New Roman" w:hAnsi="Times New Roman" w:cs="Times New Roman"/>
          <w:sz w:val="24"/>
          <w:szCs w:val="24"/>
        </w:rPr>
        <w:t xml:space="preserve"> in contrast</w:t>
      </w:r>
      <w:r w:rsidR="000174E8">
        <w:rPr>
          <w:rFonts w:ascii="Times New Roman" w:hAnsi="Times New Roman" w:cs="Times New Roman"/>
          <w:sz w:val="24"/>
          <w:szCs w:val="24"/>
        </w:rPr>
        <w:t>,</w:t>
      </w:r>
      <w:r w:rsidRPr="002E26D2">
        <w:rPr>
          <w:rFonts w:ascii="Times New Roman" w:hAnsi="Times New Roman" w:cs="Times New Roman"/>
          <w:sz w:val="24"/>
          <w:szCs w:val="24"/>
        </w:rPr>
        <w:t xml:space="preserve"> shows strong impermeability, even to the smallest of ions (H</w:t>
      </w:r>
      <w:r w:rsidRPr="002E26D2">
        <w:rPr>
          <w:rFonts w:ascii="Times New Roman" w:hAnsi="Times New Roman" w:cs="Times New Roman"/>
          <w:sz w:val="24"/>
          <w:szCs w:val="24"/>
          <w:vertAlign w:val="superscript"/>
        </w:rPr>
        <w:t>+</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{"citationItems":[{"id":"ITEM-1","itemData":{"DOI":"10.1111/j.1440-1746.2006.04643.x","ISSN":"0815-9319","PMID":"17567461","abstract":"The mitochondrial inner and outer membranes have contrasting permeability characteristics. The outer membrane is non-specifically permeable to all low-molecular-weight solutes, whereas the inner membrane is impermeable except through specific transporters. After stresses and sometimes in normal physiology, the permeability of the two membranes can reverse. In the inner membrane, permeability transition pores open to cause the mitochondrial permeability transition (MPT). As the MPT involves more and more mitochondria, autophagy, apoptosis and necrosis progressively develop linked to the proportion of mitochondria injured and the extent of adenosine triphosphate (ATP) depletion, a phenomenon of necrapoptosis. By contrast, the outer membrane may decrease its permeability after certain stresses via closure of voltage-dependent anion channels (VDAC). The VDAC closure globally suppresses mitochondrial function to prevent futile ATP hydrolysis in hypoxia-ischemia and possibly the release of toxic superoxide under conditions of oxidative stress. The VDAC closure may also facilitate selective oxidation of acetaldehyde after ethanol exposure and promote aerobic glycolysis in cancer cells. By contrast, VDAC opening is proposed to stimulate oxidative phosphorylation and promote insulin release by glucose-stimulated pancreatic beta cells. Thus, VDAC serves as a global regulator, or governator, of mitochondrial function. Understanding of how these mitochondrial membrane permeability changes are themselves regulated remains incomplete and requires future study. © 2007 The Author.","author":[{"dropping-particle":"","family":"Lemasters","given":"John J.","non-dropping-particle":"","parse-names":false,"suffix":""}],"container-title":"Journal of Gastroenterology and Hepatology","id":"ITEM-1","issue":"s1","issued":{"date-parts":[["2007","6"]]},"page":"S31-S37","publisher":"J Gastroenterol Hepatol","title":"Modulation of mitochondrial membrane permeability in pathogenesis, autophagy and control of metabolism","type":"article-journal","volume":"22"},"uris":["http://www.mendeley.com/documents/?uuid=5693df0f-e5bb-360f-85d4-d93094a755ba"]}],"mendeley":{"formattedCitation":"[33]","plainTextFormattedCitation":"[33]","previouslyFormattedCitation":"[33]"},"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[33]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It can be divided into several compartments. Large MIM invaginations within the mitochondria, called cristae, are apically closed by cristae junctions (CJ) that represent a diffusion barrier for Ca</w:t>
      </w:r>
      <w:r w:rsidRPr="002E26D2">
        <w:rPr>
          <w:rFonts w:ascii="Times New Roman" w:hAnsi="Times New Roman" w:cs="Times New Roman"/>
          <w:sz w:val="24"/>
          <w:szCs w:val="24"/>
          <w:vertAlign w:val="superscript"/>
        </w:rPr>
        <w:t>2+</w:t>
      </w:r>
      <w:r w:rsidRPr="002E26D2">
        <w:rPr>
          <w:rFonts w:ascii="Times New Roman" w:hAnsi="Times New Roman" w:cs="Times New Roman"/>
          <w:sz w:val="24"/>
          <w:szCs w:val="24"/>
        </w:rPr>
        <w:t xml:space="preserve"> and H</w:t>
      </w:r>
      <w:r w:rsidRPr="002E26D2">
        <w:rPr>
          <w:rFonts w:ascii="Times New Roman" w:hAnsi="Times New Roman" w:cs="Times New Roman"/>
          <w:sz w:val="24"/>
          <w:szCs w:val="24"/>
          <w:vertAlign w:val="superscript"/>
        </w:rPr>
        <w:t>+</w:t>
      </w:r>
      <w:r w:rsidRPr="002E26D2">
        <w:rPr>
          <w:rFonts w:ascii="Times New Roman" w:hAnsi="Times New Roman" w:cs="Times New Roman"/>
          <w:sz w:val="24"/>
          <w:szCs w:val="24"/>
        </w:rPr>
        <w:t xml:space="preserve"> between the cristae lumen and the IMS </w:t>
      </w:r>
      <w:r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{"citationItems":[{"id":"ITEM-1","itemData":{"DOI":"10.1016/j.ceca.2021.102517","ISSN":"01434160","PMID":"34915234","abstract":"OPA1 and MICU1 are both involved in the regulation of mitochondrial Ca2+ uptake and the stabilization of the cristae junction, which separates the inner mitochondrial membrane into the interboundary membrane and the cristae membrane. In this mini-review, we focus on the synergetic control of OPA1 and MICU1 on the cristae junction that serves as a fundamental regulator of multiple mitochondrial functions. In particular, we point to the critical role of an adaptive cristae junction permeability in mitochondrial Ca2+ signaling, spatial H+ gradients and mitochondrial membrane potential, metabolic activity, and apoptosis. These characteristics bear on a distinct localization of the oxidative phosphorylation machinery, the FoF1-ATPase, and mitochondrial Ca2+uniporter (MCU) within sections of the inner mitochondrial membrane isolated by the cristae junction and regulated by proteins like OPA1 and MICU1. We specifically focus on the impact of MICU1-regulated cristae junction on the activity and distribution of MCU within the complex ultrastructure of mitochondria.","author":[{"dropping-particle":"","family":"Gottschalk","given":"Benjamin","non-dropping-particle":"","parse-names":false,"suffix":""},{"dropping-particle":"","family":"Madreiter-Sokolowski","given":"Corina T.","non-dropping-particle":"","parse-names":false,"suffix":""},{"dropping-particle":"","family":"Graier","given":"Wolfgang F.","non-dropping-particle":"","parse-names":false,"suffix":""}],"container-title":"Cell Calcium","id":"ITEM-1","issued":{"date-parts":[["2022","1","1"]]},"page":"102517","publisher":"Churchill Livingstone","title":"Cristae junction as a fundamental switchboard for mitochondrial ion signaling and bioenergetics","type":"article-journal","volume":"101"},"uris":["http://www.mendeley.com/documents/?uuid=0095693e-5a86-37ff-9d0f-e8ba64ba6b26"]}],"mendeley":{"formattedCitation":"[34]","plainTextFormattedCitation":"[34]","previouslyFormattedCitation":"[34]"},"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[34]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Cristae are essential for oxidative phosphorylation (OXPHOS), based on the creation of </w:t>
      </w:r>
      <w:r w:rsidR="00093B8A">
        <w:rPr>
          <w:rFonts w:ascii="Times New Roman" w:hAnsi="Times New Roman" w:cs="Times New Roman"/>
          <w:sz w:val="24"/>
          <w:szCs w:val="24"/>
        </w:rPr>
        <w:t xml:space="preserve">a </w:t>
      </w:r>
      <w:r w:rsidRPr="002E26D2">
        <w:rPr>
          <w:rFonts w:ascii="Times New Roman" w:hAnsi="Times New Roman" w:cs="Times New Roman"/>
          <w:sz w:val="24"/>
          <w:szCs w:val="24"/>
        </w:rPr>
        <w:t xml:space="preserve">proton gradient between cristae lumen and matrix, as described in section </w:t>
      </w:r>
      <w:r w:rsidR="009E0113" w:rsidRPr="002E26D2">
        <w:rPr>
          <w:rFonts w:ascii="Times New Roman" w:hAnsi="Times New Roman" w:cs="Times New Roman"/>
          <w:sz w:val="24"/>
          <w:szCs w:val="24"/>
        </w:rPr>
        <w:t>(</w:t>
      </w:r>
      <w:r w:rsidR="009E0113" w:rsidRPr="002E26D2">
        <w:rPr>
          <w:rFonts w:ascii="Times New Roman" w:hAnsi="Times New Roman" w:cs="Times New Roman"/>
          <w:sz w:val="24"/>
          <w:szCs w:val="24"/>
        </w:rPr>
        <w:fldChar w:fldCharType="begin"/>
      </w:r>
      <w:r w:rsidR="009E0113" w:rsidRPr="002E26D2">
        <w:rPr>
          <w:rFonts w:ascii="Times New Roman" w:hAnsi="Times New Roman" w:cs="Times New Roman"/>
          <w:sz w:val="24"/>
          <w:szCs w:val="24"/>
        </w:rPr>
        <w:instrText xml:space="preserve"> REF _Ref106010830 \r \h </w:instrText>
      </w:r>
      <w:r w:rsidR="002E26D2" w:rsidRPr="002E26D2">
        <w:rPr>
          <w:rFonts w:ascii="Times New Roman" w:hAnsi="Times New Roman" w:cs="Times New Roman"/>
          <w:sz w:val="24"/>
          <w:szCs w:val="24"/>
        </w:rPr>
        <w:instrText xml:space="preserve"> \* MERGEFORMAT </w:instrText>
      </w:r>
      <w:r w:rsidR="009E0113" w:rsidRPr="002E26D2">
        <w:rPr>
          <w:rFonts w:ascii="Times New Roman" w:hAnsi="Times New Roman" w:cs="Times New Roman"/>
          <w:sz w:val="24"/>
          <w:szCs w:val="24"/>
        </w:rPr>
      </w:r>
      <w:r w:rsidR="009E0113"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2.1.6.2</w:t>
      </w:r>
      <w:r w:rsidR="009E0113" w:rsidRPr="002E26D2">
        <w:rPr>
          <w:rFonts w:ascii="Times New Roman" w:hAnsi="Times New Roman" w:cs="Times New Roman"/>
          <w:sz w:val="24"/>
          <w:szCs w:val="24"/>
        </w:rPr>
        <w:fldChar w:fldCharType="end"/>
      </w:r>
      <w:r w:rsidR="009E0113" w:rsidRPr="002E26D2">
        <w:rPr>
          <w:rFonts w:ascii="Times New Roman" w:hAnsi="Times New Roman" w:cs="Times New Roman"/>
          <w:sz w:val="24"/>
          <w:szCs w:val="24"/>
        </w:rPr>
        <w:t>)</w:t>
      </w:r>
      <w:r w:rsidRPr="002E26D2">
        <w:rPr>
          <w:rFonts w:ascii="Times New Roman" w:hAnsi="Times New Roman" w:cs="Times New Roman"/>
          <w:sz w:val="24"/>
          <w:szCs w:val="24"/>
        </w:rPr>
        <w:t>. The rest of the MIM, directly facing the MOM is called inner boundary membrane (IBM), w</w:t>
      </w:r>
      <w:r w:rsidR="00093B8A">
        <w:rPr>
          <w:rFonts w:ascii="Times New Roman" w:hAnsi="Times New Roman" w:cs="Times New Roman"/>
          <w:sz w:val="24"/>
          <w:szCs w:val="24"/>
        </w:rPr>
        <w:t>h</w:t>
      </w:r>
      <w:r w:rsidRPr="002E26D2">
        <w:rPr>
          <w:rFonts w:ascii="Times New Roman" w:hAnsi="Times New Roman" w:cs="Times New Roman"/>
          <w:sz w:val="24"/>
          <w:szCs w:val="24"/>
        </w:rPr>
        <w:t xml:space="preserve">ere MIM and MOM are parallel and form contact </w:t>
      </w:r>
      <w:r w:rsidRPr="002E26D2">
        <w:rPr>
          <w:rFonts w:ascii="Times New Roman" w:hAnsi="Times New Roman" w:cs="Times New Roman"/>
          <w:sz w:val="24"/>
          <w:szCs w:val="24"/>
        </w:rPr>
        <w:lastRenderedPageBreak/>
        <w:t xml:space="preserve">sites </w:t>
      </w:r>
      <w:r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{"citationItems":[{"id":"ITEM-1","itemData":{"DOI":"10.1016/S0167-4889(02)00263-X","ISSN":"01674889","PMID":"12191767","abstract":"Many essential functions of mitochondrial metabolism have been studied in the past three decades in considerable depth: oxidative phosphorylation, catabolism of fatty acids, role in nitrogen metabolism, and amino acid metabolism. More recently, other aspects attracted much attention like protein translocation into mitochondria, inheritance of mitochondrial DNA, movement of mitochondria, their fusion and fission, and their involvement in apoptosis, ageing, cancer and other cellular processes. Together with these new views on the function of mitochondria, new ideas on the structure of mitochondria emerged. Here we will discuss the current knowledge about how the membranes of mitochondria are organized and how they interact. Interactions between components of the inner and the outer membrane are necessary for a number of central mitochondrial functions such as the channeling of metabolites, coordinated fusion and fission of mitochondria, and protein transport. Some of these interactions appear stable such as the so-called morphological contact sites; others are quite dynamic. Direct evidence that a certain protein is part of morphologically defined contact sites is lacking. Nevertheless, protein translocase complexes of the outer and the inner membrane exhibit stable interactions between the two membranes when precursor proteins are arrested during import into mitochondria. Finally, we discuss possible roles of cristae junctions, another morphologically defined membrane structure in mitochondria. © 2002 Elsevier Science B.V. All rights reserved.","author":[{"dropping-particle":"","family":"Reichert","given":"Andreas S.","non-dropping-particle":"","parse-names":false,"suffix":""},{"dropping-particle":"","family":"Neupert","given":"Walter","non-dropping-particle":"","parse-names":false,"suffix":""}],"container-title":"Biochimica et Biophysica Acta (BBA) - Molecular Cell Research","id":"ITEM-1","issue":"1","issued":{"date-parts":[["2002","9","2"]]},"page":"41-49","title":"Contact sites between the outer and inner membrane of mitochondria—role in protein transport","type":"article-journal","volume":"1592"},"uris":["http://www.mendeley.com/documents/?uuid=da4c6937-cebb-3220-8422-0b96a861d27e"]}],"mendeley":{"formattedCitation":"[35]","plainTextFormattedCitation":"[35]","previouslyFormattedCitation":"[35]"},"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[35]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It is believed that IBM host numerous carriers important for efficient exchanges between cytosol and mitochondria, including</w:t>
      </w:r>
      <w:r w:rsidR="000174E8">
        <w:rPr>
          <w:rFonts w:ascii="Times New Roman" w:hAnsi="Times New Roman" w:cs="Times New Roman"/>
          <w:sz w:val="24"/>
          <w:szCs w:val="24"/>
        </w:rPr>
        <w:t>,</w:t>
      </w:r>
      <w:r w:rsidRPr="002E26D2">
        <w:rPr>
          <w:rFonts w:ascii="Times New Roman" w:hAnsi="Times New Roman" w:cs="Times New Roman"/>
          <w:sz w:val="24"/>
          <w:szCs w:val="24"/>
        </w:rPr>
        <w:t xml:space="preserve"> among others</w:t>
      </w:r>
      <w:r w:rsidR="000174E8">
        <w:rPr>
          <w:rFonts w:ascii="Times New Roman" w:hAnsi="Times New Roman" w:cs="Times New Roman"/>
          <w:sz w:val="24"/>
          <w:szCs w:val="24"/>
        </w:rPr>
        <w:t>,</w:t>
      </w:r>
      <w:r w:rsidRPr="002E26D2">
        <w:rPr>
          <w:rFonts w:ascii="Times New Roman" w:hAnsi="Times New Roman" w:cs="Times New Roman"/>
          <w:sz w:val="24"/>
          <w:szCs w:val="24"/>
        </w:rPr>
        <w:t xml:space="preserve"> protein translocase supercomplexes (</w:t>
      </w:r>
      <w:r w:rsidR="00D11563" w:rsidRPr="002E26D2">
        <w:rPr>
          <w:rFonts w:ascii="Times New Roman" w:hAnsi="Times New Roman" w:cs="Times New Roman"/>
          <w:sz w:val="24"/>
          <w:szCs w:val="24"/>
        </w:rPr>
        <w:t xml:space="preserve">translocase of the inner membrane / translocase of the outer membrane, </w:t>
      </w:r>
      <w:r w:rsidR="00FA5FA7" w:rsidRPr="002E26D2">
        <w:rPr>
          <w:rFonts w:ascii="Times New Roman" w:hAnsi="Times New Roman" w:cs="Times New Roman"/>
          <w:sz w:val="24"/>
          <w:szCs w:val="24"/>
        </w:rPr>
        <w:t>(</w:t>
      </w:r>
      <w:r w:rsidRPr="002E26D2">
        <w:rPr>
          <w:rFonts w:ascii="Times New Roman" w:hAnsi="Times New Roman" w:cs="Times New Roman"/>
          <w:sz w:val="24"/>
          <w:szCs w:val="24"/>
        </w:rPr>
        <w:t>TIM/TOM</w:t>
      </w:r>
      <w:r w:rsidR="00FA5FA7" w:rsidRPr="002E26D2">
        <w:rPr>
          <w:rFonts w:ascii="Times New Roman" w:hAnsi="Times New Roman" w:cs="Times New Roman"/>
          <w:sz w:val="24"/>
          <w:szCs w:val="24"/>
        </w:rPr>
        <w:t>)</w:t>
      </w:r>
      <w:r w:rsidRPr="002E26D2">
        <w:rPr>
          <w:rFonts w:ascii="Times New Roman" w:hAnsi="Times New Roman" w:cs="Times New Roman"/>
          <w:sz w:val="24"/>
          <w:szCs w:val="24"/>
        </w:rPr>
        <w:t>), metabolite carriers (</w:t>
      </w:r>
      <w:r w:rsidR="00D11563" w:rsidRPr="002E26D2">
        <w:rPr>
          <w:rFonts w:ascii="Times New Roman" w:hAnsi="Times New Roman" w:cs="Times New Roman"/>
          <w:sz w:val="24"/>
          <w:szCs w:val="24"/>
        </w:rPr>
        <w:t xml:space="preserve">adenine nucleotide translocator </w:t>
      </w:r>
      <w:r w:rsidR="00FA5FA7" w:rsidRPr="002E26D2">
        <w:rPr>
          <w:rFonts w:ascii="Times New Roman" w:hAnsi="Times New Roman" w:cs="Times New Roman"/>
          <w:sz w:val="24"/>
          <w:szCs w:val="24"/>
        </w:rPr>
        <w:t>(</w:t>
      </w:r>
      <w:r w:rsidRPr="002E26D2">
        <w:rPr>
          <w:rFonts w:ascii="Times New Roman" w:hAnsi="Times New Roman" w:cs="Times New Roman"/>
          <w:sz w:val="24"/>
          <w:szCs w:val="24"/>
        </w:rPr>
        <w:t>ANT</w:t>
      </w:r>
      <w:r w:rsidR="00FA5FA7" w:rsidRPr="002E26D2">
        <w:rPr>
          <w:rFonts w:ascii="Times New Roman" w:hAnsi="Times New Roman" w:cs="Times New Roman"/>
          <w:sz w:val="24"/>
          <w:szCs w:val="24"/>
        </w:rPr>
        <w:t>)</w:t>
      </w:r>
      <w:r w:rsidRPr="002E26D2">
        <w:rPr>
          <w:rFonts w:ascii="Times New Roman" w:hAnsi="Times New Roman" w:cs="Times New Roman"/>
          <w:sz w:val="24"/>
          <w:szCs w:val="24"/>
        </w:rPr>
        <w:t xml:space="preserve">, </w:t>
      </w:r>
      <w:r w:rsidR="00FA5FA7" w:rsidRPr="002E26D2">
        <w:rPr>
          <w:rFonts w:ascii="Times New Roman" w:hAnsi="Times New Roman" w:cs="Times New Roman"/>
          <w:sz w:val="24"/>
          <w:szCs w:val="24"/>
        </w:rPr>
        <w:t>mitochondrial creatine kinase (</w:t>
      </w:r>
      <w:r w:rsidRPr="002E26D2">
        <w:rPr>
          <w:rFonts w:ascii="Times New Roman" w:hAnsi="Times New Roman" w:cs="Times New Roman"/>
          <w:sz w:val="24"/>
          <w:szCs w:val="24"/>
        </w:rPr>
        <w:t>mtCK</w:t>
      </w:r>
      <w:r w:rsidR="00FA5FA7" w:rsidRPr="002E26D2">
        <w:rPr>
          <w:rFonts w:ascii="Times New Roman" w:hAnsi="Times New Roman" w:cs="Times New Roman"/>
          <w:sz w:val="24"/>
          <w:szCs w:val="24"/>
        </w:rPr>
        <w:t>)</w:t>
      </w:r>
      <w:r w:rsidRPr="002E26D2">
        <w:rPr>
          <w:rFonts w:ascii="Times New Roman" w:hAnsi="Times New Roman" w:cs="Times New Roman"/>
          <w:sz w:val="24"/>
          <w:szCs w:val="24"/>
        </w:rPr>
        <w:t xml:space="preserve">) and ions channels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{"citationItems":[{"id":"ITEM-1","itemData":{"DOI":"10.1016/S0167-4889(02)00263-X","ISSN":"01674889","PMID":"12191767","abstract":"Many essential functions of mitochondrial metabolism have been studied in the past three decades in considerable depth: oxidative phosphorylation, catabolism of fatty acids, role in nitrogen metabolism, and amino acid metabolism. More recently, other aspects attracted much attention like protein translocation into mitochondria, inheritance of mitochondrial DNA, movement of mitochondria, their fusion and fission, and their involvement in apoptosis, ageing, cancer and other cellular processes. Together with these new views on the function of mitochondria, new ideas on the structure of mitochondria emerged. Here we will discuss the current knowledge about how the membranes of mitochondria are organized and how they interact. Interactions between components of the inner and the outer membrane are necessary for a number of central mitochondrial functions such as the channeling of metabolites, coordinated fusion and fission of mitochondria, and protein transport. Some of these interactions appear stable such as the so-called morphological contact sites; others are quite dynamic. Direct evidence that a certain protein is part of morphologically defined contact sites is lacking. Nevertheless, protein translocase complexes of the outer and the inner membrane exhibit stable interactions between the two membranes when precursor proteins are arrested during import into mitochondria. Finally, we discuss possible roles of cristae junctions, another morphologically defined membrane structure in mitochondria. © 2002 Elsevier Science B.V. All rights reserved.","author":[{"dropping-particle":"","family":"Reichert","given":"Andreas S.","non-dropping-particle":"","parse-names":false,"suffix":""},{"dropping-particle":"","family":"Neupert","given":"Walter","non-dropping-particle":"","parse-names":false,"suffix":""}],"container-title":"Biochimica et Biophysica Acta (BBA) - Molecular Cell Research","id":"ITEM-1","issue":"1","issued":{"date-parts":[["2002","9","2"]]},"page":"41-49","title":"Contact sites between the outer and inner membrane of mitochondria—role in protein transport","type":"article-journal","volume":"1592"},"uris":["http://www.mendeley.com/documents/?uuid=da4c6937-cebb-3220-8422-0b96a861d27e"]},{"id":"ITEM-2","itemData":{"DOI":"10.1186/s12915-015-0201-x","ISSN":"1741-7007","PMID":"26515107","abstract":"Biological energy conversion in mitochondria is carried out by the membrane protein complexes of the respiratory chain and the mitochondrial ATP synthase in the inner membrane cristae. Recent advances in electron cryomicroscopy have made possible new insights into the structural and functional arrangement of these complexes in the membrane, and how they change with age. This review places these advances in the context of what is already known, and discusses the fundamental questions that remain open but can now be approached.","author":[{"dropping-particle":"","family":"Kühlbrandt","given":"Werner","non-dropping-particle":"","parse-names":false,"suffix":""}],"container-title":"BMC Biology","id":"ITEM-2","issue":"1","issued":{"date-parts":[["2015","12","29"]]},"page":"89","publisher":"BioMed Central Ltd.","title":"Structure and function of mitochondrial membrane protein complexes","type":"article-journal","volume":"13"},"uris":["http://www.mendeley.com/documents/?uuid=10d844d2-a41f-32b5-92d4-6645fb17fcdf"]}],"mendeley":{"formattedCitation":"[35,36]","plainTextFormattedCitation":"[35,36]","previouslyFormattedCitation":"[35,36]"},"properties":{"noteIndex":0},"schema":"https://github.com/citation-style-language/schema/raw/master/csl-citation.json"}</w:instrText>
      </w:r>
      <w:r w:rsidRPr="002E26D2">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[35,36]</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37DE4629" w14:textId="0810D225"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matrix compartment hosts the entire mitochondrial genetic system. The mitochondrial DNA (mtDNA) and transcription machinery forms the nucleoid. The transcribed </w:t>
      </w:r>
      <w:r w:rsidR="00C44198">
        <w:rPr>
          <w:rFonts w:ascii="Times New Roman" w:hAnsi="Times New Roman" w:cs="Times New Roman"/>
          <w:sz w:val="24"/>
          <w:szCs w:val="24"/>
        </w:rPr>
        <w:t xml:space="preserve">polycistronic </w:t>
      </w:r>
      <w:r w:rsidRPr="002E26D2">
        <w:rPr>
          <w:rFonts w:ascii="Times New Roman" w:hAnsi="Times New Roman" w:cs="Times New Roman"/>
          <w:sz w:val="24"/>
          <w:szCs w:val="24"/>
        </w:rPr>
        <w:t>RNA is processed in the RNA granule</w:t>
      </w:r>
      <w:r w:rsidR="00C44198">
        <w:rPr>
          <w:rFonts w:ascii="Times New Roman" w:hAnsi="Times New Roman" w:cs="Times New Roman"/>
          <w:sz w:val="24"/>
          <w:szCs w:val="24"/>
        </w:rPr>
        <w:t>,</w:t>
      </w:r>
      <w:r w:rsidRPr="002E26D2">
        <w:rPr>
          <w:rFonts w:ascii="Times New Roman" w:hAnsi="Times New Roman" w:cs="Times New Roman"/>
          <w:sz w:val="24"/>
          <w:szCs w:val="24"/>
        </w:rPr>
        <w:t xml:space="preserve"> where mitoribosomes are also assembled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{"citationItems":[{"id":"ITEM-1","itemData":{"DOI":"10.3390/ijms20092221","ISSN":"1422-0067","PMID":"31064115","abstract":"Although the large majority of mitochondrial proteins are nuclear encoded, for their correct functioning mitochondria require the expression of 13 proteins, two rRNA, and 22 tRNA codified by mitochondrial DNA (mtDNA). Once transcribed, mitochondrial RNA (mtRNA) is processed, mito-ribosomes are assembled, and mtDNA-encoded proteins belonging to the respiratory chain are synthesized. These processes require the coordinated spatio-temporal action of several enzymes, and many different factors are involved in the regulation and control of protein synthesis and in the stability and turnover of mitochondrial RNA. In this review, we describe the essential steps of mitochondrial RNA synthesis, maturation, and degradation, the factors controlling these processes, and how the alteration of these processes is associated with human pathologies.","author":[{"dropping-particle":"","family":"Barchiesi","given":"Arianna","non-dropping-particle":"","parse-names":false,"suffix":""},{"dropping-particle":"","family":"Vascotto","given":"Carlo","non-dropping-particle":"","parse-names":false,"suffix":""}],"container-title":"International Journal of Molecular Sciences","id":"ITEM-1","issue":"9","issued":{"date-parts":[["2019","5","6"]]},"page":"2221","publisher":"Multidisciplinary Digital Publishing Institute (MDPI)","title":"Transcription, Processing, and Decay of Mitochondrial RNA in Health and Disease","type":"article-journal","volume":"20"},"uris":["http://www.mendeley.com/documents/?uuid=52b633b9-5cf9-3f22-a380-b47bd3df763e"]},{"id":"ITEM-2","itemData":{"DOI":"10.3390/ijms22179502","ISSN":"1422-0067","PMID":"34502411","abstract":"The human mitochondrial genome (mtDNA) regulates its transcription products in specialised and distinct ways as compared to nuclear transcription. Thanks to its mtDNA mitochondria possess their own set of tRNAs, rRNAs and mRNAs that encode a subset of the protein subunits of the electron transport chain complexes. The RNA regulation within mitochondria is organised within specialised, membraneless, compartments of RNA-protein complexes, called the Mitochondrial RNA Granules (MRGs). MRGs were first identified to contain nascent mRNA, complexed with many proteins involved in RNA processing and maturation and ribosome assembly. Most recently, double-stranded RNA (dsRNA) species, a hybrid of the two complementary mRNA strands, were found to form granules in the matrix of mitochondria. These RNA granules are therefore components of the mitochondrial post-transcriptional pathway and as such play an essential role in mitochondrial gene expression. Mitochondrial dysfunctions in the form of, for example, RNA processing or RNA quality control defects, or inhibition of mitochondrial fission, can cause the loss or the aberrant accumulation of these RNA granules. These findings underline the important link between mitochondrial maintenance and the efficient expression of its genome.","author":[{"dropping-particle":"","family":"Xavier","given":"Vanessa Joanne","non-dropping-particle":"","parse-names":false,"suffix":""},{"dropping-particle":"","family":"Martinou","given":"Jean-Claude","non-dropping-particle":"","parse-names":false,"suffix":""}],"container-title":"International Journal of Molecular Sciences","id":"ITEM-2","issue":"17","issued":{"date-parts":[["2021","9","1"]]},"page":"9502","publisher":"Multidisciplinary Digital Publishing Institute","title":"RNA Granules in the Mitochondria and Their Organization under Mitochondrial Stresses","type":"article-journal","volume":"22"},"uris":["http://www.mendeley.com/documents/?uuid=059fae8a-850d-3053-aaa4-bf1c22f5e1ca"]}],"mendeley":{"formattedCitation":"[37,38]","plainTextFormattedCitation":"[37,38]","previouslyFormattedCitation":"[37,38]"},"properties":{"noteIndex":0},"schema":"https://github.com/citation-style-language/schema/raw/master/csl-citation.json"}</w:instrText>
      </w:r>
      <w:r w:rsidRPr="002E26D2">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[37,38]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protein translation occurs in the vicinity of the MIM, where mature mitoribosomes are localized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{"citationItems":[{"id":"ITEM-1","itemData":{"DOI":"10.1126/science.abe0763","ISSN":"0036-8075","PMID":"33602856","abstract":"Within a mitochondrion, the powerhouse of eukaryotic cells, synthesis of the specialized transmembrane proteins of the electron transport chain is performed by dedicated mitoribosomes. The mechanism by which mitoribosomes couple protein synthesis with membrane insertion is poorly understood. Itoh et al. determined structures of the human mitoribosome during nascent chain synthesis while bound to its membrane insertase. These structures revealed a series of coordinated conformational changes within the polypeptide exit tunnel. The gating mechanism offers a fundamental molecular insight into how membrane proteins are synthesized in human mitochondria.","author":[{"dropping-particle":"","family":"Itoh","given":"Yuzuru","non-dropping-particle":"","parse-names":false,"suffix":""},{"dropping-particle":"","family":"Andréll","given":"Juni","non-dropping-particle":"","parse-names":false,"suffix":""},{"dropping-particle":"","family":"Choi","given":"Austin","non-dropping-particle":"","parse-names":false,"suffix":""},{"dropping-particle":"","family":"Richter","given":"Uwe","non-dropping-particle":"","parse-names":false,"suffix":""},{"dropping-particle":"","family":"Maiti","given":"Priyanka","non-dropping-particle":"","parse-names":false,"suffix":""},{"dropping-particle":"","family":"Best","given":"Robert B.","non-dropping-particle":"","parse-names":false,"suffix":""},{"dropping-particle":"","family":"Barrientos","given":"Antoni","non-dropping-particle":"","parse-names":false,"suffix":""},{"dropping-particle":"","family":"Battersby","given":"Brendan J.","non-dropping-particle":"","parse-names":false,"suffix":""},{"dropping-particle":"","family":"Amunts","given":"Alexey","non-dropping-particle":"","parse-names":false,"suffix":""}],"container-title":"Science","id":"ITEM-1","issue":"6531","issued":{"date-parts":[["2021","2","19"]]},"page":"846-849","publisher":"Europe PMC Funders","title":"Mechanism of membrane-tethered mitochondrial protein synthesis","type":"article-journal","volume":"371"},"uris":["http://www.mendeley.com/documents/?uuid=f496fe38-3456-3fe6-8a90-8b05693634ef"]}],"mendeley":{"formattedCitation":"[39]","plainTextFormattedCitation":"[39]","previouslyFormattedCitation":"[39]"},"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[39]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Matrix is the site for numerous metabolic processes, including the Krebs cycle and the </w:t>
      </w:r>
      <w:r w:rsidR="00BD2BE2" w:rsidRPr="00BD2BE2">
        <w:rPr>
          <w:rFonts w:ascii="Times New Roman" w:hAnsi="Times New Roman" w:cs="Times New Roman"/>
          <w:sz w:val="24"/>
          <w:szCs w:val="24"/>
        </w:rPr>
        <w:t>β</w:t>
      </w:r>
      <w:r w:rsidR="00BD2BE2">
        <w:rPr>
          <w:rFonts w:ascii="Times New Roman" w:hAnsi="Times New Roman" w:cs="Times New Roman"/>
          <w:sz w:val="24"/>
          <w:szCs w:val="24"/>
        </w:rPr>
        <w:t>-</w:t>
      </w:r>
      <w:r w:rsidRPr="002E26D2">
        <w:rPr>
          <w:rFonts w:ascii="Times New Roman" w:hAnsi="Times New Roman" w:cs="Times New Roman"/>
          <w:sz w:val="24"/>
          <w:szCs w:val="24"/>
        </w:rPr>
        <w:t>oxidation of fatty acids. The aerobic respiration leads to the massive production of ATP, within the matrix, as described in the section</w:t>
      </w:r>
      <w:r w:rsidR="00EC3B20" w:rsidRPr="002E26D2">
        <w:rPr>
          <w:rFonts w:ascii="Times New Roman" w:hAnsi="Times New Roman" w:cs="Times New Roman"/>
          <w:sz w:val="24"/>
          <w:szCs w:val="24"/>
        </w:rPr>
        <w:t xml:space="preserve"> </w:t>
      </w:r>
      <w:r w:rsidRPr="002E26D2">
        <w:rPr>
          <w:rFonts w:ascii="Times New Roman" w:hAnsi="Times New Roman" w:cs="Times New Roman"/>
          <w:sz w:val="24"/>
          <w:szCs w:val="24"/>
        </w:rPr>
        <w:t>(</w:t>
      </w:r>
      <w:r w:rsidR="00A3721F" w:rsidRPr="002E26D2">
        <w:rPr>
          <w:rFonts w:ascii="Times New Roman" w:hAnsi="Times New Roman" w:cs="Times New Roman"/>
          <w:sz w:val="24"/>
          <w:szCs w:val="24"/>
        </w:rPr>
        <w:fldChar w:fldCharType="begin"/>
      </w:r>
      <w:r w:rsidR="00A3721F" w:rsidRPr="002E26D2">
        <w:rPr>
          <w:rFonts w:ascii="Times New Roman" w:hAnsi="Times New Roman" w:cs="Times New Roman"/>
          <w:sz w:val="24"/>
          <w:szCs w:val="24"/>
        </w:rPr>
        <w:instrText xml:space="preserve"> REF _Ref106010830 \r \h </w:instrText>
      </w:r>
      <w:r w:rsidR="002E26D2" w:rsidRPr="002E26D2">
        <w:rPr>
          <w:rFonts w:ascii="Times New Roman" w:hAnsi="Times New Roman" w:cs="Times New Roman"/>
          <w:sz w:val="24"/>
          <w:szCs w:val="24"/>
        </w:rPr>
        <w:instrText xml:space="preserve"> \* MERGEFORMAT </w:instrText>
      </w:r>
      <w:r w:rsidR="00A3721F" w:rsidRPr="002E26D2">
        <w:rPr>
          <w:rFonts w:ascii="Times New Roman" w:hAnsi="Times New Roman" w:cs="Times New Roman"/>
          <w:sz w:val="24"/>
          <w:szCs w:val="24"/>
        </w:rPr>
      </w:r>
      <w:r w:rsidR="00A3721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2.1.6.2</w:t>
      </w:r>
      <w:r w:rsidR="00A3721F"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r w:rsidR="00EC3B20" w:rsidRPr="002E26D2">
        <w:rPr>
          <w:rFonts w:ascii="Times New Roman" w:hAnsi="Times New Roman" w:cs="Times New Roman"/>
          <w:sz w:val="24"/>
          <w:szCs w:val="24"/>
        </w:rPr>
        <w:t>.</w:t>
      </w:r>
    </w:p>
    <w:p w14:paraId="3AA6DA64" w14:textId="77777777" w:rsidR="00A91FA8"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76E7D63E" wp14:editId="49130CEB">
            <wp:extent cx="4212000" cy="4335192"/>
            <wp:effectExtent l="0" t="0" r="0" b="8255"/>
            <wp:docPr id="14" name="Picture 13">
              <a:extLst xmlns:a="http://schemas.openxmlformats.org/drawingml/2006/main">
                <a:ext uri="{FF2B5EF4-FFF2-40B4-BE49-F238E27FC236}">
                  <a16:creationId xmlns:a16="http://schemas.microsoft.com/office/drawing/2014/main" id="{B7DB91E7-A7EF-488F-ACBB-D06701AB11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B7DB91E7-A7EF-488F-ACBB-D06701AB1157}"/>
                        </a:ext>
                      </a:extLst>
                    </pic:cNvPr>
                    <pic:cNvPicPr>
                      <a:picLocks noChangeAspect="1"/>
                    </pic:cNvPicPr>
                  </pic:nvPicPr>
                  <pic:blipFill>
                    <a:blip r:embed="rId13"/>
                    <a:stretch>
                      <a:fillRect/>
                    </a:stretch>
                  </pic:blipFill>
                  <pic:spPr>
                    <a:xfrm>
                      <a:off x="0" y="0"/>
                      <a:ext cx="4212000" cy="4335192"/>
                    </a:xfrm>
                    <a:prstGeom prst="rect">
                      <a:avLst/>
                    </a:prstGeom>
                  </pic:spPr>
                </pic:pic>
              </a:graphicData>
            </a:graphic>
          </wp:inline>
        </w:drawing>
      </w:r>
    </w:p>
    <w:p w14:paraId="7446B658" w14:textId="2EA6BE69" w:rsidR="00AC4DFA" w:rsidRPr="002E26D2" w:rsidRDefault="00A91FA8" w:rsidP="004927BB">
      <w:pPr>
        <w:pStyle w:val="Caption"/>
        <w:spacing w:line="360" w:lineRule="auto"/>
        <w:rPr>
          <w:rFonts w:ascii="Times New Roman" w:hAnsi="Times New Roman" w:cs="Times New Roman"/>
          <w:sz w:val="24"/>
          <w:szCs w:val="24"/>
        </w:rPr>
      </w:pPr>
      <w:bookmarkStart w:id="6" w:name="_Ref106009081"/>
      <w:r w:rsidRPr="002E26D2">
        <w:rPr>
          <w:rFonts w:ascii="Times New Roman" w:hAnsi="Times New Roman" w:cs="Times New Roman"/>
          <w:sz w:val="24"/>
          <w:szCs w:val="24"/>
        </w:rPr>
        <w:t xml:space="preserve">Figure </w:t>
      </w:r>
      <w:r w:rsidRPr="00C73EB9">
        <w:rPr>
          <w:rFonts w:ascii="Times New Roman" w:hAnsi="Times New Roman" w:cs="Times New Roman"/>
          <w:sz w:val="24"/>
          <w:szCs w:val="24"/>
        </w:rPr>
        <w:fldChar w:fldCharType="begin"/>
      </w:r>
      <w:r w:rsidRPr="00C73EB9">
        <w:rPr>
          <w:rFonts w:ascii="Times New Roman" w:hAnsi="Times New Roman" w:cs="Times New Roman"/>
          <w:sz w:val="24"/>
          <w:szCs w:val="24"/>
        </w:rPr>
        <w:instrText xml:space="preserve"> SEQ Figure \* ARABIC </w:instrText>
      </w:r>
      <w:r w:rsidRPr="00C73EB9">
        <w:rPr>
          <w:rFonts w:ascii="Times New Roman" w:hAnsi="Times New Roman" w:cs="Times New Roman"/>
          <w:sz w:val="24"/>
          <w:szCs w:val="24"/>
        </w:rPr>
        <w:fldChar w:fldCharType="separate"/>
      </w:r>
      <w:r w:rsidR="00790F77">
        <w:rPr>
          <w:rFonts w:ascii="Times New Roman" w:hAnsi="Times New Roman" w:cs="Times New Roman"/>
          <w:noProof/>
          <w:sz w:val="24"/>
          <w:szCs w:val="24"/>
        </w:rPr>
        <w:t>1</w:t>
      </w:r>
      <w:r w:rsidRPr="00C73EB9">
        <w:rPr>
          <w:rFonts w:ascii="Times New Roman" w:hAnsi="Times New Roman" w:cs="Times New Roman"/>
          <w:sz w:val="24"/>
          <w:szCs w:val="24"/>
        </w:rPr>
        <w:fldChar w:fldCharType="end"/>
      </w:r>
      <w:bookmarkStart w:id="7" w:name="_Ref105750824"/>
      <w:bookmarkEnd w:id="6"/>
      <w:r w:rsidRPr="00C73EB9">
        <w:rPr>
          <w:rFonts w:ascii="Times New Roman" w:hAnsi="Times New Roman" w:cs="Times New Roman"/>
          <w:sz w:val="24"/>
          <w:szCs w:val="24"/>
        </w:rPr>
        <w:t xml:space="preserve"> </w:t>
      </w:r>
      <w:r w:rsidR="00AC4DFA" w:rsidRPr="00C73EB9">
        <w:rPr>
          <w:rStyle w:val="SubtitleChar"/>
          <w:rFonts w:ascii="Times New Roman" w:hAnsi="Times New Roman" w:cs="Times New Roman"/>
          <w:sz w:val="24"/>
          <w:szCs w:val="24"/>
          <w:u w:val="single"/>
        </w:rPr>
        <w:t>:</w:t>
      </w:r>
      <w:r w:rsidR="00AC4DFA" w:rsidRPr="00C73EB9">
        <w:rPr>
          <w:rFonts w:ascii="Times New Roman" w:hAnsi="Times New Roman" w:cs="Times New Roman"/>
          <w:sz w:val="24"/>
          <w:szCs w:val="24"/>
          <w:u w:val="single"/>
        </w:rPr>
        <w:t xml:space="preserve"> The mitochondrial structure</w:t>
      </w:r>
      <w:r w:rsidR="00C73EB9">
        <w:rPr>
          <w:rFonts w:ascii="Times New Roman" w:hAnsi="Times New Roman" w:cs="Times New Roman"/>
          <w:sz w:val="24"/>
          <w:szCs w:val="24"/>
          <w:u w:val="single"/>
        </w:rPr>
        <w:t>.</w:t>
      </w:r>
      <w:r w:rsidR="00AC4DFA" w:rsidRPr="002E26D2">
        <w:rPr>
          <w:rFonts w:ascii="Times New Roman" w:hAnsi="Times New Roman" w:cs="Times New Roman"/>
          <w:sz w:val="24"/>
          <w:szCs w:val="24"/>
        </w:rPr>
        <w:t xml:space="preserve"> </w:t>
      </w:r>
      <w:r w:rsidR="00C73EB9">
        <w:rPr>
          <w:rFonts w:ascii="Times New Roman" w:hAnsi="Times New Roman" w:cs="Times New Roman"/>
          <w:sz w:val="24"/>
          <w:szCs w:val="24"/>
        </w:rPr>
        <w:t>T</w:t>
      </w:r>
      <w:r w:rsidR="00AC4DFA" w:rsidRPr="002E26D2">
        <w:rPr>
          <w:rFonts w:ascii="Times New Roman" w:hAnsi="Times New Roman" w:cs="Times New Roman"/>
          <w:sz w:val="24"/>
          <w:szCs w:val="24"/>
        </w:rPr>
        <w:t>he mitochondrial outer membrane (MOM), mitochondrial inner membrane (MIM), inner boundary membrane (IBM), cristae junctions (CJ), intermembrane space (IMS), cristae and mitochondrial matrix are indicated. (adapted from Protasoni</w:t>
      </w:r>
      <w:r w:rsidR="00020D31">
        <w:rPr>
          <w:rFonts w:ascii="Times New Roman" w:hAnsi="Times New Roman" w:cs="Times New Roman"/>
          <w:sz w:val="24"/>
          <w:szCs w:val="24"/>
        </w:rPr>
        <w:t xml:space="preserve"> et al.,</w:t>
      </w:r>
      <w:r w:rsidR="00AC4DFA" w:rsidRPr="002E26D2">
        <w:rPr>
          <w:rFonts w:ascii="Times New Roman" w:hAnsi="Times New Roman" w:cs="Times New Roman"/>
          <w:sz w:val="24"/>
          <w:szCs w:val="24"/>
        </w:rPr>
        <w:t xml:space="preserve"> 2021) </w:t>
      </w:r>
      <w:r w:rsidR="00AC4DFA"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{"citationItems":[{"id":"ITEM-1","itemData":{"DOI":"10.3390/ijms22020586","ISSN":"1422-0067","PMID":"33435522","abstract":"Mitochondria are ubiquitous intracellular organelles found in almost all eukaryotes and involved in various aspects of cellular life, with a primary role in energy production. The interest in this organelle has grown stronger with the discovery of their link to various pathologies, including cancer, aging and neurodegenerative diseases. Indeed, dysfunctional mitochondria cannot provide the required energy to tissues with a high-energy demand, such as heart, brain and muscles, leading to a large spectrum of clinical phenotypes. Mitochondrial defects are at the origin of a group of clinically heterogeneous pathologies, called mitochondrial diseases, with an incidence of 1 in 5000 live births. Primary mitochondrial diseases are associated with genetic mutations both in nuclear and mitochondrial DNA (mtDNA), affecting genes involved in every aspect of the organelle function. As a consequence, it is difficult to find a common cause for mitochondrial diseases and, subsequently, to offer a precise clinical definition of the pathology. Moreover, the complexity of this condition makes it challenging to identify possible therapies or drug targets.","author":[{"dropping-particle":"","family":"Protasoni","given":"Margherita","non-dropping-particle":"","parse-names":false,"suffix":""},{"dropping-particle":"","family":"Zeviani","given":"Massimo","non-dropping-particle":"","parse-names":false,"suffix":""}],"container-title":"International Journal of Molecular Sciences","id":"ITEM-1","issue":"2","issued":{"date-parts":[["2021","1","8"]]},"page":"586","title":"Mitochondrial Structure and Bioenergetics in Normal and Disease Conditions","type":"article-journal","volume":"22"},"uris":["http://www.mendeley.com/documents/?uuid=8a2a3aa5-6a12-48e1-923b-aec751e121dd"]}],"mendeley":{"formattedCitation":"[40]","plainTextFormattedCitation":"[40]","previouslyFormattedCitation":"[40]"},"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1C3E62" w:rsidRPr="001C3E62">
        <w:rPr>
          <w:rFonts w:ascii="Times New Roman" w:hAnsi="Times New Roman" w:cs="Times New Roman"/>
          <w:i w:val="0"/>
          <w:noProof/>
          <w:sz w:val="24"/>
          <w:szCs w:val="24"/>
        </w:rPr>
        <w:t>[40]</w:t>
      </w:r>
      <w:r w:rsidR="00AC4DFA" w:rsidRPr="002E26D2">
        <w:rPr>
          <w:rFonts w:ascii="Times New Roman" w:hAnsi="Times New Roman" w:cs="Times New Roman"/>
          <w:sz w:val="24"/>
          <w:szCs w:val="24"/>
        </w:rPr>
        <w:fldChar w:fldCharType="end"/>
      </w:r>
      <w:bookmarkEnd w:id="7"/>
    </w:p>
    <w:p w14:paraId="57CE4D6C" w14:textId="72308653" w:rsidR="00AC4DFA" w:rsidRPr="003775DE" w:rsidRDefault="00AC4DFA" w:rsidP="003775DE">
      <w:pPr>
        <w:pStyle w:val="Heading3"/>
      </w:pPr>
      <w:bookmarkStart w:id="8" w:name="_Toc117153824"/>
      <w:r w:rsidRPr="003775DE">
        <w:lastRenderedPageBreak/>
        <w:t>Mitochondrial dynamic</w:t>
      </w:r>
      <w:bookmarkEnd w:id="8"/>
    </w:p>
    <w:p w14:paraId="207D0107" w14:textId="4990D6C0"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Mitochondria are dynamic organelles, and adjust their shape, distribution and size through coordinated fusion/fission events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{"citationItems":[{"id":"ITEM-1","itemData":{"DOI":"10.1042/EBC20170104","ISSN":"0071-1365","PMID":"30030364","abstract":"Mitochondria are highly dynamic organelles undergoing coordinated cycles of fission and fusion, referred as ‘mitochondrial dynamics’, in order to maintain their shape, distribution and size. Their transient and rapid morphological adaptations are crucial for many cellular processes such as cell cycle, immunity, apoptosis and mitochondrial quality control. Mutations in the core machinery components and defects in mitochondrial dynamics have been associated with numerous human diseases. These dynamic transitions are mainly ensured by large GTPases belonging to the Dynamin family. Mitochondrial fission is a multi-step process allowing the division of one mitochondrion in two daughter mitochondria. It is regulated by the recruitment of the GTPase Dynamin-related protein 1 (Drp1) by adaptors at actin- and endoplasmic reticulum-mediated mitochondrial constriction sites. Drp1 oligomerization followed by mitochondrial constriction leads to the recruitment of Dynamin 2 to terminate membrane scission. Inner mitochondrial membrane constriction has been proposed to be an independent process regulated by calcium influx. Mitochondrial fusion is driven by a two-step process with the outer mitochondrial membrane fusion mediated by mitofusins 1 and 2 followed by inner membrane fusion, mediated by optic atrophy 1. In addition to the role of membrane lipid composition, several members of the machinery can undergo post-translational modifications modulating these processes. Understanding the molecular mechanisms controlling mitochondrial dynamics is crucial to decipher how mitochondrial shape meets the function and to increase the knowledge on the molecular basis of diseases associated with morphology defects. This article will describe an overview of the molecular mechanisms that govern mitochondrial fission and fusion in mammals.","author":[{"dropping-particle":"","family":"Tilokani","given":"Lisa","non-dropping-particle":"","parse-names":false,"suffix":""},{"dropping-particle":"","family":"Nagashima","given":"Shun","non-dropping-particle":"","parse-names":false,"suffix":""},{"dropping-particle":"","family":"Paupe","given":"Vincent","non-dropping-particle":"","parse-names":false,"suffix":""},{"dropping-particle":"","family":"Prudent","given":"Julien","non-dropping-particle":"","parse-names":false,"suffix":""}],"container-title":"Essays in Biochemistry","editor":[{"dropping-particle":"","family":"Garone","given":"Caterina","non-dropping-particle":"","parse-names":false,"suffix":""},{"dropping-particle":"","family":"Minczuk","given":"Michal","non-dropping-particle":"","parse-names":false,"suffix":""}],"id":"ITEM-1","issue":"3","issued":{"date-parts":[["2018","7","20"]]},"page":"341-360","publisher":"Portland Press Ltd","title":"Mitochondrial dynamics: overview of molecular mechanisms","type":"article-journal","volume":"62"},"uris":["http://www.mendeley.com/documents/?uuid=99fd03a9-ff07-3f79-8882-44218371afec"]}],"mendeley":{"formattedCitation":"[41]","plainTextFormattedCitation":"[41]","previouslyFormattedCitation":"[41]"},"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fusion results in a long network of branched mitochondria, while fission leads to round and isolated mitochondria. The fusion/fission balance is dynamically tuned to meet the cellular needs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{"citationItems":[{"id":"ITEM-1","itemData":{"DOI":"10.3390/ijms22094617","ISSN":"1422-0067","PMID":"33924849","abstract":"Mitochondria are dynamic organelles, the morphology of which is tightly linked to their functions. The interplay between the coordinated events of fusion and fission that are collectively described as mitochondrial dynamics regulates mitochondrial morphology and adjusts mitochondrial function. Over the last few years, accruing evidence established a connection between dysregulated mitochondrial dynamics and disease development and progression. Defects in key components of the machinery mediating mitochondrial fusion and fission have been linked to a wide range of pathological conditions, such as insulin resistance and obesity, neurodegenerative diseases and cancer. Here, we provide an update on the molecular mechanisms promoting mitochondrial fusion and fission in mammals and discuss the emerging association of disturbed mitochondrial dynamics with human disease.","author":[{"dropping-particle":"","family":"Kyriakoudi","given":"Styliana","non-dropping-particle":"","parse-names":false,"suffix":""},{"dropping-particle":"","family":"Drousiotou","given":"Anthi","non-dropping-particle":"","parse-names":false,"suffix":""},{"dropping-particle":"","family":"Petrou","given":"Petros P.","non-dropping-particle":"","parse-names":false,"suffix":""}],"container-title":"International Journal of Molecular Sciences","id":"ITEM-1","issue":"9","issued":{"date-parts":[["2021","4","28"]]},"page":"4617","publisher":"Multidisciplinary Digital Publishing Institute","title":"When the Balance Tips: Dysregulation of Mitochondrial Dynamics as a Culprit in Disease","type":"article-journal","volume":"22"},"uris":["http://www.mendeley.com/documents/?uuid=70f709c2-68eb-3b4c-afb0-2eac56e23b26"]}],"mendeley":{"formattedCitation":"[42]","plainTextFormattedCitation":"[42]","previouslyFormattedCitation":"[42]"},"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rapid morphological changes of mitochondria are important for several cellular processes, including cell cycle and apoptosis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{"citationItems":[{"id":"ITEM-1","itemData":{"DOI":"10.1042/EBC20170104","ISSN":"0071-1365","PMID":"30030364","abstract":"Mitochondria are highly dynamic organelles undergoing coordinated cycles of fission and fusion, referred as ‘mitochondrial dynamics’, in order to maintain their shape, distribution and size. Their transient and rapid morphological adaptations are crucial for many cellular processes such as cell cycle, immunity, apoptosis and mitochondrial quality control. Mutations in the core machinery components and defects in mitochondrial dynamics have been associated with numerous human diseases. These dynamic transitions are mainly ensured by large GTPases belonging to the Dynamin family. Mitochondrial fission is a multi-step process allowing the division of one mitochondrion in two daughter mitochondria. It is regulated by the recruitment of the GTPase Dynamin-related protein 1 (Drp1) by adaptors at actin- and endoplasmic reticulum-mediated mitochondrial constriction sites. Drp1 oligomerization followed by mitochondrial constriction leads to the recruitment of Dynamin 2 to terminate membrane scission. Inner mitochondrial membrane constriction has been proposed to be an independent process regulated by calcium influx. Mitochondrial fusion is driven by a two-step process with the outer mitochondrial membrane fusion mediated by mitofusins 1 and 2 followed by inner membrane fusion, mediated by optic atrophy 1. In addition to the role of membrane lipid composition, several members of the machinery can undergo post-translational modifications modulating these processes. Understanding the molecular mechanisms controlling mitochondrial dynamics is crucial to decipher how mitochondrial shape meets the function and to increase the knowledge on the molecular basis of diseases associated with morphology defects. This article will describe an overview of the molecular mechanisms that govern mitochondrial fission and fusion in mammals.","author":[{"dropping-particle":"","family":"Tilokani","given":"Lisa","non-dropping-particle":"","parse-names":false,"suffix":""},{"dropping-particle":"","family":"Nagashima","given":"Shun","non-dropping-particle":"","parse-names":false,"suffix":""},{"dropping-particle":"","family":"Paupe","given":"Vincent","non-dropping-particle":"","parse-names":false,"suffix":""},{"dropping-particle":"","family":"Prudent","given":"Julien","non-dropping-particle":"","parse-names":false,"suffix":""}],"container-title":"Essays in Biochemistry","editor":[{"dropping-particle":"","family":"Garone","given":"Caterina","non-dropping-particle":"","parse-names":false,"suffix":""},{"dropping-particle":"","family":"Minczuk","given":"Michal","non-dropping-particle":"","parse-names":false,"suffix":""}],"id":"ITEM-1","issue":"3","issued":{"date-parts":[["2018","7","20"]]},"page":"341-360","publisher":"Portland Press Ltd","title":"Mitochondrial dynamics: overview of molecular mechanisms","type":"article-journal","volume":"62"},"uris":["http://www.mendeley.com/documents/?uuid=99fd03a9-ff07-3f79-8882-44218371afec"]}],"mendeley":{"formattedCitation":"[41]","plainTextFormattedCitation":"[41]","previouslyFormattedCitation":"[41]"},"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Fusion and fission are mainly controlled by GTPases of the dynamin family</w:t>
      </w:r>
      <w:r w:rsidR="008847D2" w:rsidRPr="002E26D2">
        <w:rPr>
          <w:rFonts w:ascii="Times New Roman" w:hAnsi="Times New Roman" w:cs="Times New Roman"/>
          <w:sz w:val="24"/>
          <w:szCs w:val="24"/>
        </w:rPr>
        <w:t xml:space="preserve"> </w:t>
      </w:r>
      <w:r w:rsidR="00910E24"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{"citationItems":[{"id":"ITEM-1","itemData":{"DOI":"10.1016/j.semcdb.2017.07.039","ISSN":"10849521","PMID":"28754444","abstract":"Distinct dynamin superfamily GTPases catalyze the constant fission and fusion of the elaborate mitochondrial networks that navigate the eukaryotic cytoplasm. Long believed to be the singular handiwork of dynamin-related protein 1 (Drp1), a cytosolic family member that transiently localizes to the mitochondrial surface, the execution of mitochondrial fission is now arguably believed to entail membrane remodeling events that are initiated upstream of Drp1 by ER-associated cytoskeletal networks and completed downstream by the prototypical dynamin, dynamin 2 (Dyn2). Recent developments in the field have also placed a sharp focus on the membrane microenvironment around the division apparatus and the potential facilitatory role of specific lipids in mitochondrial fission. Here, I will review current progress, as well as highlight the most visible gaps in knowledge, in elucidating the varied functions of the dynamin superfamily in the coordinated events of mitochondrial fission and fusion. The essential roles of protein and lipid cofactors are also highlighted.","author":[{"dropping-particle":"","family":"Ramachandran","given":"Rajesh","non-dropping-particle":"","parse-names":false,"suffix":""}],"container-title":"Seminars in Cell &amp; Developmental Biology","id":"ITEM-1","issued":{"date-parts":[["2018","4","1"]]},"page":"201-212","publisher":"NIH Public Access","title":"Mitochondrial dynamics: The dynamin superfamily and execution by collusion","type":"article-journal","volume":"76"},"uris":["http://www.mendeley.com/documents/?uuid=1bfbda48-e03d-3ddb-b78c-c38af9501594"]}],"mendeley":{"formattedCitation":"[43]","plainTextFormattedCitation":"[43]","previouslyFormattedCitation":"[43]"},"properties":{"noteIndex":0},"schema":"https://github.com/citation-style-language/schema/raw/master/csl-citation.json"}</w:instrText>
      </w:r>
      <w:r w:rsidR="00910E24"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[43]</w:t>
      </w:r>
      <w:r w:rsidR="00910E2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769D2662" w14:textId="4CC9B13C"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mitochondrial fission </w:t>
      </w:r>
      <w:r w:rsidR="009F1223" w:rsidRPr="002E26D2">
        <w:rPr>
          <w:rFonts w:ascii="Times New Roman" w:hAnsi="Times New Roman" w:cs="Times New Roman"/>
          <w:sz w:val="24"/>
          <w:szCs w:val="24"/>
        </w:rPr>
        <w:t>(</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_Ref106009090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w:t>
      </w:r>
      <w:r w:rsidR="001F33A6" w:rsidRPr="002E26D2">
        <w:rPr>
          <w:rFonts w:ascii="Times New Roman" w:hAnsi="Times New Roman" w:cs="Times New Roman"/>
          <w:sz w:val="24"/>
          <w:szCs w:val="24"/>
        </w:rPr>
        <w:fldChar w:fldCharType="end"/>
      </w:r>
      <w:r w:rsidR="009F1223" w:rsidRPr="002E26D2">
        <w:rPr>
          <w:rFonts w:ascii="Times New Roman" w:hAnsi="Times New Roman" w:cs="Times New Roman"/>
          <w:sz w:val="24"/>
          <w:szCs w:val="24"/>
        </w:rPr>
        <w:t xml:space="preserve">) </w:t>
      </w:r>
      <w:r w:rsidRPr="002E26D2">
        <w:rPr>
          <w:rFonts w:ascii="Times New Roman" w:hAnsi="Times New Roman" w:cs="Times New Roman"/>
          <w:sz w:val="24"/>
          <w:szCs w:val="24"/>
        </w:rPr>
        <w:t>results in the division of one mitochondrial filament into two or more daughter mitochondria. The main actor of fission is Drp1</w:t>
      </w:r>
      <w:r w:rsidR="002F1AD6" w:rsidRPr="002E26D2">
        <w:rPr>
          <w:rFonts w:ascii="Times New Roman" w:hAnsi="Times New Roman" w:cs="Times New Roman"/>
          <w:sz w:val="24"/>
          <w:szCs w:val="24"/>
        </w:rPr>
        <w:t xml:space="preserve"> (dynamin-related protein 1)</w:t>
      </w:r>
      <w:r w:rsidRPr="002E26D2">
        <w:rPr>
          <w:rFonts w:ascii="Times New Roman" w:hAnsi="Times New Roman" w:cs="Times New Roman"/>
          <w:sz w:val="24"/>
          <w:szCs w:val="24"/>
        </w:rPr>
        <w:t>, a cytosolic protein recruited at the MOM surface and driving membrane constriction via GTP hydrolysis. Fission takes place at the endoplasmic reticulum (ER)/mitochondria contact sites. The ER plays an important role in mitochondria pre-constriction</w:t>
      </w:r>
      <w:r w:rsidR="00C53C52"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{"citationItems":[{"id":"ITEM-1","itemData":{"DOI":"10.3390/ijms22094617","ISSN":"1422-0067","PMID":"33924849","abstract":"Mitochondria are dynamic organelles, the morphology of which is tightly linked to their functions. The interplay between the coordinated events of fusion and fission that are collectively described as mitochondrial dynamics regulates mitochondrial morphology and adjusts mitochondrial function. Over the last few years, accruing evidence established a connection between dysregulated mitochondrial dynamics and disease development and progression. Defects in key components of the machinery mediating mitochondrial fusion and fission have been linked to a wide range of pathological conditions, such as insulin resistance and obesity, neurodegenerative diseases and cancer. Here, we provide an update on the molecular mechanisms promoting mitochondrial fusion and fission in mammals and discuss the emerging association of disturbed mitochondrial dynamics with human disease.","author":[{"dropping-particle":"","family":"Kyriakoudi","given":"Styliana","non-dropping-particle":"","parse-names":false,"suffix":""},{"dropping-particle":"","family":"Drousiotou","given":"Anthi","non-dropping-particle":"","parse-names":false,"suffix":""},{"dropping-particle":"","family":"Petrou","given":"Petros P.","non-dropping-particle":"","parse-names":false,"suffix":""}],"container-title":"International Journal of Molecular Sciences","id":"ITEM-1","issue":"9","issued":{"date-parts":[["2021","4","28"]]},"page":"4617","publisher":"Multidisciplinary Digital Publishing Institute","title":"When the Balance Tips: Dysregulation of Mitochondrial Dynamics as a Culprit in Disease","type":"article-journal","volume":"22"},"uris":["http://www.mendeley.com/documents/?uuid=70f709c2-68eb-3b4c-afb0-2eac56e23b26"]},{"id":"ITEM-2","itemData":{"DOI":"10.1042/EBC20170104","ISSN":"0071-1365","PMID":"30030364","abstract":"Mitochondria are highly dynamic organelles undergoing coordinated cycles of fission and fusion, referred as ‘mitochondrial dynamics’, in order to maintain their shape, distribution and size. Their transient and rapid morphological adaptations are crucial for many cellular processes such as cell cycle, immunity, apoptosis and mitochondrial quality control. Mutations in the core machinery components and defects in mitochondrial dynamics have been associated with numerous human diseases. These dynamic transitions are mainly ensured by large GTPases belonging to the Dynamin family. Mitochondrial fission is a multi-step process allowing the division of one mitochondrion in two daughter mitochondria. It is regulated by the recruitment of the GTPase Dynamin-related protein 1 (Drp1) by adaptors at actin- and endoplasmic reticulum-mediated mitochondrial constriction sites. Drp1 oligomerization followed by mitochondrial constriction leads to the recruitment of Dynamin 2 to terminate membrane scission. Inner mitochondrial membrane constriction has been proposed to be an independent process regulated by calcium influx. Mitochondrial fusion is driven by a two-step process with the outer mitochondrial membrane fusion mediated by mitofusins 1 and 2 followed by inner membrane fusion, mediated by optic atrophy 1. In addition to the role of membrane lipid composition, several members of the machinery can undergo post-translational modifications modulating these processes. Understanding the molecular mechanisms controlling mitochondrial dynamics is crucial to decipher how mitochondrial shape meets the function and to increase the knowledge on the molecular basis of diseases associated with morphology defects. This article will describe an overview of the molecular mechanisms that govern mitochondrial fission and fusion in mammals.","author":[{"dropping-particle":"","family":"Tilokani","given":"Lisa","non-dropping-particle":"","parse-names":false,"suffix":""},{"dropping-particle":"","family":"Nagashima","given":"Shun","non-dropping-particle":"","parse-names":false,"suffix":""},{"dropping-particle":"","family":"Paupe","given":"Vincent","non-dropping-particle":"","parse-names":false,"suffix":""},{"dropping-particle":"","family":"Prudent","given":"Julien","non-dropping-particle":"","parse-names":false,"suffix":""}],"container-title":"Essays in Biochemistry","editor":[{"dropping-particle":"","family":"Garone","given":"Caterina","non-dropping-particle":"","parse-names":false,"suffix":""},{"dropping-particle":"","family":"Minczuk","given":"Michal","non-dropping-particle":"","parse-names":false,"suffix":""}],"id":"ITEM-2","issue":"3","issued":{"date-parts":[["2018","7","20"]]},"page":"341-360","publisher":"Portland Press Ltd","title":"Mitochondrial dynamics: overview of molecular mechanisms","type":"article-journal","volume":"62"},"uris":["http://www.mendeley.com/documents/?uuid=99fd03a9-ff07-3f79-8882-44218371afec"]}],"mendeley":{"formattedCitation":"[41,42]","plainTextFormattedCitation":"[41,42]","previouslyFormattedCitation":"[41,42]"},"properties":{"noteIndex":0},"schema":"https://github.com/citation-style-language/schema/raw/master/csl-citation.json"}</w:instrText>
      </w:r>
      <w:r w:rsidRPr="002E26D2">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[41,42]</w:t>
      </w:r>
      <w:r w:rsidRPr="002E26D2">
        <w:rPr>
          <w:rFonts w:ascii="Times New Roman" w:hAnsi="Times New Roman" w:cs="Times New Roman"/>
          <w:sz w:val="24"/>
          <w:szCs w:val="24"/>
        </w:rPr>
        <w:fldChar w:fldCharType="end"/>
      </w:r>
      <w:r w:rsidR="00C53C52" w:rsidRPr="002E26D2">
        <w:rPr>
          <w:rFonts w:ascii="Times New Roman" w:hAnsi="Times New Roman" w:cs="Times New Roman"/>
          <w:sz w:val="24"/>
          <w:szCs w:val="24"/>
        </w:rPr>
        <w:t>.</w:t>
      </w:r>
    </w:p>
    <w:p w14:paraId="05D66A54" w14:textId="4D30052A"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mitochondrial fusion </w:t>
      </w:r>
      <w:r w:rsidR="009F1223" w:rsidRPr="002E26D2">
        <w:rPr>
          <w:rFonts w:ascii="Times New Roman" w:hAnsi="Times New Roman" w:cs="Times New Roman"/>
          <w:sz w:val="24"/>
          <w:szCs w:val="24"/>
        </w:rPr>
        <w:t>(</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_Ref106009090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w:t>
      </w:r>
      <w:r w:rsidR="001F33A6" w:rsidRPr="002E26D2">
        <w:rPr>
          <w:rFonts w:ascii="Times New Roman" w:hAnsi="Times New Roman" w:cs="Times New Roman"/>
          <w:sz w:val="24"/>
          <w:szCs w:val="24"/>
        </w:rPr>
        <w:fldChar w:fldCharType="end"/>
      </w:r>
      <w:r w:rsidR="009F1223" w:rsidRPr="002E26D2">
        <w:rPr>
          <w:rFonts w:ascii="Times New Roman" w:hAnsi="Times New Roman" w:cs="Times New Roman"/>
          <w:sz w:val="24"/>
          <w:szCs w:val="24"/>
        </w:rPr>
        <w:t xml:space="preserve">) </w:t>
      </w:r>
      <w:r w:rsidRPr="002E26D2">
        <w:rPr>
          <w:rFonts w:ascii="Times New Roman" w:hAnsi="Times New Roman" w:cs="Times New Roman"/>
          <w:sz w:val="24"/>
          <w:szCs w:val="24"/>
        </w:rPr>
        <w:t xml:space="preserve">allows the sharing and exchange of mtDNA, proteins, lipids and metabolites and lead to filamentous mitochondria network. The fusion is driven by GTPases of the dynamin family: </w:t>
      </w:r>
      <w:r w:rsidR="00C53C52" w:rsidRPr="002E26D2">
        <w:rPr>
          <w:rFonts w:ascii="Times New Roman" w:hAnsi="Times New Roman" w:cs="Times New Roman"/>
          <w:sz w:val="24"/>
          <w:szCs w:val="24"/>
        </w:rPr>
        <w:t xml:space="preserve">mitofusins </w:t>
      </w:r>
      <w:r w:rsidRPr="002E26D2">
        <w:rPr>
          <w:rFonts w:ascii="Times New Roman" w:hAnsi="Times New Roman" w:cs="Times New Roman"/>
          <w:sz w:val="24"/>
          <w:szCs w:val="24"/>
        </w:rPr>
        <w:t>MFN1 and MFN2 mediate the fusion of the MOM by forming oligomers, while OPA1</w:t>
      </w:r>
      <w:r w:rsidR="00C53C52" w:rsidRPr="002E26D2">
        <w:rPr>
          <w:rFonts w:ascii="Times New Roman" w:hAnsi="Times New Roman" w:cs="Times New Roman"/>
          <w:sz w:val="24"/>
          <w:szCs w:val="24"/>
        </w:rPr>
        <w:t xml:space="preserve"> (optic atrophy 1) </w:t>
      </w:r>
      <w:r w:rsidRPr="002E26D2">
        <w:rPr>
          <w:rFonts w:ascii="Times New Roman" w:hAnsi="Times New Roman" w:cs="Times New Roman"/>
          <w:sz w:val="24"/>
          <w:szCs w:val="24"/>
        </w:rPr>
        <w:t>mediates the fusion of the MIM</w:t>
      </w:r>
      <w:r w:rsidR="00C53C52"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{"citationItems":[{"id":"ITEM-1","itemData":{"DOI":"10.3390/ijms22094617","ISSN":"1422-0067","PMID":"33924849","abstract":"Mitochondria are dynamic organelles, the morphology of which is tightly linked to their functions. The interplay between the coordinated events of fusion and fission that are collectively described as mitochondrial dynamics regulates mitochondrial morphology and adjusts mitochondrial function. Over the last few years, accruing evidence established a connection between dysregulated mitochondrial dynamics and disease development and progression. Defects in key components of the machinery mediating mitochondrial fusion and fission have been linked to a wide range of pathological conditions, such as insulin resistance and obesity, neurodegenerative diseases and cancer. Here, we provide an update on the molecular mechanisms promoting mitochondrial fusion and fission in mammals and discuss the emerging association of disturbed mitochondrial dynamics with human disease.","author":[{"dropping-particle":"","family":"Kyriakoudi","given":"Styliana","non-dropping-particle":"","parse-names":false,"suffix":""},{"dropping-particle":"","family":"Drousiotou","given":"Anthi","non-dropping-particle":"","parse-names":false,"suffix":""},{"dropping-particle":"","family":"Petrou","given":"Petros P.","non-dropping-particle":"","parse-names":false,"suffix":""}],"container-title":"International Journal of Molecular Sciences","id":"ITEM-1","issue":"9","issued":{"date-parts":[["2021","4","28"]]},"page":"4617","publisher":"Multidisciplinary Digital Publishing Institute","title":"When the Balance Tips: Dysregulation of Mitochondrial Dynamics as a Culprit in Disease","type":"article-journal","volume":"22"},"uris":["http://www.mendeley.com/documents/?uuid=70f709c2-68eb-3b4c-afb0-2eac56e23b26"]},{"id":"ITEM-2","itemData":{"DOI":"10.1042/EBC20170104","ISSN":"0071-1365","PMID":"30030364","abstract":"Mitochondria are highly dynamic organelles undergoing coordinated cycles of fission and fusion, referred as ‘mitochondrial dynamics’, in order to maintain their shape, distribution and size. Their transient and rapid morphological adaptations are crucial for many cellular processes such as cell cycle, immunity, apoptosis and mitochondrial quality control. Mutations in the core machinery components and defects in mitochondrial dynamics have been associated with numerous human diseases. These dynamic transitions are mainly ensured by large GTPases belonging to the Dynamin family. Mitochondrial fission is a multi-step process allowing the division of one mitochondrion in two daughter mitochondria. It is regulated by the recruitment of the GTPase Dynamin-related protein 1 (Drp1) by adaptors at actin- and endoplasmic reticulum-mediated mitochondrial constriction sites. Drp1 oligomerization followed by mitochondrial constriction leads to the recruitment of Dynamin 2 to terminate membrane scission. Inner mitochondrial membrane constriction has been proposed to be an independent process regulated by calcium influx. Mitochondrial fusion is driven by a two-step process with the outer mitochondrial membrane fusion mediated by mitofusins 1 and 2 followed by inner membrane fusion, mediated by optic atrophy 1. In addition to the role of membrane lipid composition, several members of the machinery can undergo post-translational modifications modulating these processes. Understanding the molecular mechanisms controlling mitochondrial dynamics is crucial to decipher how mitochondrial shape meets the function and to increase the knowledge on the molecular basis of diseases associated with morphology defects. This article will describe an overview of the molecular mechanisms that govern mitochondrial fission and fusion in mammals.","author":[{"dropping-particle":"","family":"Tilokani","given":"Lisa","non-dropping-particle":"","parse-names":false,"suffix":""},{"dropping-particle":"","family":"Nagashima","given":"Shun","non-dropping-particle":"","parse-names":false,"suffix":""},{"dropping-particle":"","family":"Paupe","given":"Vincent","non-dropping-particle":"","parse-names":false,"suffix":""},{"dropping-particle":"","family":"Prudent","given":"Julien","non-dropping-particle":"","parse-names":false,"suffix":""}],"container-title":"Essays in Biochemistry","editor":[{"dropping-particle":"","family":"Garone","given":"Caterina","non-dropping-particle":"","parse-names":false,"suffix":""},{"dropping-particle":"","family":"Minczuk","given":"Michal","non-dropping-particle":"","parse-names":false,"suffix":""}],"id":"ITEM-2","issue":"3","issued":{"date-parts":[["2018","7","20"]]},"page":"341-360","publisher":"Portland Press Ltd","title":"Mitochondrial dynamics: overview of molecular mechanisms","type":"article-journal","volume":"62"},"uris":["http://www.mendeley.com/documents/?uuid=99fd03a9-ff07-3f79-8882-44218371afec"]}],"mendeley":{"formattedCitation":"[41,42]","plainTextFormattedCitation":"[41,42]","previouslyFormattedCitation":"[41,42]"},"properties":{"noteIndex":0},"schema":"https://github.com/citation-style-language/schema/raw/master/csl-citation.json"}</w:instrText>
      </w:r>
      <w:r w:rsidRPr="002E26D2">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[41,42]</w:t>
      </w:r>
      <w:r w:rsidRPr="002E26D2">
        <w:rPr>
          <w:rFonts w:ascii="Times New Roman" w:hAnsi="Times New Roman" w:cs="Times New Roman"/>
          <w:sz w:val="24"/>
          <w:szCs w:val="24"/>
        </w:rPr>
        <w:fldChar w:fldCharType="end"/>
      </w:r>
      <w:r w:rsidR="00C53C52" w:rsidRPr="002E26D2">
        <w:rPr>
          <w:rFonts w:ascii="Times New Roman" w:hAnsi="Times New Roman" w:cs="Times New Roman"/>
          <w:sz w:val="24"/>
          <w:szCs w:val="24"/>
        </w:rPr>
        <w:t>.</w:t>
      </w:r>
    </w:p>
    <w:p w14:paraId="1610AC75" w14:textId="77777777" w:rsidR="00A91FA8"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7098D56F" wp14:editId="139B40AB">
            <wp:extent cx="4167963" cy="5270174"/>
            <wp:effectExtent l="0" t="0" r="4445"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67963" cy="5270174"/>
                    </a:xfrm>
                    <a:prstGeom prst="rect">
                      <a:avLst/>
                    </a:prstGeom>
                  </pic:spPr>
                </pic:pic>
              </a:graphicData>
            </a:graphic>
          </wp:inline>
        </w:drawing>
      </w:r>
    </w:p>
    <w:p w14:paraId="733595CB" w14:textId="47A51286" w:rsidR="00AC4DFA" w:rsidRPr="002E26D2" w:rsidRDefault="00A91FA8" w:rsidP="004927BB">
      <w:pPr>
        <w:pStyle w:val="Caption"/>
        <w:spacing w:line="360" w:lineRule="auto"/>
        <w:rPr>
          <w:rFonts w:ascii="Times New Roman" w:hAnsi="Times New Roman" w:cs="Times New Roman"/>
          <w:sz w:val="24"/>
          <w:szCs w:val="24"/>
        </w:rPr>
      </w:pPr>
      <w:bookmarkStart w:id="9" w:name="_Ref106009090"/>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w:t>
      </w:r>
      <w:r w:rsidRPr="002E26D2">
        <w:rPr>
          <w:rFonts w:ascii="Times New Roman" w:hAnsi="Times New Roman" w:cs="Times New Roman"/>
          <w:sz w:val="24"/>
          <w:szCs w:val="24"/>
        </w:rPr>
        <w:fldChar w:fldCharType="end"/>
      </w:r>
      <w:bookmarkEnd w:id="9"/>
      <w:r w:rsidRPr="002E26D2">
        <w:rPr>
          <w:rFonts w:ascii="Times New Roman" w:hAnsi="Times New Roman" w:cs="Times New Roman"/>
          <w:sz w:val="24"/>
          <w:szCs w:val="24"/>
        </w:rPr>
        <w:t xml:space="preserve"> </w:t>
      </w:r>
      <w:bookmarkStart w:id="10" w:name="_Ref105751050"/>
      <w:r w:rsidR="00AC4DFA" w:rsidRPr="00D93E28">
        <w:rPr>
          <w:rStyle w:val="SubtitleChar"/>
          <w:rFonts w:ascii="Times New Roman" w:hAnsi="Times New Roman" w:cs="Times New Roman"/>
          <w:sz w:val="24"/>
          <w:szCs w:val="24"/>
          <w:u w:val="single"/>
        </w:rPr>
        <w:t>:</w:t>
      </w:r>
      <w:r w:rsidR="00AC4DFA" w:rsidRPr="00D93E28">
        <w:rPr>
          <w:rFonts w:ascii="Times New Roman" w:hAnsi="Times New Roman" w:cs="Times New Roman"/>
          <w:sz w:val="24"/>
          <w:szCs w:val="24"/>
          <w:u w:val="single"/>
        </w:rPr>
        <w:t xml:space="preserve"> Mitochondrial fusion and fission mechanisms.</w:t>
      </w:r>
      <w:r w:rsidR="00AC4DFA" w:rsidRPr="002E26D2">
        <w:rPr>
          <w:rFonts w:ascii="Times New Roman" w:hAnsi="Times New Roman" w:cs="Times New Roman"/>
          <w:sz w:val="24"/>
          <w:szCs w:val="24"/>
        </w:rPr>
        <w:t xml:space="preserve"> (A) Mitochondrial fusion (left) results in the merging of two distinct mitochondria, while mitochondrial fission (right) results in the division of a mitochondria involving endoplasmic reticulum (ER) at the preconstriction site. (B) OMM fusion are promoted by MFN1/MFN2, while IMM fusion is mediated by OPA1. Mitochondrial fission is regulated by the D</w:t>
      </w:r>
      <w:r w:rsidR="00CD5420" w:rsidRPr="002E26D2">
        <w:rPr>
          <w:rFonts w:ascii="Times New Roman" w:hAnsi="Times New Roman" w:cs="Times New Roman"/>
          <w:sz w:val="24"/>
          <w:szCs w:val="24"/>
        </w:rPr>
        <w:t>RP</w:t>
      </w:r>
      <w:r w:rsidR="00AC4DFA" w:rsidRPr="002E26D2">
        <w:rPr>
          <w:rFonts w:ascii="Times New Roman" w:hAnsi="Times New Roman" w:cs="Times New Roman"/>
          <w:sz w:val="24"/>
          <w:szCs w:val="24"/>
        </w:rPr>
        <w:t xml:space="preserve">1 and adaptor proteins. (C) </w:t>
      </w:r>
      <w:r w:rsidR="00CD5420" w:rsidRPr="002E26D2">
        <w:rPr>
          <w:rFonts w:ascii="Times New Roman" w:hAnsi="Times New Roman" w:cs="Times New Roman"/>
          <w:sz w:val="24"/>
          <w:szCs w:val="24"/>
        </w:rPr>
        <w:t>The mitochondrial fission 1 (</w:t>
      </w:r>
      <w:r w:rsidR="00AC4DFA" w:rsidRPr="002E26D2">
        <w:rPr>
          <w:rFonts w:ascii="Times New Roman" w:hAnsi="Times New Roman" w:cs="Times New Roman"/>
          <w:sz w:val="24"/>
          <w:szCs w:val="24"/>
        </w:rPr>
        <w:t>hFIS1</w:t>
      </w:r>
      <w:r w:rsidR="00CD5420" w:rsidRPr="002E26D2">
        <w:rPr>
          <w:rFonts w:ascii="Times New Roman" w:hAnsi="Times New Roman" w:cs="Times New Roman"/>
          <w:sz w:val="24"/>
          <w:szCs w:val="24"/>
        </w:rPr>
        <w:t>)</w:t>
      </w:r>
      <w:r w:rsidR="00AC4DFA" w:rsidRPr="002E26D2">
        <w:rPr>
          <w:rFonts w:ascii="Times New Roman" w:hAnsi="Times New Roman" w:cs="Times New Roman"/>
          <w:sz w:val="24"/>
          <w:szCs w:val="24"/>
        </w:rPr>
        <w:t xml:space="preserve"> help the fission by blocking MFN1, MFN2 and OPA1 GTPase function. OMM, outer mitochondrial membrane; IMM, inner mitochondrial membrane; HR, heptad repeat. (Taken from </w:t>
      </w:r>
      <w:r w:rsidR="00020D31">
        <w:rPr>
          <w:rFonts w:ascii="Times New Roman" w:hAnsi="Times New Roman" w:cs="Times New Roman"/>
          <w:sz w:val="24"/>
          <w:szCs w:val="24"/>
        </w:rPr>
        <w:t>K</w:t>
      </w:r>
      <w:r w:rsidR="00AC4DFA" w:rsidRPr="002E26D2">
        <w:rPr>
          <w:rFonts w:ascii="Times New Roman" w:hAnsi="Times New Roman" w:cs="Times New Roman"/>
          <w:sz w:val="24"/>
          <w:szCs w:val="24"/>
        </w:rPr>
        <w:t>yriakoudi</w:t>
      </w:r>
      <w:r w:rsidR="00020D31">
        <w:rPr>
          <w:rFonts w:ascii="Times New Roman" w:hAnsi="Times New Roman" w:cs="Times New Roman"/>
          <w:sz w:val="24"/>
          <w:szCs w:val="24"/>
        </w:rPr>
        <w:t xml:space="preserve"> et al.,</w:t>
      </w:r>
      <w:r w:rsidR="00AC4DFA" w:rsidRPr="002E26D2">
        <w:rPr>
          <w:rFonts w:ascii="Times New Roman" w:hAnsi="Times New Roman" w:cs="Times New Roman"/>
          <w:sz w:val="24"/>
          <w:szCs w:val="24"/>
        </w:rPr>
        <w:t xml:space="preserve"> 2021)</w:t>
      </w:r>
      <w:r w:rsidR="00020D31">
        <w:rPr>
          <w:rFonts w:ascii="Times New Roman" w:hAnsi="Times New Roman" w:cs="Times New Roman"/>
          <w:sz w:val="24"/>
          <w:szCs w:val="24"/>
        </w:rPr>
        <w:t xml:space="preserve"> </w:t>
      </w:r>
      <w:r w:rsidR="00AC4DFA"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{"citationItems":[{"id":"ITEM-1","itemData":{"DOI":"10.3390/ijms22094617","ISSN":"1422-0067","PMID":"33924849","abstract":"Mitochondria are dynamic organelles, the morphology of which is tightly linked to their functions. The interplay between the coordinated events of fusion and fission that are collectively described as mitochondrial dynamics regulates mitochondrial morphology and adjusts mitochondrial function. Over the last few years, accruing evidence established a connection between dysregulated mitochondrial dynamics and disease development and progression. Defects in key components of the machinery mediating mitochondrial fusion and fission have been linked to a wide range of pathological conditions, such as insulin resistance and obesity, neurodegenerative diseases and cancer. Here, we provide an update on the molecular mechanisms promoting mitochondrial fusion and fission in mammals and discuss the emerging association of disturbed mitochondrial dynamics with human disease.","author":[{"dropping-particle":"","family":"Kyriakoudi","given":"Styliana","non-dropping-particle":"","parse-names":false,"suffix":""},{"dropping-particle":"","family":"Drousiotou","given":"Anthi","non-dropping-particle":"","parse-names":false,"suffix":""},{"dropping-particle":"","family":"Petrou","given":"Petros P.","non-dropping-particle":"","parse-names":false,"suffix":""}],"container-title":"International Journal of Molecular Sciences","id":"ITEM-1","issue":"9","issued":{"date-parts":[["2021","4","28"]]},"page":"4617","publisher":"Multidisciplinary Digital Publishing Institute","title":"When the Balance Tips: Dysregulation of Mitochondrial Dynamics as a Culprit in Disease","type":"article-journal","volume":"22"},"uris":["http://www.mendeley.com/documents/?uuid=70f709c2-68eb-3b4c-afb0-2eac56e23b26"]}],"mendeley":{"formattedCitation":"[42]","plainTextFormattedCitation":"[42]","previouslyFormattedCitation":"[42]"},"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1C3E62" w:rsidRPr="001C3E62">
        <w:rPr>
          <w:rFonts w:ascii="Times New Roman" w:hAnsi="Times New Roman" w:cs="Times New Roman"/>
          <w:i w:val="0"/>
          <w:noProof/>
          <w:sz w:val="24"/>
          <w:szCs w:val="24"/>
        </w:rPr>
        <w:t>[42]</w:t>
      </w:r>
      <w:r w:rsidR="00AC4DFA" w:rsidRPr="002E26D2">
        <w:rPr>
          <w:rFonts w:ascii="Times New Roman" w:hAnsi="Times New Roman" w:cs="Times New Roman"/>
          <w:sz w:val="24"/>
          <w:szCs w:val="24"/>
        </w:rPr>
        <w:fldChar w:fldCharType="end"/>
      </w:r>
      <w:bookmarkEnd w:id="10"/>
    </w:p>
    <w:p w14:paraId="69C07A24" w14:textId="2CA91FC7" w:rsidR="00AC4DFA" w:rsidRPr="002E26D2" w:rsidRDefault="000604A3" w:rsidP="003775DE">
      <w:pPr>
        <w:pStyle w:val="Heading3"/>
      </w:pPr>
      <w:bookmarkStart w:id="11" w:name="_Toc117153825"/>
      <w:r w:rsidRPr="002E26D2">
        <w:t>Mitochondrial g</w:t>
      </w:r>
      <w:r w:rsidR="00AC4DFA" w:rsidRPr="002E26D2">
        <w:t>enome/proteome</w:t>
      </w:r>
      <w:bookmarkEnd w:id="11"/>
    </w:p>
    <w:p w14:paraId="181A986A" w14:textId="6ED23C04"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Mitochondria possess their own DNA, inherited from the ancestral bacteria during the endosymbiosis event </w:t>
      </w:r>
      <w:r w:rsidRPr="002E26D2">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{"citationItems":[{"id":"ITEM-1","itemData":{"DOI":"10.1016/j.cub.2017.09.015","ISSN":"09609822","PMID":"29112874","abstract":"Mitochondria are best known for their role in the generation of ATP by aerobic respiration. Yet, research in the past half century has shown that they perform a much larger suite of functions and that these functions can vary substantially among diverse eukaryotic lineages. Despite this diversity, all mitochondria derive from a common ancestral organelle that originated from the integration of an endosymbiotic alphaproteobacterium into a host cell related to Asgard Archaea. The transition from endosymbiotic bacterium to permanent organelle entailed a massive number of evolutionary changes including the origins of hundreds of new genes and a protein import system, insertion of membrane transporters, integration of metabolism and reproduction, genome reduction, endosymbiotic gene transfer, lateral gene transfer and the retargeting of proteins. These changes occurred incrementally as the endosymbiont and the host became integrated. Although many insights into this transition have been gained, controversy persists regarding the nature of the original endosymbiont, its initial interactions with the host and the timing of its integration relative to the origin of other features of eukaryote cells. Since the establishment of the organelle, proteins have been gained, lost, transferred and retargeted as mitochondria have specialized into the spectrum of functional types seen across the eukaryotic tree of life. Moving beyond the simplistic view of mitochondria as the power house of the cell, Roger et al. present the immense diversity of mitochondria and mitochondrial functions across eukaryotes, and bring the reader up to date on the current view of how these organelles evolved from an ancient ancestral alphaproteobacterium.","author":[{"dropping-particle":"","family":"Roger","given":"Andrew J.","non-dropping-particle":"","parse-names":false,"suffix":""},{"dropping-particle":"","family":"Muñoz-Gómez","given":"Sergio A.","non-dropping-particle":"","parse-names":false,"suffix":""},{"dropping-particle":"","family":"Kamikawa","given":"Ryoma","non-dropping-particle":"","parse-names":false,"suffix":""}],"container-title":"Current Biology","id":"ITEM-1","issue":"21","issued":{"date-parts":[["2017","11","6"]]},"page":"R1177-R1192","publisher":"Cell Press","title":"The Origin and Diversification of Mitochondria","type":"article-journal","volume":"27"},"uris":["http://www.mendeley.com/documents/?uuid=662bc7f4-be03-30e9-95df-65bb4890ca3e"]},{"id":"ITEM-2","itemData":{"DOI":"10.1186/gb-2001-2-6-reviews1018","ISSN":"1474-760X","PMID":"11423013","abstract":"Complete sequences of numerous mitochondrial, many prokaryotic, and several nuclear genomes are now available. These data confirm that the mitochondrial genome originated from a eubacterial (specifically alpha-proteobacterial) ancestor but raise questions about the evolutionary antecedents of the mitochondrial proteome.","author":[{"dropping-particle":"","family":"Gray","given":"Michael W","non-dropping-particle":"","parse-names":false,"suffix":""},{"dropping-particle":"","family":"Burger","given":"Gertraud","non-dropping-particle":"","parse-names":false,"suffix":""},{"dropping-particle":"","family":"Lang","given":"B Franz","non-dropping-particle":"","parse-names":false,"suffix":""}],"container-title":"Genome biology","id":"ITEM-2","issue":"6","issued":{"date-parts":[["2001","6","5"]]},"page":"1018.1–1018.5","publisher":"BioMed Central","title":"The origin and early evolution of mitochondria.","type":"article-journal","volume":"2"},"uris":["http://www.mendeley.com/documents/?uuid=99d177f0-0d40-3acf-bec2-87964a41c96e"]}],"mendeley":{"formattedCitation":"[29,30]","plainTextFormattedCitation":"[29,30]","previouslyFormattedCitation":"[29,30]"},"properties":{"noteIndex":0},"schema":"https://github.com/citation-style-language/schema/raw/master/csl-citation.json"}</w:instrText>
      </w:r>
      <w:r w:rsidRPr="002E26D2">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[29,30]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However, the mitochondrial genome is highly reduced compared to existing proteobacteria, due to a loss of non-essential genes and a massive endosymbiotic </w:t>
      </w:r>
      <w:r w:rsidRPr="002E26D2">
        <w:rPr>
          <w:rFonts w:ascii="Times New Roman" w:hAnsi="Times New Roman" w:cs="Times New Roman"/>
          <w:sz w:val="24"/>
          <w:szCs w:val="24"/>
        </w:rPr>
        <w:lastRenderedPageBreak/>
        <w:t xml:space="preserve">transfer of essential genes from mitochondrial to nuclear DNA during evolution </w:t>
      </w:r>
      <w:r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{"citationItems":[{"id":"ITEM-1","itemData":{"DOI":"10.1128/MMBR.64.4.786-820.2000","ISSN":"1092-2172","PMID":"11104819","abstract":"The endosymbiotic theory for the origin of mitochondria requires substantial modification. The three identifiable ancestral sources to the proteome of mitochondria are proteins descended from the ancestral alpha-proteobacteria symbiont, proteins with no homology to bacterial orthologs, and diverse proteins with bacterial affinities not derived from alpha-proteobacteria. Random mutations in the form of deletions large and small seem to have eliminated nonessential genes from the endosymbiont-mitochondrial genome lineages. This process, together with the transfer of genes from the endosymbiont-mitochondrial genome to nuclei, has led to a marked reduction in the size of mitochondrial genomes. All proteins of bacterial descent that are encoded by nuclear genes were probably transferred by the same mechanism, involving the disintegration of mitochondria or bacteria by the intracellular membranous vacuoles of cells to release nucleic acid fragments that transform the nuclear genome. This ongoing process has intermittently introduced bacterial genes to nuclear genomes. The genomes of the last common ancestor of all organisms, in particular of mitochondria, encoded cytochrome oxidase homologues. There are no phylogenetic indications either in the mitochondrial proteome or in the nuclear genomes that the initial or subsequent function of the ancestor to the mitochondria was anaerobic. In contrast, there are indications that relatively advanced eukaryotes adapted to anaerobiosis by dismantling their mitochondria and refitting them as hydrogenosomes. Accordingly, a continuous history of aerobic respiration seems to have been the fate of most mitochondrial lineages. The initial phases of this history may have involved aerobic respiration by the symbiont functioning as a scavenger of toxic oxygen. The transition to mitochondria capable of active ATP export to the host cell seems to have required recruitment of eukaryotic ATP transport proteins from the nucleus. The identity of the ancestral host of the alpha-proteobacterial endosymbiont is unclear, but there is no indication that it was an autotroph. There are no indications of a specific alpha-proteobacterial origin to genes for glycolysis. In the absence of data to the contrary, it is assumed that the ancestral host cell was a heterotroph.","author":[{"dropping-particle":"","family":"Kurland","given":"C. G.","non-dropping-particle":"","parse-names":false,"suffix":""},{"dropping-particle":"","family":"Andersson","given":"S. G. E.","non-dropping-particle":"","parse-names":false,"suffix":""}],"container-title":"Microbiology and Molecular Biology Reviews","id":"ITEM-1","issue":"4","issued":{"date-parts":[["2000","12"]]},"page":"786-820","publisher":"American Society for Microbiology (ASM)","title":"Origin and Evolution of the Mitochondrial Proteome","type":"article-journal","volume":"64"},"uris":["http://www.mendeley.com/documents/?uuid=7b0ff9a1-640e-3820-989b-4eddf39a2901"]}],"mendeley":{"formattedCitation":"[44]","plainTextFormattedCitation":"[44]","previouslyFormattedCitation":"[44]"},"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Nowadays, the human mtDNA encodes only 37 genes: 11 mRNAs translated in 13 proteins, all components of the OXPHOS complexes, 2 rRNAs (16S and 12S), and 22 tRNAs (</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_Ref106009109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w:t>
      </w:r>
      <w:r w:rsidR="001F33A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mtDNA is transcribed in two long polycistronic RNAs (light and heavy strand), that are further cleaved and processed to release mature RNAs used by the mitochondria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{"citationItems":[{"id":"ITEM-1","itemData":{"DOI":"10.3390/ijms22020586","ISSN":"1422-0067","PMID":"33435522","abstract":"Mitochondria are ubiquitous intracellular organelles found in almost all eukaryotes and involved in various aspects of cellular life, with a primary role in energy production. The interest in this organelle has grown stronger with the discovery of their link to various pathologies, including cancer, aging and neurodegenerative diseases. Indeed, dysfunctional mitochondria cannot provide the required energy to tissues with a high-energy demand, such as heart, brain and muscles, leading to a large spectrum of clinical phenotypes. Mitochondrial defects are at the origin of a group of clinically heterogeneous pathologies, called mitochondrial diseases, with an incidence of 1 in 5000 live births. Primary mitochondrial diseases are associated with genetic mutations both in nuclear and mitochondrial DNA (mtDNA), affecting genes involved in every aspect of the organelle function. As a consequence, it is difficult to find a common cause for mitochondrial diseases and, subsequently, to offer a precise clinical definition of the pathology. Moreover, the complexity of this condition makes it challenging to identify possible therapies or drug targets.","author":[{"dropping-particle":"","family":"Protasoni","given":"Margherita","non-dropping-particle":"","parse-names":false,"suffix":""},{"dropping-particle":"","family":"Zeviani","given":"Massimo","non-dropping-particle":"","parse-names":false,"suffix":""}],"container-title":"International Journal of Molecular Sciences","id":"ITEM-1","issue":"2","issued":{"date-parts":[["2021","1","8"]]},"page":"586","title":"Mitochondrial Structure and Bioenergetics in Normal and Disease Conditions","type":"article-journal","volume":"22"},"uris":["http://www.mendeley.com/documents/?uuid=8a2a3aa5-6a12-48e1-923b-aec751e121dd"]},{"id":"ITEM-2","itemData":{"DOI":"10.3390/ijms22157999","ISSN":"1422-0067","PMID":"34360765","abstract":"Mitochondria, often referred to as the powerhouses of cells, are vital organelles that are present in almost all eukaryotic organisms, including humans. They are the key energy suppliers as the site of adenosine triphosphate production, and are involved in apoptosis, calcium homeostasis, and regulation of the innate immune response. Abnormalities occurring in mitochondria, such as mitochondrial DNA (mtDNA) mutations and disturbances at any stage of mitochondrial RNA (mtRNA) processing and translation, usually lead to severe mitochondrial diseases. A fundamental line of investigation is to understand the processes that occur in these organelles and their physiological consequences. Despite substantial progress that has been made in the field of mtRNA processing and its regulation, many unknowns and controversies remain. The present review discusses the current state of knowledge of RNA processing in human mitochondria and sheds some light on the unresolved issues.","author":[{"dropping-particle":"","family":"Jedynak-Slyvka","given":"Marta","non-dropping-particle":"","parse-names":false,"suffix":""},{"dropping-particle":"","family":"Jabczynska","given":"Agata","non-dropping-particle":"","parse-names":false,"suffix":""},{"dropping-particle":"","family":"Szczesny","given":"Roman J.","non-dropping-particle":"","parse-names":false,"suffix":""}],"container-title":"International Journal of Molecular Sciences","id":"ITEM-2","issue":"15","issued":{"date-parts":[["2021","7","27"]]},"page":"7999","publisher":"Int J Mol Sci","title":"Human Mitochondrial RNA Processing and Modifications: Overview","type":"article-journal","volume":"22"},"uris":["http://www.mendeley.com/documents/?uuid=8cc53b12-7d89-38d0-b342-7ec59cba3741"]}],"mendeley":{"formattedCitation":"[40,45]","plainTextFormattedCitation":"[40,45]","previouslyFormattedCitation":"[40,45]"},"properties":{"noteIndex":0},"schema":"https://github.com/citation-style-language/schema/raw/master/csl-citation.json"}</w:instrText>
      </w:r>
      <w:r w:rsidRPr="002E26D2">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[40,45]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remaining 1100 to 1400 mitochondrial proteins (99% of the mitochondrial proteome) are encoded in the nucleus, translated in the cytosol and imported to the mitochondria through several mechanisms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{"citationItems":[{"id":"ITEM-1","itemData":{"DOI":"10.1146/annurev-genom-082509-141720","ISSN":"1527-8204","PMID":"20690818","abstract":"For nearly three decades, the sequence of the human mitochondrial genome (mtDNA) has provided a molecular framework for understanding maternally inherited diseases. However, the vast majority of human mitochondrial disorders are caused by nuclear genome defects, which is not surprising since the mtDNA encodes only 13 proteins. Advances in genomics, mass spectrometry, and computation have only recently made it possible to systematically identify the complement of over 1,000 proteins that comprise the mammalian mitochondrial proteome. Here, we review recent progress in characterizing the mitochondrial proteome and highlight insights into its complexity, tissue heterogeneity, evolutionary origins, and biochemical versatility. We then discuss how this proteome is being used to discover the genetic basis of respiratory chain disorders as well as to expand our definition of mitochondrial disease. Finally, we explore future prospects and challenges for using the mitochondrial proteome as a foundation for systems analysis of the organelle.","author":[{"dropping-particle":"","family":"Calvo","given":"Sarah E.","non-dropping-particle":"","parse-names":false,"suffix":""},{"dropping-particle":"","family":"Mootha","given":"Vamsi K.","non-dropping-particle":"","parse-names":false,"suffix":""}],"container-title":"Annual Review of Genomics and Human Genetics","id":"ITEM-1","issue":"1","issued":{"date-parts":[["2010","9","1"]]},"page":"25-44","publisher":"NIH Public Access","title":"The Mitochondrial Proteome and Human Disease","type":"article-journal","volume":"11"},"uris":["http://www.mendeley.com/documents/?uuid=342c7fcd-2279-3322-9fed-3b44cc998205"]}],"mendeley":{"formattedCitation":"[46]","plainTextFormattedCitation":"[46]","previouslyFormattedCitation":"[46]"},"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[46]</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This organization implies a constant cross-talk between mitochondria and the nucleus to ensure cellular homeostasis, called mitonuclear communication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{"citationItems":[{"id":"ITEM-1","itemData":{"DOI":"10.1038/nrm.2016.23","ISSN":"1471-0072","PMID":"26956194","abstract":"As most mitochondrial proteins are encoded in the nucleus, mitochondrial activity requires efficient communication between the nuclear and mitochondrial genomes. This is mediated by nucleus-to-mitochondria (anterograde), mitochondria-to-nucleus (retrograde) and mitonuclear feedback signalling, as well as the integrated stress response and extracellular communication, which regulate homeostasis and, consequently, healthspan and lifespan. Mitochondria participate in crucial cellular processes such as energy harvesting and intermediate metabolism. Although mitochondria possess their own genome — a vestige of their bacterial origins and endosymbiotic evolution — most mitochondrial proteins are encoded in the nucleus. The expression of the mitochondrial proteome hence requires tight coordination between the two genomes to adapt mitochondrial function to the ever-changing cellular milieu. In this Review, we focus on the pathways that coordinate the communication between mitochondria and the nucleus during homeostasis and mitochondrial stress. These pathways include nucleus-to-mitochondria (anterograde) and mitochondria-to-nucleus (retrograde) communication, mitonuclear feedback signalling and proteostasis regulation, the integrated stress response and non-cell-autonomous communication. We discuss how mitonuclear communication safeguards cellular and organismal fitness and regulates lifespan.","author":[{"dropping-particle":"","family":"Quirós","given":"Pedro M.","non-dropping-particle":"","parse-names":false,"suffix":""},{"dropping-particle":"","family":"Mottis","given":"Adrienne","non-dropping-particle":"","parse-names":false,"suffix":""},{"dropping-particle":"","family":"Auwerx","given":"Johan","non-dropping-particle":"","parse-names":false,"suffix":""}],"container-title":"Nature Reviews Molecular Cell Biology","id":"ITEM-1","issue":"4","issued":{"date-parts":[["2016","4","9"]]},"page":"213-226","publisher":"Nature Publishing Group","title":"Mitonuclear communication in homeostasis and stress","type":"article-journal","volume":"17"},"uris":["http://www.mendeley.com/documents/?uuid=0eca8ed4-9097-396b-b086-639da5a00354"]}],"mendeley":{"formattedCitation":"[47]","plainTextFormattedCitation":"[47]","previouslyFormattedCitation":"[47]"},"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399C9E7B" w14:textId="77777777" w:rsidR="00A91FA8"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02E38736" wp14:editId="6DC6D1D2">
            <wp:extent cx="4625163" cy="3581862"/>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33333" cy="3588189"/>
                    </a:xfrm>
                    <a:prstGeom prst="rect">
                      <a:avLst/>
                    </a:prstGeom>
                  </pic:spPr>
                </pic:pic>
              </a:graphicData>
            </a:graphic>
          </wp:inline>
        </w:drawing>
      </w:r>
    </w:p>
    <w:p w14:paraId="29843174" w14:textId="658FFC48" w:rsidR="00AC4DFA" w:rsidRPr="002E26D2" w:rsidRDefault="00A91FA8" w:rsidP="004927BB">
      <w:pPr>
        <w:pStyle w:val="Caption"/>
        <w:spacing w:line="360" w:lineRule="auto"/>
        <w:rPr>
          <w:rFonts w:ascii="Times New Roman" w:hAnsi="Times New Roman" w:cs="Times New Roman"/>
          <w:sz w:val="24"/>
          <w:szCs w:val="24"/>
        </w:rPr>
      </w:pPr>
      <w:bookmarkStart w:id="12" w:name="_Ref106009109"/>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w:t>
      </w:r>
      <w:r w:rsidRPr="002E26D2">
        <w:rPr>
          <w:rFonts w:ascii="Times New Roman" w:hAnsi="Times New Roman" w:cs="Times New Roman"/>
          <w:sz w:val="24"/>
          <w:szCs w:val="24"/>
        </w:rPr>
        <w:fldChar w:fldCharType="end"/>
      </w:r>
      <w:bookmarkEnd w:id="12"/>
      <w:r w:rsidRPr="002E26D2">
        <w:rPr>
          <w:rFonts w:ascii="Times New Roman" w:hAnsi="Times New Roman" w:cs="Times New Roman"/>
          <w:sz w:val="24"/>
          <w:szCs w:val="24"/>
        </w:rPr>
        <w:t xml:space="preserve"> </w:t>
      </w:r>
      <w:bookmarkStart w:id="13" w:name="_Ref105750983"/>
      <w:r w:rsidR="00AC4DFA" w:rsidRPr="00D93E28">
        <w:rPr>
          <w:rFonts w:ascii="Times New Roman" w:hAnsi="Times New Roman" w:cs="Times New Roman"/>
          <w:sz w:val="24"/>
          <w:szCs w:val="24"/>
          <w:u w:val="single"/>
        </w:rPr>
        <w:t>: Organization of the human mitochondrial DNA (mtDNA)</w:t>
      </w:r>
      <w:r w:rsidR="00D93E28">
        <w:rPr>
          <w:rFonts w:ascii="Times New Roman" w:hAnsi="Times New Roman" w:cs="Times New Roman"/>
          <w:sz w:val="24"/>
          <w:szCs w:val="24"/>
          <w:u w:val="single"/>
        </w:rPr>
        <w:t>.</w:t>
      </w:r>
      <w:r w:rsidR="00AC4DFA" w:rsidRPr="002E26D2">
        <w:rPr>
          <w:rFonts w:ascii="Times New Roman" w:hAnsi="Times New Roman" w:cs="Times New Roman"/>
          <w:sz w:val="24"/>
          <w:szCs w:val="24"/>
        </w:rPr>
        <w:t xml:space="preserve"> Each gene is indicated with a colored bar and all the genes encoding </w:t>
      </w:r>
      <w:r w:rsidR="001240F5">
        <w:rPr>
          <w:rFonts w:ascii="Times New Roman" w:hAnsi="Times New Roman" w:cs="Times New Roman"/>
          <w:sz w:val="24"/>
          <w:szCs w:val="24"/>
        </w:rPr>
        <w:t>protein</w:t>
      </w:r>
      <w:r w:rsidR="00AC4DFA" w:rsidRPr="002E26D2">
        <w:rPr>
          <w:rFonts w:ascii="Times New Roman" w:hAnsi="Times New Roman" w:cs="Times New Roman"/>
          <w:sz w:val="24"/>
          <w:szCs w:val="24"/>
        </w:rPr>
        <w:t xml:space="preserve"> subunits of the same complex are represented </w:t>
      </w:r>
      <w:r w:rsidR="00CB6087">
        <w:rPr>
          <w:rFonts w:ascii="Times New Roman" w:hAnsi="Times New Roman" w:cs="Times New Roman"/>
          <w:sz w:val="24"/>
          <w:szCs w:val="24"/>
        </w:rPr>
        <w:t>by</w:t>
      </w:r>
      <w:r w:rsidR="00AC4DFA" w:rsidRPr="002E26D2">
        <w:rPr>
          <w:rFonts w:ascii="Times New Roman" w:hAnsi="Times New Roman" w:cs="Times New Roman"/>
          <w:sz w:val="24"/>
          <w:szCs w:val="24"/>
        </w:rPr>
        <w:t xml:space="preserve"> the same color. rRNAs are indicated in yellow and tRNAs in gray. (Taken from Protasoni et al</w:t>
      </w:r>
      <w:r w:rsidR="00020D31">
        <w:rPr>
          <w:rFonts w:ascii="Times New Roman" w:hAnsi="Times New Roman" w:cs="Times New Roman"/>
          <w:sz w:val="24"/>
          <w:szCs w:val="24"/>
        </w:rPr>
        <w:t>.</w:t>
      </w:r>
      <w:r w:rsidR="00AC4DFA" w:rsidRPr="002E26D2">
        <w:rPr>
          <w:rFonts w:ascii="Times New Roman" w:hAnsi="Times New Roman" w:cs="Times New Roman"/>
          <w:sz w:val="24"/>
          <w:szCs w:val="24"/>
        </w:rPr>
        <w:t>, 2021</w:t>
      </w:r>
      <w:r w:rsidR="003775DE">
        <w:rPr>
          <w:rFonts w:ascii="Times New Roman" w:hAnsi="Times New Roman" w:cs="Times New Roman"/>
          <w:sz w:val="24"/>
          <w:szCs w:val="24"/>
        </w:rPr>
        <w:t>)</w:t>
      </w:r>
      <w:r w:rsidR="00AC4DFA" w:rsidRPr="002E26D2">
        <w:rPr>
          <w:rFonts w:ascii="Times New Roman" w:hAnsi="Times New Roman" w:cs="Times New Roman"/>
          <w:sz w:val="24"/>
          <w:szCs w:val="24"/>
        </w:rPr>
        <w:t xml:space="preserve"> </w:t>
      </w:r>
      <w:r w:rsidR="00AC4DFA"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{"citationItems":[{"id":"ITEM-1","itemData":{"DOI":"10.3390/ijms22020586","ISSN":"1422-0067","PMID":"33435522","abstract":"Mitochondria are ubiquitous intracellular organelles found in almost all eukaryotes and involved in various aspects of cellular life, with a primary role in energy production. The interest in this organelle has grown stronger with the discovery of their link to various pathologies, including cancer, aging and neurodegenerative diseases. Indeed, dysfunctional mitochondria cannot provide the required energy to tissues with a high-energy demand, such as heart, brain and muscles, leading to a large spectrum of clinical phenotypes. Mitochondrial defects are at the origin of a group of clinically heterogeneous pathologies, called mitochondrial diseases, with an incidence of 1 in 5000 live births. Primary mitochondrial diseases are associated with genetic mutations both in nuclear and mitochondrial DNA (mtDNA), affecting genes involved in every aspect of the organelle function. As a consequence, it is difficult to find a common cause for mitochondrial diseases and, subsequently, to offer a precise clinical definition of the pathology. Moreover, the complexity of this condition makes it challenging to identify possible therapies or drug targets.","author":[{"dropping-particle":"","family":"Protasoni","given":"Margherita","non-dropping-particle":"","parse-names":false,"suffix":""},{"dropping-particle":"","family":"Zeviani","given":"Massimo","non-dropping-particle":"","parse-names":false,"suffix":""}],"container-title":"International Journal of Molecular Sciences","id":"ITEM-1","issue":"2","issued":{"date-parts":[["2021","1","8"]]},"page":"586","title":"Mitochondrial Structure and Bioenergetics in Normal and Disease Conditions","type":"article-journal","volume":"22"},"uris":["http://www.mendeley.com/documents/?uuid=8a2a3aa5-6a12-48e1-923b-aec751e121dd"]}],"mendeley":{"formattedCitation":"[40]","plainTextFormattedCitation":"[40]","previouslyFormattedCitation":"[40]"},"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1C3E62" w:rsidRPr="001C3E62">
        <w:rPr>
          <w:rFonts w:ascii="Times New Roman" w:hAnsi="Times New Roman" w:cs="Times New Roman"/>
          <w:i w:val="0"/>
          <w:noProof/>
          <w:sz w:val="24"/>
          <w:szCs w:val="24"/>
        </w:rPr>
        <w:t>[40]</w:t>
      </w:r>
      <w:r w:rsidR="00AC4DFA" w:rsidRPr="002E26D2">
        <w:rPr>
          <w:rFonts w:ascii="Times New Roman" w:hAnsi="Times New Roman" w:cs="Times New Roman"/>
          <w:sz w:val="24"/>
          <w:szCs w:val="24"/>
        </w:rPr>
        <w:fldChar w:fldCharType="end"/>
      </w:r>
      <w:bookmarkEnd w:id="13"/>
    </w:p>
    <w:p w14:paraId="4F69FC77" w14:textId="6EAFF61E" w:rsidR="00AC4DFA" w:rsidRPr="002E26D2" w:rsidRDefault="000604A3" w:rsidP="003775DE">
      <w:pPr>
        <w:pStyle w:val="Heading3"/>
      </w:pPr>
      <w:bookmarkStart w:id="14" w:name="_Toc117153826"/>
      <w:r w:rsidRPr="002E26D2">
        <w:t>Mitochondrial p</w:t>
      </w:r>
      <w:r w:rsidR="00AC4DFA" w:rsidRPr="002E26D2">
        <w:t>rotein import</w:t>
      </w:r>
      <w:bookmarkEnd w:id="14"/>
    </w:p>
    <w:p w14:paraId="30074C74" w14:textId="5FD0F969"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Protein import to the mitochondria is a mechanism of major importance, since proteins produced in the cytosol cannot freely pass through the mitochondrial membranes. Several pathways have been described, as presented in </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_Ref106009121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w:t>
      </w:r>
      <w:r w:rsidR="001F33A6" w:rsidRPr="002E26D2">
        <w:rPr>
          <w:rFonts w:ascii="Times New Roman" w:hAnsi="Times New Roman" w:cs="Times New Roman"/>
          <w:sz w:val="24"/>
          <w:szCs w:val="24"/>
        </w:rPr>
        <w:fldChar w:fldCharType="end"/>
      </w:r>
      <w:r w:rsidR="003775DE">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{"citationItems":[{"id":"ITEM-1","itemData":{"DOI":"10.3390/life11050432","ISSN":"2075-1729","abstract":"The fact that &gt;99% of mitochondrial proteins are encoded by the nuclear genome and synthesised in the cytosol renders the process of mitochondrial protein import fundamental for normal organelle physiology. In addition to this, the nuclear genome comprises most of the proteins required for respiratory complex assembly and function. This means that without fully functional protein import, mitochondrial respiration will be defective, and the major cellular ATP source depleted. When mitochondrial protein import is impaired, a number of stress response pathways are activated in order to overcome the dysfunction and restore mitochondrial and cellular proteostasis. However, prolonged impaired mitochondrial protein import and subsequent defective respiratory chain function contributes to a number of diseases including primary mitochondrial diseases and neurodegeneration. This review focuses on how the processes of mitochondrial protein translocation and respiratory complex assembly and function are interlinked, how they are regulated, and their importance in health and disease.","author":[{"dropping-particle":"","family":"Needs","given":"Hope I.","non-dropping-particle":"","parse-names":false,"suffix":""},{"dropping-particle":"","family":"Protasoni","given":"Margherita","non-dropping-particle":"","parse-names":false,"suffix":""},{"dropping-particle":"","family":"Henley","given":"Jeremy M.","non-dropping-particle":"","parse-names":false,"suffix":""},{"dropping-particle":"","family":"Prudent","given":"Julien","non-dropping-particle":"","parse-names":false,"suffix":""},{"dropping-particle":"","family":"Collinson","given":"Ian","non-dropping-particle":"","parse-names":false,"suffix":""},{"dropping-particle":"","family":"Pereira","given":"Gonçalo C.","non-dropping-particle":"","parse-names":false,"suffix":""}],"container-title":"Life","id":"ITEM-1","issue":"5","issued":{"date-parts":[["2021","5","11"]]},"page":"432","publisher":"Multidisciplinary Digital Publishing Institute","title":"Interplay between Mitochondrial Protein Import and Respiratory Complexes Assembly in Neuronal Health and Degeneration","type":"article-journal","volume":"11"},"uris":["http://www.mendeley.com/documents/?uuid=51468300-a435-31a5-a6a9-052c56273d5e"]}],"mendeley":{"formattedCitation":"[48]","plainTextFormattedCitation":"[48]","previouslyFormattedCitation":"[48]"},"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presequence pathway rel</w:t>
      </w:r>
      <w:r w:rsidR="00CB6087">
        <w:rPr>
          <w:rFonts w:ascii="Times New Roman" w:hAnsi="Times New Roman" w:cs="Times New Roman"/>
          <w:sz w:val="24"/>
          <w:szCs w:val="24"/>
        </w:rPr>
        <w:t>ies</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lastRenderedPageBreak/>
        <w:t>on a specific N-terminal amino acid sequence, called mitochondrial targeting sequence (MTS), recognized by the TOM/TIM machinery to import proteins directly into the matrix. The MTS is often cleaved after import and allows the shortened protein to fold in a mature and active conformation. About two third</w:t>
      </w:r>
      <w:r w:rsidR="00CB6087">
        <w:rPr>
          <w:rFonts w:ascii="Times New Roman" w:hAnsi="Times New Roman" w:cs="Times New Roman"/>
          <w:sz w:val="24"/>
          <w:szCs w:val="24"/>
        </w:rPr>
        <w:t>s</w:t>
      </w:r>
      <w:r w:rsidRPr="002E26D2">
        <w:rPr>
          <w:rFonts w:ascii="Times New Roman" w:hAnsi="Times New Roman" w:cs="Times New Roman"/>
          <w:sz w:val="24"/>
          <w:szCs w:val="24"/>
        </w:rPr>
        <w:t xml:space="preserve"> of mitochondria-imported proteins display the MTS and use the presequence pathway </w:t>
      </w:r>
      <w:r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{"citationItems":[{"id":"ITEM-1","itemData":{"DOI":"10.1146/annurev-biochem-060815-014352","ISSN":"0066-4154","PMID":"28301740","abstract":"Mitochondria are essential organelles with numerous functions in cellular metabolism and homeostasis. Most of the &gt;1,000 different mitochondrial proteins are synthesized as precursors in the cytosol and are imported into mitochondria by five transport pathways. The protein import machineries of the mitochondrial membranes and aqueous compartments reveal a remarkable variability of mechanisms for protein recognition, translocation, and sorting. The protein translocases do not operate as separate entities but are connected to each other and to machineries with functions in energetics, membrane organization, and quality control. Here, we discuss the versatility and dynamic organization of the mitochondrial protein import machineries. Elucidating the molecular mechanisms of mitochondrial protein translocation is crucial for understanding the integration of protein translocases into a large network that controls organelle biogenesis, function, and dynamics.","author":[{"dropping-particle":"","family":"Wiedemann","given":"Nils","non-dropping-particle":"","parse-names":false,"suffix":""},{"dropping-particle":"","family":"Pfanner","given":"Nikolaus","non-dropping-particle":"","parse-names":false,"suffix":""}],"container-title":"Annual Review of Biochemistry","id":"ITEM-1","issue":"1","issued":{"date-parts":[["2017","6","20"]]},"page":"685-714","publisher":"Annual Reviews","title":"Mitochondrial Machineries for Protein Import and Assembly","type":"article-journal","volume":"86"},"uris":["http://www.mendeley.com/documents/?uuid=d8fa3e7d-0a9d-3353-9a51-898c26c3ce03"]}],"mendeley":{"formattedCitation":"[49]","plainTextFormattedCitation":"[49]","previouslyFormattedCitation":"[49]"},"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Other mechanisms are specific for the incorporation of proteins within the MOM (SAM and MIM pathways), or within the MIM (MIA and carrier pathways), and </w:t>
      </w:r>
      <w:r w:rsidR="00DC0D41" w:rsidRPr="002E26D2">
        <w:rPr>
          <w:rFonts w:ascii="Times New Roman" w:hAnsi="Times New Roman" w:cs="Times New Roman"/>
          <w:sz w:val="24"/>
          <w:szCs w:val="24"/>
        </w:rPr>
        <w:t>rely</w:t>
      </w:r>
      <w:r w:rsidRPr="002E26D2">
        <w:rPr>
          <w:rFonts w:ascii="Times New Roman" w:hAnsi="Times New Roman" w:cs="Times New Roman"/>
          <w:sz w:val="24"/>
          <w:szCs w:val="24"/>
        </w:rPr>
        <w:t xml:space="preserve"> on specific motifs and/or chaperones to help the import</w:t>
      </w:r>
      <w:r w:rsidR="00DC0D41" w:rsidRPr="002E26D2">
        <w:rPr>
          <w:rFonts w:ascii="Times New Roman" w:hAnsi="Times New Roman" w:cs="Times New Roman"/>
          <w:sz w:val="24"/>
          <w:szCs w:val="24"/>
        </w:rPr>
        <w:t xml:space="preserve"> (</w:t>
      </w:r>
      <w:r w:rsidR="00DC0D41" w:rsidRPr="002E26D2">
        <w:rPr>
          <w:rFonts w:ascii="Times New Roman" w:hAnsi="Times New Roman" w:cs="Times New Roman"/>
          <w:sz w:val="24"/>
          <w:szCs w:val="24"/>
        </w:rPr>
        <w:fldChar w:fldCharType="begin"/>
      </w:r>
      <w:r w:rsidR="00DC0D41" w:rsidRPr="002E26D2">
        <w:rPr>
          <w:rFonts w:ascii="Times New Roman" w:hAnsi="Times New Roman" w:cs="Times New Roman"/>
          <w:sz w:val="24"/>
          <w:szCs w:val="24"/>
        </w:rPr>
        <w:instrText xml:space="preserve"> REF _Ref106009121 \h </w:instrText>
      </w:r>
      <w:r w:rsidR="002E26D2" w:rsidRPr="002E26D2">
        <w:rPr>
          <w:rFonts w:ascii="Times New Roman" w:hAnsi="Times New Roman" w:cs="Times New Roman"/>
          <w:sz w:val="24"/>
          <w:szCs w:val="24"/>
        </w:rPr>
        <w:instrText xml:space="preserve"> \* MERGEFORMAT </w:instrText>
      </w:r>
      <w:r w:rsidR="00DC0D41" w:rsidRPr="002E26D2">
        <w:rPr>
          <w:rFonts w:ascii="Times New Roman" w:hAnsi="Times New Roman" w:cs="Times New Roman"/>
          <w:sz w:val="24"/>
          <w:szCs w:val="24"/>
        </w:rPr>
      </w:r>
      <w:r w:rsidR="00DC0D41"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w:t>
      </w:r>
      <w:r w:rsidR="00DC0D41" w:rsidRPr="002E26D2">
        <w:rPr>
          <w:rFonts w:ascii="Times New Roman" w:hAnsi="Times New Roman" w:cs="Times New Roman"/>
          <w:sz w:val="24"/>
          <w:szCs w:val="24"/>
        </w:rPr>
        <w:fldChar w:fldCharType="end"/>
      </w:r>
      <w:r w:rsidR="00DC0D41" w:rsidRPr="002E26D2">
        <w:rPr>
          <w:rFonts w:ascii="Times New Roman" w:hAnsi="Times New Roman" w:cs="Times New Roman"/>
          <w:sz w:val="24"/>
          <w:szCs w:val="24"/>
        </w:rPr>
        <w:t>)</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{"citationItems":[{"id":"ITEM-1","itemData":{"DOI":"10.3390/life11050432","ISSN":"2075-1729","abstract":"The fact that &gt;99% of mitochondrial proteins are encoded by the nuclear genome and synthesised in the cytosol renders the process of mitochondrial protein import fundamental for normal organelle physiology. In addition to this, the nuclear genome comprises most of the proteins required for respiratory complex assembly and function. This means that without fully functional protein import, mitochondrial respiration will be defective, and the major cellular ATP source depleted. When mitochondrial protein import is impaired, a number of stress response pathways are activated in order to overcome the dysfunction and restore mitochondrial and cellular proteostasis. However, prolonged impaired mitochondrial protein import and subsequent defective respiratory chain function contributes to a number of diseases including primary mitochondrial diseases and neurodegeneration. This review focuses on how the processes of mitochondrial protein translocation and respiratory complex assembly and function are interlinked, how they are regulated, and their importance in health and disease.","author":[{"dropping-particle":"","family":"Needs","given":"Hope I.","non-dropping-particle":"","parse-names":false,"suffix":""},{"dropping-particle":"","family":"Protasoni","given":"Margherita","non-dropping-particle":"","parse-names":false,"suffix":""},{"dropping-particle":"","family":"Henley","given":"Jeremy M.","non-dropping-particle":"","parse-names":false,"suffix":""},{"dropping-particle":"","family":"Prudent","given":"Julien","non-dropping-particle":"","parse-names":false,"suffix":""},{"dropping-particle":"","family":"Collinson","given":"Ian","non-dropping-particle":"","parse-names":false,"suffix":""},{"dropping-particle":"","family":"Pereira","given":"Gonçalo C.","non-dropping-particle":"","parse-names":false,"suffix":""}],"container-title":"Life","id":"ITEM-1","issue":"5","issued":{"date-parts":[["2021","5","11"]]},"page":"432","publisher":"Multidisciplinary Digital Publishing Institute","title":"Interplay between Mitochondrial Protein Import and Respiratory Complexes Assembly in Neuronal Health and Degeneration","type":"article-journal","volume":"11"},"uris":["http://www.mendeley.com/documents/?uuid=51468300-a435-31a5-a6a9-052c56273d5e"]}],"mendeley":{"formattedCitation":"[48]","plainTextFormattedCitation":"[48]","previouslyFormattedCitation":"[48]"},"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[48]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It is to note that some well characterized proteins of the mitoribosome are imported into the matrix without displaying the classical MTS sequence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{"citationItems":[{"id":"ITEM-1","itemData":{"DOI":"10.15252/embj.2021109519","ISSN":"0261-4189","PMID":"34786732","abstract":"Mitochondrial ribosomes are complex molecular machines indispensable for respiration. Their assembly involves the import of several dozens of mitochondrial ribosomal proteins (MRPs), encoded in the nuclear genome, into the mitochondrial matrix. Proteomic and structural data as well as computational predictions indicate that up to 25% of yeast MRPs do not have a conventional N-terminal mitochondrial targeting signal (MTS). We experimentally characterized a set of 15 yeast MRPs in vivo and found that five use internal MTSs. Further analysis of a conserved model MRP, Mrp17/bS6m, revealed the identity of the internal targeting signal. Similar to conventional MTS-containing proteins, the internal sequence mediates binding to TOM complexes. The entire sequence of Mrp17 contains positive charges mediating translocation. The fact that these sequence properties could not be reliably predicted by standard methods shows that mitochon-drial protein targeting is more versatile than expected. We hypothesize that structural constraints imposed by ribosome assembly interfaces may have disfavored N-terminal presequences and driven the evolution of internal targeting signals in MRPs.","author":[{"dropping-particle":"","family":"Bykov","given":"Yury S","non-dropping-particle":"","parse-names":false,"suffix":""},{"dropping-particle":"","family":"Flohr","given":"Tamara","non-dropping-particle":"","parse-names":false,"suffix":""},{"dropping-particle":"","family":"Boos","given":"Felix","non-dropping-particle":"","parse-names":false,"suffix":""},{"dropping-particle":"","family":"Zung","given":"Naama","non-dropping-particle":"","parse-names":false,"suffix":""},{"dropping-particle":"","family":"Herrmann","given":"Johannes M","non-dropping-particle":"","parse-names":false,"suffix":""},{"dropping-particle":"","family":"Schuldiner","given":"Maya","non-dropping-particle":"","parse-names":false,"suffix":""}],"container-title":"The EMBO Journal","id":"ITEM-1","issue":"1","issued":{"date-parts":[["2022","1","4"]]},"page":"e109519","publisher":"European Molecular Biology Organization","title":"Widespread use of unconventional targeting signals in mitochondrial ribosome proteins","type":"article-journal","volume":"41"},"uris":["http://www.mendeley.com/documents/?uuid=8c753c32-9ac2-37c4-90c2-31e1f59f6afd"]}],"mendeley":{"formattedCitation":"[50]","plainTextFormattedCitation":"[50]","previouslyFormattedCitation":"[50]"},"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[50]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Lately, novel mechanism</w:t>
      </w:r>
      <w:r w:rsidR="001D7D54" w:rsidRPr="002E26D2">
        <w:rPr>
          <w:rFonts w:ascii="Times New Roman" w:hAnsi="Times New Roman" w:cs="Times New Roman"/>
          <w:sz w:val="24"/>
          <w:szCs w:val="24"/>
        </w:rPr>
        <w:t>s</w:t>
      </w:r>
      <w:r w:rsidRPr="002E26D2">
        <w:rPr>
          <w:rFonts w:ascii="Times New Roman" w:hAnsi="Times New Roman" w:cs="Times New Roman"/>
          <w:sz w:val="24"/>
          <w:szCs w:val="24"/>
        </w:rPr>
        <w:t xml:space="preserve"> based on </w:t>
      </w:r>
      <w:bookmarkStart w:id="15" w:name="_Hlk106013586"/>
      <w:r w:rsidRPr="002E26D2">
        <w:rPr>
          <w:rFonts w:ascii="Times New Roman" w:hAnsi="Times New Roman" w:cs="Times New Roman"/>
          <w:sz w:val="24"/>
          <w:szCs w:val="24"/>
        </w:rPr>
        <w:t xml:space="preserve">internal </w:t>
      </w:r>
      <w:r w:rsidR="00DC0D41" w:rsidRPr="002E26D2">
        <w:rPr>
          <w:rFonts w:ascii="Times New Roman" w:hAnsi="Times New Roman" w:cs="Times New Roman"/>
          <w:sz w:val="24"/>
          <w:szCs w:val="24"/>
        </w:rPr>
        <w:t>MTS</w:t>
      </w:r>
      <w:r w:rsidR="001D7D54" w:rsidRPr="002E26D2">
        <w:rPr>
          <w:rFonts w:ascii="Times New Roman" w:hAnsi="Times New Roman" w:cs="Times New Roman"/>
          <w:sz w:val="24"/>
          <w:szCs w:val="24"/>
        </w:rPr>
        <w:t xml:space="preserve"> sequences</w:t>
      </w:r>
      <w:r w:rsidRPr="002E26D2">
        <w:rPr>
          <w:rFonts w:ascii="Times New Roman" w:hAnsi="Times New Roman" w:cs="Times New Roman"/>
          <w:sz w:val="24"/>
          <w:szCs w:val="24"/>
        </w:rPr>
        <w:t xml:space="preserve"> </w:t>
      </w:r>
      <w:bookmarkEnd w:id="15"/>
      <w:r w:rsidRPr="002E26D2">
        <w:rPr>
          <w:rFonts w:ascii="Times New Roman" w:hAnsi="Times New Roman" w:cs="Times New Roman"/>
          <w:sz w:val="24"/>
          <w:szCs w:val="24"/>
        </w:rPr>
        <w:t>(iMTS) w</w:t>
      </w:r>
      <w:r w:rsidR="001D7D54" w:rsidRPr="002E26D2">
        <w:rPr>
          <w:rFonts w:ascii="Times New Roman" w:hAnsi="Times New Roman" w:cs="Times New Roman"/>
          <w:sz w:val="24"/>
          <w:szCs w:val="24"/>
        </w:rPr>
        <w:t>ere</w:t>
      </w:r>
      <w:r w:rsidRPr="002E26D2">
        <w:rPr>
          <w:rFonts w:ascii="Times New Roman" w:hAnsi="Times New Roman" w:cs="Times New Roman"/>
          <w:sz w:val="24"/>
          <w:szCs w:val="24"/>
        </w:rPr>
        <w:t xml:space="preserve"> proposed to help the import of proteins within the matrix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{"citationItems":[{"id":"ITEM-1","itemData":{"DOI":"10.1515/hsz-2021-0185","ISSN":"1431-6730","PMID":"34218542","abstract":"Matrix targeting sequences (MTSs) direct proteins from the cytosol into mitochondria. Efficient targeting often relies on internal matrix targeting-like sequences (iMTS-Ls) which share structural features with MTSs. Predicting iMTS-Ls was tedious and required multiple tools and webservices. We present iMLP, a deep learning approach for the prediction of iMTS-Ls in protein sequences. A recurrent neural network has been trained to predict iMTS-L propensity profiles for protein sequences of interest. The iMLP predictor considerably exceeds the speed of existing approaches. Expanding on our previous work on iMTS-L prediction, we now serve an intuitive iMLP webservice available at http://iMLP.bio.uni-kl.de and a stand-alone command line tool for power user in addition.","author":[{"dropping-particle":"","family":"Schneider","given":"Kevin","non-dropping-particle":"","parse-names":false,"suffix":""},{"dropping-particle":"","family":"Zimmer","given":"David","non-dropping-particle":"","parse-names":false,"suffix":""},{"dropping-particle":"","family":"Nielsen","given":"Henrik","non-dropping-particle":"","parse-names":false,"suffix":""},{"dropping-particle":"","family":"Herrmann","given":"Johannes M.","non-dropping-particle":"","parse-names":false,"suffix":""},{"dropping-particle":"","family":"Mühlhaus","given":"Timo","non-dropping-particle":"","parse-names":false,"suffix":""}],"container-title":"Biological Chemistry","id":"ITEM-1","issue":"8","issued":{"date-parts":[["2021","7","27"]]},"page":"937-943","publisher":"De Gruyter Open Ltd","title":"iMLP, a predictor for internal matrix targeting-like sequences in mitochondrial proteins","type":"article-journal","volume":"402"},"uris":["http://www.mendeley.com/documents/?uuid=1e0db018-d961-3f31-a7c6-2e634527a6e2"]},{"id":"ITEM-2","itemData":{"DOI":"10.15252/embj.2021109519","ISSN":"0261-4189","PMID":"34786732","abstract":"Mitochondrial ribosomes are complex molecular machines indispensable for respiration. Their assembly involves the import of several dozens of mitochondrial ribosomal proteins (MRPs), encoded in the nuclear genome, into the mitochondrial matrix. Proteomic and structural data as well as computational predictions indicate that up to 25% of yeast MRPs do not have a conventional N-terminal mitochondrial targeting signal (MTS). We experimentally characterized a set of 15 yeast MRPs in vivo and found that five use internal MTSs. Further analysis of a conserved model MRP, Mrp17/bS6m, revealed the identity of the internal targeting signal. Similar to conventional MTS-containing proteins, the internal sequence mediates binding to TOM complexes. The entire sequence of Mrp17 contains positive charges mediating translocation. The fact that these sequence properties could not be reliably predicted by standard methods shows that mitochon-drial protein targeting is more versatile than expected. We hypothesize that structural constraints imposed by ribosome assembly interfaces may have disfavored N-terminal presequences and driven the evolution of internal targeting signals in MRPs.","author":[{"dropping-particle":"","family":"Bykov","given":"Yury S","non-dropping-particle":"","parse-names":false,"suffix":""},{"dropping-particle":"","family":"Flohr","given":"Tamara","non-dropping-particle":"","parse-names":false,"suffix":""},{"dropping-particle":"","family":"Boos","given":"Felix","non-dropping-particle":"","parse-names":false,"suffix":""},{"dropping-particle":"","family":"Zung","given":"Naama","non-dropping-particle":"","parse-names":false,"suffix":""},{"dropping-particle":"","family":"Herrmann","given":"Johannes M","non-dropping-particle":"","parse-names":false,"suffix":""},{"dropping-particle":"","family":"Schuldiner","given":"Maya","non-dropping-particle":"","parse-names":false,"suffix":""}],"container-title":"The EMBO Journal","id":"ITEM-2","issue":"1","issued":{"date-parts":[["2022","1","4"]]},"page":"e109519","publisher":"European Molecular Biology Organization","title":"Widespread use of unconventional targeting signals in mitochondrial ribosome proteins","type":"article-journal","volume":"41"},"uris":["http://www.mendeley.com/documents/?uuid=8c753c32-9ac2-37c4-90c2-31e1f59f6afd"]}],"mendeley":{"formattedCitation":"[50,51]","plainTextFormattedCitation":"[50,51]","previouslyFormattedCitation":"[50,51]"},"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[50,51]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2088935A" w14:textId="77777777" w:rsidR="00AC1B79"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7F6C4FC3" wp14:editId="2A5DA48B">
            <wp:extent cx="5760000" cy="318440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000" cy="3184401"/>
                    </a:xfrm>
                    <a:prstGeom prst="rect">
                      <a:avLst/>
                    </a:prstGeom>
                  </pic:spPr>
                </pic:pic>
              </a:graphicData>
            </a:graphic>
          </wp:inline>
        </w:drawing>
      </w:r>
    </w:p>
    <w:p w14:paraId="3E5C2EA4" w14:textId="7054ABFC" w:rsidR="00AC4DFA" w:rsidRPr="002E26D2" w:rsidRDefault="00AC1B79" w:rsidP="004927BB">
      <w:pPr>
        <w:pStyle w:val="Caption"/>
        <w:spacing w:line="360" w:lineRule="auto"/>
        <w:rPr>
          <w:rFonts w:ascii="Times New Roman" w:hAnsi="Times New Roman" w:cs="Times New Roman"/>
          <w:sz w:val="24"/>
          <w:szCs w:val="24"/>
        </w:rPr>
      </w:pPr>
      <w:bookmarkStart w:id="16" w:name="_Ref106009121"/>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w:t>
      </w:r>
      <w:r w:rsidRPr="002E26D2">
        <w:rPr>
          <w:rFonts w:ascii="Times New Roman" w:hAnsi="Times New Roman" w:cs="Times New Roman"/>
          <w:sz w:val="24"/>
          <w:szCs w:val="24"/>
        </w:rPr>
        <w:fldChar w:fldCharType="end"/>
      </w:r>
      <w:bookmarkStart w:id="17" w:name="_Ref105751119"/>
      <w:bookmarkEnd w:id="16"/>
      <w:r w:rsidRPr="002E26D2">
        <w:rPr>
          <w:rFonts w:ascii="Times New Roman" w:hAnsi="Times New Roman" w:cs="Times New Roman"/>
          <w:sz w:val="24"/>
          <w:szCs w:val="24"/>
        </w:rPr>
        <w:t xml:space="preserve"> </w:t>
      </w:r>
      <w:r w:rsidR="00AC4DFA" w:rsidRPr="00D93E28">
        <w:rPr>
          <w:rFonts w:ascii="Times New Roman" w:hAnsi="Times New Roman" w:cs="Times New Roman"/>
          <w:sz w:val="24"/>
          <w:szCs w:val="24"/>
          <w:u w:val="single"/>
        </w:rPr>
        <w:t>: The human mitochondrial protein import pathways.</w:t>
      </w:r>
      <w:r w:rsidR="00AC4DFA" w:rsidRPr="002E26D2">
        <w:rPr>
          <w:rFonts w:ascii="Times New Roman" w:hAnsi="Times New Roman" w:cs="Times New Roman"/>
          <w:sz w:val="24"/>
          <w:szCs w:val="24"/>
        </w:rPr>
        <w:t xml:space="preserve"> (Taken from Needs</w:t>
      </w:r>
      <w:r w:rsidR="00020D31">
        <w:rPr>
          <w:rFonts w:ascii="Times New Roman" w:hAnsi="Times New Roman" w:cs="Times New Roman"/>
          <w:sz w:val="24"/>
          <w:szCs w:val="24"/>
        </w:rPr>
        <w:t xml:space="preserve"> et al.</w:t>
      </w:r>
      <w:r w:rsidR="00AC4DFA" w:rsidRPr="002E26D2">
        <w:rPr>
          <w:rFonts w:ascii="Times New Roman" w:hAnsi="Times New Roman" w:cs="Times New Roman"/>
          <w:sz w:val="24"/>
          <w:szCs w:val="24"/>
        </w:rPr>
        <w:t>, 2021)</w:t>
      </w:r>
      <w:r w:rsidR="00020D31">
        <w:rPr>
          <w:rFonts w:ascii="Times New Roman" w:hAnsi="Times New Roman" w:cs="Times New Roman"/>
          <w:sz w:val="24"/>
          <w:szCs w:val="24"/>
        </w:rPr>
        <w:t xml:space="preserve"> </w:t>
      </w:r>
      <w:r w:rsidR="00AC4DFA"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{"citationItems":[{"id":"ITEM-1","itemData":{"DOI":"10.3390/life11050432","ISSN":"2075-1729","abstract":"The fact that &gt;99% of mitochondrial proteins are encoded by the nuclear genome and synthesised in the cytosol renders the process of mitochondrial protein import fundamental for normal organelle physiology. In addition to this, the nuclear genome comprises most of the proteins required for respiratory complex assembly and function. This means that without fully functional protein import, mitochondrial respiration will be defective, and the major cellular ATP source depleted. When mitochondrial protein import is impaired, a number of stress response pathways are activated in order to overcome the dysfunction and restore mitochondrial and cellular proteostasis. However, prolonged impaired mitochondrial protein import and subsequent defective respiratory chain function contributes to a number of diseases including primary mitochondrial diseases and neurodegeneration. This review focuses on how the processes of mitochondrial protein translocation and respiratory complex assembly and function are interlinked, how they are regulated, and their importance in health and disease.","author":[{"dropping-particle":"","family":"Needs","given":"Hope I.","non-dropping-particle":"","parse-names":false,"suffix":""},{"dropping-particle":"","family":"Protasoni","given":"Margherita","non-dropping-particle":"","parse-names":false,"suffix":""},{"dropping-particle":"","family":"Henley","given":"Jeremy M.","non-dropping-particle":"","parse-names":false,"suffix":""},{"dropping-particle":"","family":"Prudent","given":"Julien","non-dropping-particle":"","parse-names":false,"suffix":""},{"dropping-particle":"","family":"Collinson","given":"Ian","non-dropping-particle":"","parse-names":false,"suffix":""},{"dropping-particle":"","family":"Pereira","given":"Gonçalo C.","non-dropping-particle":"","parse-names":false,"suffix":""}],"container-title":"Life","id":"ITEM-1","issue":"5","issued":{"date-parts":[["2021","5","11"]]},"page":"432","publisher":"Multidisciplinary Digital Publishing Institute","title":"Interplay between Mitochondrial Protein Import and Respiratory Complexes Assembly in Neuronal Health and Degeneration","type":"article-journal","volume":"11"},"uris":["http://www.mendeley.com/documents/?uuid=51468300-a435-31a5-a6a9-052c56273d5e"]}],"mendeley":{"formattedCitation":"[48]","plainTextFormattedCitation":"[48]","previouslyFormattedCitation":"[48]"},"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1C3E62" w:rsidRPr="001C3E62">
        <w:rPr>
          <w:rFonts w:ascii="Times New Roman" w:hAnsi="Times New Roman" w:cs="Times New Roman"/>
          <w:i w:val="0"/>
          <w:noProof/>
          <w:sz w:val="24"/>
          <w:szCs w:val="24"/>
        </w:rPr>
        <w:t>[48]</w:t>
      </w:r>
      <w:r w:rsidR="00AC4DFA" w:rsidRPr="002E26D2">
        <w:rPr>
          <w:rFonts w:ascii="Times New Roman" w:hAnsi="Times New Roman" w:cs="Times New Roman"/>
          <w:sz w:val="24"/>
          <w:szCs w:val="24"/>
        </w:rPr>
        <w:fldChar w:fldCharType="end"/>
      </w:r>
      <w:bookmarkEnd w:id="17"/>
    </w:p>
    <w:p w14:paraId="717621FE" w14:textId="042991C9" w:rsidR="00AC4DFA" w:rsidRPr="002E26D2" w:rsidRDefault="00AC4DFA" w:rsidP="003775DE">
      <w:pPr>
        <w:pStyle w:val="Heading3"/>
      </w:pPr>
      <w:bookmarkStart w:id="18" w:name="_Toc117153827"/>
      <w:r w:rsidRPr="002E26D2">
        <w:t>Mitochondrial function</w:t>
      </w:r>
      <w:r w:rsidR="00974EFB" w:rsidRPr="002E26D2">
        <w:t>s</w:t>
      </w:r>
      <w:bookmarkEnd w:id="18"/>
    </w:p>
    <w:p w14:paraId="5C02F400" w14:textId="40D5F7DD"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Mitochondria are involved in numerous and diverse cellular functions</w:t>
      </w:r>
      <w:r w:rsidR="00A33B9B" w:rsidRPr="002E26D2">
        <w:rPr>
          <w:rFonts w:ascii="Times New Roman" w:hAnsi="Times New Roman" w:cs="Times New Roman"/>
          <w:sz w:val="24"/>
          <w:szCs w:val="24"/>
        </w:rPr>
        <w:t xml:space="preserve"> (</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_Ref106009135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5</w:t>
      </w:r>
      <w:r w:rsidR="001F33A6" w:rsidRPr="002E26D2">
        <w:rPr>
          <w:rFonts w:ascii="Times New Roman" w:hAnsi="Times New Roman" w:cs="Times New Roman"/>
          <w:sz w:val="24"/>
          <w:szCs w:val="24"/>
        </w:rPr>
        <w:fldChar w:fldCharType="end"/>
      </w:r>
      <w:r w:rsidR="00A33B9B" w:rsidRPr="002E26D2">
        <w:rPr>
          <w:rFonts w:ascii="Times New Roman" w:hAnsi="Times New Roman" w:cs="Times New Roman"/>
          <w:sz w:val="24"/>
          <w:szCs w:val="24"/>
        </w:rPr>
        <w:t>)</w:t>
      </w:r>
      <w:r w:rsidRPr="002E26D2">
        <w:rPr>
          <w:rFonts w:ascii="Times New Roman" w:hAnsi="Times New Roman" w:cs="Times New Roman"/>
          <w:sz w:val="24"/>
          <w:szCs w:val="24"/>
        </w:rPr>
        <w:t xml:space="preserve">, including apoptosis, cell differentiation, stem cell maintenance, inflammation, and others (reviewed in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{"citationItems":[{"id":"ITEM-1","itemData":{"DOI":"10.1038/s41580-020-0210-7","ISSN":"1471-0072","PMID":"32071438","abstract":"Owing to their ability to efficiently generate ATP required to sustain normal cell function, mitochondria are often considered the ‘powerhouses of the cell’. However, our understanding of the role of mitochondria in cell biology recently expanded when we recognized that they are key platforms for a plethora of cell signalling cascades. This functional versatility is tightly coupled to constant reshaping of the cellular mitochondrial network in a series of processes, collectively referred to as mitochondrial membrane dynamics and involving organelle fusion and fission (division) as well as ultrastructural remodelling of the membrane. Accordingly, mitochondrial dynamics influence and often orchestrate not only metabolism but also complex cell signalling events, such as those involved in regulating cell pluripotency, division, differentiation, senescence and death. Reciprocally, mitochondrial membrane dynamics are extensively regulated by post-translational modifications of its machinery and by the formation of membrane contact sites between mitochondria and other organelles, both of which have the capacity to integrate inputs from various pathways. Here, we discuss mitochondrial membrane dynamics and their regulation and describe how bioenergetics and cellular signalling are linked to these dynamic changes of mitochondrial morphology. Mitochondrial networks are dynamically remodelled via fusion, fission and ultrastructural changes to mitochondrial membranes. These mitochondrial membrane dynamics are tightly coupled to cell function, with morphological changes to mitochondria accompanying a multitude of processes as diverse as cell pluripotency, division, differentiation, senescence and death. Accordingly, disturbed dynamics of mitochondrial membranes are linked to severe human disorders.","author":[{"dropping-particle":"","family":"Giacomello","given":"Marta","non-dropping-particle":"","parse-names":false,"suffix":""},{"dropping-particle":"","family":"Pyakurel","given":"Aswin","non-dropping-particle":"","parse-names":false,"suffix":""},{"dropping-particle":"","family":"Glytsou","given":"Christina","non-dropping-particle":"","parse-names":false,"suffix":""},{"dropping-particle":"","family":"Scorrano","given":"Luca","non-dropping-particle":"","parse-names":false,"suffix":""}],"container-title":"Nature Reviews Molecular Cell Biology","id":"ITEM-1","issue":"4","issued":{"date-parts":[["2020","4","18"]]},"page":"204-224","publisher":"Nature Publishing Group","title":"The cell biology of mitochondrial membrane dynamics","type":"article-journal","volume":"21"},"uris":["http://www.mendeley.com/documents/?uuid=a7b34b3e-d6d1-3a29-8039-bcff1eeb0f40"]}],"mendeley":{"formattedCitation":"[52]","plainTextFormattedCitation":"[52]","previouslyFormattedCitation":"[52]"},"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[52]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59B44003" w14:textId="77777777" w:rsidR="00AC1B79"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2F8EC6E2" wp14:editId="60B533EE">
            <wp:extent cx="5390443" cy="2923953"/>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69061" cy="2966598"/>
                    </a:xfrm>
                    <a:prstGeom prst="rect">
                      <a:avLst/>
                    </a:prstGeom>
                  </pic:spPr>
                </pic:pic>
              </a:graphicData>
            </a:graphic>
          </wp:inline>
        </w:drawing>
      </w:r>
    </w:p>
    <w:p w14:paraId="4FB170B5" w14:textId="28DCEEBC" w:rsidR="00AC4DFA" w:rsidRPr="002E26D2" w:rsidRDefault="00AC1B79" w:rsidP="004927BB">
      <w:pPr>
        <w:pStyle w:val="Caption"/>
        <w:spacing w:line="360" w:lineRule="auto"/>
        <w:rPr>
          <w:rFonts w:ascii="Times New Roman" w:hAnsi="Times New Roman" w:cs="Times New Roman"/>
          <w:sz w:val="24"/>
          <w:szCs w:val="24"/>
        </w:rPr>
      </w:pPr>
      <w:bookmarkStart w:id="19" w:name="_Ref106009135"/>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5</w:t>
      </w:r>
      <w:r w:rsidRPr="002E26D2">
        <w:rPr>
          <w:rFonts w:ascii="Times New Roman" w:hAnsi="Times New Roman" w:cs="Times New Roman"/>
          <w:sz w:val="24"/>
          <w:szCs w:val="24"/>
        </w:rPr>
        <w:fldChar w:fldCharType="end"/>
      </w:r>
      <w:bookmarkStart w:id="20" w:name="_Ref105751219"/>
      <w:bookmarkEnd w:id="19"/>
      <w:r w:rsidRPr="002E26D2">
        <w:rPr>
          <w:rFonts w:ascii="Times New Roman" w:hAnsi="Times New Roman" w:cs="Times New Roman"/>
          <w:sz w:val="24"/>
          <w:szCs w:val="24"/>
        </w:rPr>
        <w:t xml:space="preserve"> </w:t>
      </w:r>
      <w:r w:rsidR="00AC4DFA" w:rsidRPr="00D93E28">
        <w:rPr>
          <w:rFonts w:ascii="Times New Roman" w:hAnsi="Times New Roman" w:cs="Times New Roman"/>
          <w:sz w:val="24"/>
          <w:szCs w:val="24"/>
          <w:u w:val="single"/>
        </w:rPr>
        <w:t>: Mitochondrial impacts on cellular functions.</w:t>
      </w:r>
      <w:r w:rsidR="00AC4DFA" w:rsidRPr="002E26D2">
        <w:rPr>
          <w:rFonts w:ascii="Times New Roman" w:hAnsi="Times New Roman" w:cs="Times New Roman"/>
          <w:sz w:val="24"/>
          <w:szCs w:val="24"/>
        </w:rPr>
        <w:t xml:space="preserve"> (Taken from Giacomello</w:t>
      </w:r>
      <w:r w:rsidR="002E2D58">
        <w:rPr>
          <w:rFonts w:ascii="Times New Roman" w:hAnsi="Times New Roman" w:cs="Times New Roman"/>
          <w:sz w:val="24"/>
          <w:szCs w:val="24"/>
        </w:rPr>
        <w:t xml:space="preserve"> et al.,</w:t>
      </w:r>
      <w:r w:rsidR="00AC4DFA" w:rsidRPr="002E26D2">
        <w:rPr>
          <w:rFonts w:ascii="Times New Roman" w:hAnsi="Times New Roman" w:cs="Times New Roman"/>
          <w:sz w:val="24"/>
          <w:szCs w:val="24"/>
        </w:rPr>
        <w:t xml:space="preserve"> 2020) </w:t>
      </w:r>
      <w:r w:rsidR="00AC4DFA" w:rsidRPr="002E26D2">
        <w:rPr>
          <w:rFonts w:ascii="Times New Roman" w:hAnsi="Times New Roman" w:cs="Times New Roman"/>
          <w:sz w:val="24"/>
          <w:szCs w:val="24"/>
          <w:lang w:val="fr-FR"/>
        </w:rPr>
        <w:fldChar w:fldCharType="begin" w:fldLock="1"/>
      </w:r>
      <w:r w:rsidR="00517C5E">
        <w:rPr>
          <w:rFonts w:ascii="Times New Roman" w:hAnsi="Times New Roman" w:cs="Times New Roman"/>
          <w:sz w:val="24"/>
          <w:szCs w:val="24"/>
        </w:rPr>
        <w:instrText>ADDIN CSL_CITATION {"citationItems":[{"id":"ITEM-1","itemData":{"DOI":"10.1038/s41580-020-0210-7","ISSN":"1471-0072","PMID":"32071438","abstract":"Owing to their ability to efficiently generate ATP required to sustain normal cell function, mitochondria are often considered the ‘powerhouses of the cell’. However, our understanding of the role of mitochondria in cell biology recently expanded when we recognized that they are key platforms for a plethora of cell signalling cascades. This functional versatility is tightly coupled to constant reshaping of the cellular mitochondrial network in a series of processes, collectively referred to as mitochondrial membrane dynamics and involving organelle fusion and fission (division) as well as ultrastructural remodelling of the membrane. Accordingly, mitochondrial dynamics influence and often orchestrate not only metabolism but also complex cell signalling events, such as those involved in regulating cell pluripotency, division, differentiation, senescence and death. Reciprocally, mitochondrial membrane dynamics are extensively regulated by post-translational modifications of its machinery and by the formation of membrane contact sites between mitochondria and other organelles, both of which have the capacity to integrate inputs from various pathways. Here, we discuss mitochondrial membrane dynamics and their regulation and describe how bioenergetics and cellular signalling are linked to these dynamic changes of mitochondrial morphology. Mitochondrial networks are dynamically remodelled via fusion, fission and ultrastructural changes to mitochondrial membranes. These mitochondrial membrane dynamics are tightly coupled to cell function, with morphological changes to mitochondria accompanying a multitude of processes as diverse as cell pluripotency, division, differentiation, senescence and death. Accordingly, disturbed dynamics of mitochondrial membranes are linked to severe human disorders.","author":[{"dropping-particle":"","family":"Giacomello","given":"Marta","non-dropping-particle":"","parse-names":false,"suffix":""},{"dropping-particle":"","family":"Pyakurel","given":"Aswin","non-dropping-particle":"","parse-names":false,"suffix":""},{"dropping-particle":"","family":"Glytsou","given":"Christina","non-dropping-particle":"","parse-names":false,"suffix":""},{"dropping-particle":"","family":"Scorrano","given":"Luca","non-dropping-particle":"","parse-names":false,"suffix":""}],"container-title":"Nature Reviews Molecular Cell Biology","id":"ITEM-1","issue":"4","issued":{"date-parts":[["2020","4","18"]]},"page":"204-224","publisher":"Nature Publishing Group","title":"The cell biology of mitochondrial membrane dynamics","type":"article-journal","volume":"21"},"uris":["http://www.mendeley.com/documents/?uuid=a7b34b3e-d6d1-3a29-8039-bcff1eeb0f40"]}],"mendeley":{"formattedCitation":"[52]","plainTextFormattedCitation":"[52]","previouslyFormattedCitation":"[52]"},"properties":{"noteIndex":0},"schema":"https://github.com/citation-style-language/schema/raw/master/csl-citation.json"}</w:instrText>
      </w:r>
      <w:r w:rsidR="00AC4DFA" w:rsidRPr="002E26D2">
        <w:rPr>
          <w:rFonts w:ascii="Times New Roman" w:hAnsi="Times New Roman" w:cs="Times New Roman"/>
          <w:sz w:val="24"/>
          <w:szCs w:val="24"/>
          <w:lang w:val="fr-FR"/>
        </w:rPr>
        <w:fldChar w:fldCharType="separate"/>
      </w:r>
      <w:r w:rsidR="00517C5E" w:rsidRPr="00517C5E">
        <w:rPr>
          <w:rFonts w:ascii="Times New Roman" w:hAnsi="Times New Roman" w:cs="Times New Roman"/>
          <w:i w:val="0"/>
          <w:noProof/>
          <w:sz w:val="24"/>
          <w:szCs w:val="24"/>
        </w:rPr>
        <w:t>[52]</w:t>
      </w:r>
      <w:r w:rsidR="00AC4DFA" w:rsidRPr="002E26D2">
        <w:rPr>
          <w:rFonts w:ascii="Times New Roman" w:hAnsi="Times New Roman" w:cs="Times New Roman"/>
          <w:sz w:val="24"/>
          <w:szCs w:val="24"/>
          <w:lang w:val="fr-FR"/>
        </w:rPr>
        <w:fldChar w:fldCharType="end"/>
      </w:r>
      <w:bookmarkEnd w:id="20"/>
    </w:p>
    <w:p w14:paraId="47B9793D" w14:textId="1587BA15" w:rsidR="00D675FA" w:rsidRPr="002E2D58" w:rsidRDefault="00D675FA" w:rsidP="002E2D58">
      <w:pPr>
        <w:pStyle w:val="Heading4"/>
      </w:pPr>
      <w:bookmarkStart w:id="21" w:name="_Toc117153828"/>
      <w:r w:rsidRPr="002E2D58">
        <w:t>Apoptosis</w:t>
      </w:r>
      <w:bookmarkEnd w:id="21"/>
    </w:p>
    <w:p w14:paraId="0B326BCA" w14:textId="49B58049"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Ironically, the fine regulation of cell death is essential for health and life of multicellular organisms</w:t>
      </w:r>
      <w:r w:rsidR="001E5368"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{"citationItems":[{"id":"ITEM-1","itemData":{"DOI":"10.1016/S0092-8674(00)80564-4","ISSN":"00928674","PMID":"9988219","abstract":"in the process of metamorphosis, both in insects and * The Walter and Eliza Hall Institute mammals. For example, Lockshin coined the phrase of Medical Research \"programmed cell death\" in 1965 to describe cell death Post Office Royal Melbourne Hospital in insect metamorphosis (Lockshin and Williams, 1965), Victoria 3050 and a year later Tata showed that loss of the tadpole's Australia tail involved cell death that could be blocked by cyclo-† Department of Pathology and Medicine heximide and therefore required expression of endoge-Harvard Medical School nous genes (1966). When Kerr, Wyllie, and Currie saw Dana-Farber Cancer Institute that the morphology of liver cells exposed to toxins, and Boston, Massachusetts 02115 lymphocytes treated with hormones, was the same as that described by the embryologist Glucksmann earlier Physiological mechanisms of cell death are used by in the century, they coined a new term, \"apoptosis,\" for multicellular organisms for development and morpho-cell deaths with this distinct morphology-whether they genesis, to control cell number, and as a defensive strat-be in response to physiologic or pathologic stimuli egy to remove infected, mutated, or damaged cells. Cell (Glucksmann, 1951; Kerr et el., 1972). death is required for the normal development of almost Although the first component of a cell death mechanism to be recognized was the mammalian gene Bcl2 all multicellular organisms and commonly involves the (Vaux et al., 1988), the first evidence that a genetic pro-production of excess cells and removal of those that gram existed purely for physiological cell death came are superfluous. Frequently in plants, and occasionally from studying development in C. elegans (Horvitz et al., in other organisms, cytoplasmic or structural compo-1982; Ellis and Horvitz, 1986). The ability of human Bcl2 nents of the dead cell serve important functions. The to prevent programmed cell death in C. elegans showed process of cell death used by metazoans for develop-that apoptosis in mammalian cells and programmed cell ment is highly conserved and is morphologically recog-death in the nematode were the same highly conserved nizable as apoptosis. The evolution of multicellularity process (Vaux et al., 1992). and cell specialization brought with it a need for the regulation of cell death by intercellular signaling. The Types of Cell Death mechanisms that implement developmental apoptosis While most developmental cell deaths in metazoans are may hav…","author":[{"dropping-particle":"","family":"Vaux","given":"David L.","non-dropping-particle":"","parse-names":false,"suffix":""},{"dropping-particle":"","family":"Korsmeyer","given":"Stanley J.","non-dropping-particle":"","parse-names":false,"suffix":""}],"container-title":"Cell","id":"ITEM-1","issue":"2","issued":{"date-parts":[["1999","1","22"]]},"page":"245-254","publisher":"Elsevier","title":"Cell Death in Development","type":"article-journal","volume":"96"},"uris":["http://www.mendeley.com/documents/?uuid=7b17d190-fcf3-3870-91ab-5a8e187e0ddb"]}],"mendeley":{"formattedCitation":"[53]","plainTextFormattedCitation":"[53]","previouslyFormattedCitation":"[53]"},"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[53]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Cancers and auto-immune diseases are promoted by inhibition of cell death, while neurodegenerative diseases are triggered by an excess of cell death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{"citationItems":[{"id":"ITEM-1","itemData":{"DOI":"10.1038/s41580-019-0173-8","ISSN":"1471-0072","PMID":"31636403","abstract":"Through their many and varied metabolic functions, mitochondria power life. Paradoxically, mitochondria also have a central role in apoptotic cell death. Upon induction of mitochondrial apoptosis, mitochondrial outer membrane permeabilization (MOMP) usually commits a cell to die. Apoptotic signalling downstream of MOMP involves cytochrome c release from mitochondria and subsequent caspase activation. As such, targeting MOMP in order to manipulate cell death holds tremendous therapeutic potential across different diseases, including neurodegenerative diseases, autoimmune disorders and cancer. In this Review, we discuss new insights into how mitochondria regulate apoptotic cell death. Surprisingly, recent data demonstrate that besides eliciting caspase activation, MOMP engages various pro-inflammatory signalling functions. As we highlight, together with new findings demonstrating cell survival following MOMP, this pro-inflammatory role suggests that mitochondria-derived signalling downstream of pro-apoptotic cues may also have non-lethal functions. Finally, we discuss the importance and roles of mitochondria in other forms of regulated cell death, including necroptosis, ferroptosis and pyroptosis. Collectively, these new findings offer exciting, unexplored opportunities to target mitochondrial regulation of cell death for clinical benefit. Mitochondria are key executioners of apoptosis. However, it has recently become clear that beyond driving apoptosis, mitochondria also contribute to pro-inflammatory signalling and other types of regulated cell death. These functions are relevant to disease and could be targeted in the treatment of, for example, degenerative disorders, infection and cancer.","author":[{"dropping-particle":"","family":"Bock","given":"Florian J.","non-dropping-particle":"","parse-names":false,"suffix":""},{"dropping-particle":"","family":"Tait","given":"Stephen W. G.","non-dropping-particle":"","parse-names":false,"suffix":""}],"container-title":"Nature Reviews Molecular Cell Biology","id":"ITEM-1","issue":"2","issued":{"date-parts":[["2020","2","21"]]},"page":"85-100","publisher":"Nature Publishing Group","title":"Mitochondria as multifaceted regulators of cell death","type":"article-journal","volume":"21"},"uris":["http://www.mendeley.com/documents/?uuid=f35dae41-3617-3a77-9262-2ef7bbeb0316"]}],"mendeley":{"formattedCitation":"[54]","plainTextFormattedCitation":"[54]","previouslyFormattedCitation":"[54]"},"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[54]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Apoptosis is the major form of regulated cell death, and was shown to be crucial for multicellular organisms, from embryonic development to immune homeostasis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{"citationItems":[{"id":"ITEM-1","itemData":{"DOI":"10.1101/gad.289298.116","ISSN":"0890-9369","PMID":"27798841","abstract":"“Programmed cell death or ‘apoptosis’ is critical for organogenesis during embryonic development and tissue homeostasis in the adult. Its deregulation can contribute to a broad range of human pathologies, including neurodegeneration, cancer, or autoimmunity…” These or similar phrases have become generic opening statements in many reviews and textbooks describing the physiological relevance of apoptotic cell death. However, while the role in disease has been documented beyond doubt, facilitating innovative drug discovery, we wonder whether the former is really true. What goes wrong in vertebrate development or in adult tissue when the main route to apoptotic cell death, controlled by the BCL2 family, is impaired? Such scenarios have been mimicked by deletion of one or more prodeath genes within the BCL2 family, and gene targeting studies in mice exploring the consequences have been manifold. Many of these studies were geared toward understanding the role of BCL2 family proteins and mitochondrial apoptosis in disease, whereas fewer focused in detail on their role during normal development or tissue homeostasis, perhaps also due to an irritating lack of phenotype. Looking at these studies, the relevance of classical programmed cell death by apoptosis for development appears rather limited. Together, these many studies suggest either highly selective and context-dependent contributions of mitochondrial apoptosis or significant redundancy with alternative cell death mechanisms, as summarized and discussed here.","author":[{"dropping-particle":"","family":"Tuzlak","given":"Selma","non-dropping-particle":"","parse-names":false,"suffix":""},{"dropping-particle":"","family":"Kaufmann","given":"Thomas","non-dropping-particle":"","parse-names":false,"suffix":""},{"dropping-particle":"","family":"Villunger","given":"Andreas","non-dropping-particle":"","parse-names":false,"suffix":""}],"container-title":"Genes &amp; Development","id":"ITEM-1","issue":"19","issued":{"date-parts":[["2016","10","1"]]},"page":"2133-2151","publisher":"Cold Spring Harbor Laboratory Press","title":"Interrogating the relevance of mitochondrial apoptosis for vertebrate development and postnatal tissue homeostasis","type":"article-journal","volume":"30"},"uris":["http://www.mendeley.com/documents/?uuid=659f3a7b-70ba-3ddf-8151-3e91c1f0ca33"]}],"mendeley":{"formattedCitation":"[55]","plainTextFormattedCitation":"[55]","previouslyFormattedCitation":"[55]"},"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[55]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Apoptosis is triggered via two major pathways </w:t>
      </w:r>
      <w:r w:rsidR="00A33B9B" w:rsidRPr="002E26D2">
        <w:rPr>
          <w:rFonts w:ascii="Times New Roman" w:hAnsi="Times New Roman" w:cs="Times New Roman"/>
          <w:sz w:val="24"/>
          <w:szCs w:val="24"/>
        </w:rPr>
        <w:t>(</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_Ref106009144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6</w:t>
      </w:r>
      <w:r w:rsidR="001F33A6" w:rsidRPr="002E26D2">
        <w:rPr>
          <w:rFonts w:ascii="Times New Roman" w:hAnsi="Times New Roman" w:cs="Times New Roman"/>
          <w:sz w:val="24"/>
          <w:szCs w:val="24"/>
        </w:rPr>
        <w:fldChar w:fldCharType="end"/>
      </w:r>
      <w:r w:rsidR="00A33B9B" w:rsidRPr="002E26D2">
        <w:rPr>
          <w:rFonts w:ascii="Times New Roman" w:hAnsi="Times New Roman" w:cs="Times New Roman"/>
          <w:sz w:val="24"/>
          <w:szCs w:val="24"/>
        </w:rPr>
        <w:t>)</w:t>
      </w:r>
      <w:r w:rsidRPr="002E26D2">
        <w:rPr>
          <w:rFonts w:ascii="Times New Roman" w:hAnsi="Times New Roman" w:cs="Times New Roman"/>
          <w:sz w:val="24"/>
          <w:szCs w:val="24"/>
        </w:rPr>
        <w:t xml:space="preserve">: the extrinsic pathway </w:t>
      </w:r>
      <w:r w:rsidR="001E5368" w:rsidRPr="002E26D2">
        <w:rPr>
          <w:rFonts w:ascii="Times New Roman" w:hAnsi="Times New Roman" w:cs="Times New Roman"/>
          <w:sz w:val="24"/>
          <w:szCs w:val="24"/>
        </w:rPr>
        <w:t>i</w:t>
      </w:r>
      <w:r w:rsidRPr="002E26D2">
        <w:rPr>
          <w:rFonts w:ascii="Times New Roman" w:hAnsi="Times New Roman" w:cs="Times New Roman"/>
          <w:sz w:val="24"/>
          <w:szCs w:val="24"/>
        </w:rPr>
        <w:t xml:space="preserve">s </w:t>
      </w:r>
      <w:r w:rsidR="001E5368" w:rsidRPr="002E26D2">
        <w:rPr>
          <w:rFonts w:ascii="Times New Roman" w:hAnsi="Times New Roman" w:cs="Times New Roman"/>
          <w:sz w:val="24"/>
          <w:szCs w:val="24"/>
        </w:rPr>
        <w:t>the</w:t>
      </w:r>
      <w:r w:rsidRPr="002E26D2">
        <w:rPr>
          <w:rFonts w:ascii="Times New Roman" w:hAnsi="Times New Roman" w:cs="Times New Roman"/>
          <w:sz w:val="24"/>
          <w:szCs w:val="24"/>
        </w:rPr>
        <w:t xml:space="preserve"> result of a ligand’s fixation on death receptors at the surface of the plasma membrane, while the intrinsic pathway is activated by internal apoptotic stimulus</w:t>
      </w:r>
      <w:r w:rsidR="002E2D58">
        <w:rPr>
          <w:rFonts w:ascii="Times New Roman" w:hAnsi="Times New Roman" w:cs="Times New Roman"/>
          <w:sz w:val="24"/>
          <w:szCs w:val="24"/>
        </w:rPr>
        <w:t xml:space="preserve"> </w:t>
      </w:r>
      <w:r w:rsidR="002E2D58">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{"citationItems":[{"id":"ITEM-1","itemData":{"DOI":"10.1038/s41580-019-0173-8","ISSN":"1471-0072","PMID":"31636403","abstract":"Through their many and varied metabolic functions, mitochondria power life. Paradoxically, mitochondria also have a central role in apoptotic cell death. Upon induction of mitochondrial apoptosis, mitochondrial outer membrane permeabilization (MOMP) usually commits a cell to die. Apoptotic signalling downstream of MOMP involves cytochrome c release from mitochondria and subsequent caspase activation. As such, targeting MOMP in order to manipulate cell death holds tremendous therapeutic potential across different diseases, including neurodegenerative diseases, autoimmune disorders and cancer. In this Review, we discuss new insights into how mitochondria regulate apoptotic cell death. Surprisingly, recent data demonstrate that besides eliciting caspase activation, MOMP engages various pro-inflammatory signalling functions. As we highlight, together with new findings demonstrating cell survival following MOMP, this pro-inflammatory role suggests that mitochondria-derived signalling downstream of pro-apoptotic cues may also have non-lethal functions. Finally, we discuss the importance and roles of mitochondria in other forms of regulated cell death, including necroptosis, ferroptosis and pyroptosis. Collectively, these new findings offer exciting, unexplored opportunities to target mitochondrial regulation of cell death for clinical benefit. Mitochondria are key executioners of apoptosis. However, it has recently become clear that beyond driving apoptosis, mitochondria also contribute to pro-inflammatory signalling and other types of regulated cell death. These functions are relevant to disease and could be targeted in the treatment of, for example, degenerative disorders, infection and cancer.","author":[{"dropping-particle":"","family":"Bock","given":"Florian J.","non-dropping-particle":"","parse-names":false,"suffix":""},{"dropping-particle":"","family":"Tait","given":"Stephen W. G.","non-dropping-particle":"","parse-names":false,"suffix":""}],"container-title":"Nature Reviews Molecular Cell Biology","id":"ITEM-1","issue":"2","issued":{"date-parts":[["2020","2","21"]]},"page":"85-100","publisher":"Nature Publishing Group","title":"Mitochondria as multifaceted regulators of cell death","type":"article-journal","volume":"21"},"uris":["http://www.mendeley.com/documents/?uuid=f35dae41-3617-3a77-9262-2ef7bbeb0316"]}],"mendeley":{"formattedCitation":"[54]","plainTextFormattedCitation":"[54]","previouslyFormattedCitation":"[54]"},"properties":{"noteIndex":0},"schema":"https://github.com/citation-style-language/schema/raw/master/csl-citation.json"}</w:instrText>
      </w:r>
      <w:r w:rsidR="002E2D58">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[54]</w:t>
      </w:r>
      <w:r w:rsidR="002E2D58">
        <w:rPr>
          <w:rFonts w:ascii="Times New Roman" w:hAnsi="Times New Roman" w:cs="Times New Roman"/>
          <w:sz w:val="24"/>
          <w:szCs w:val="24"/>
        </w:rPr>
        <w:fldChar w:fldCharType="end"/>
      </w:r>
      <w:r w:rsidRPr="002E26D2">
        <w:rPr>
          <w:rFonts w:ascii="Times New Roman" w:hAnsi="Times New Roman" w:cs="Times New Roman"/>
          <w:sz w:val="24"/>
          <w:szCs w:val="24"/>
        </w:rPr>
        <w:t>. Eventually, both pathways lead to activation of caspase 3 and caspase 7, and apoptosis. Mitochondria play a central role in the intrinsic pathway. Upon apoptotic stimulus, the mitochondrial outer membrane permeabilization (MOMP) triggered by activation and dimerization of pro-apoptotic proteins (</w:t>
      </w:r>
      <w:bookmarkStart w:id="22" w:name="_Hlk106014315"/>
      <w:r w:rsidR="001E5368" w:rsidRPr="002E26D2">
        <w:rPr>
          <w:rFonts w:ascii="Times New Roman" w:hAnsi="Times New Roman" w:cs="Times New Roman"/>
          <w:sz w:val="24"/>
          <w:szCs w:val="24"/>
        </w:rPr>
        <w:t xml:space="preserve">BCL2 associated X </w:t>
      </w:r>
      <w:bookmarkEnd w:id="22"/>
      <w:r w:rsidR="001E5368" w:rsidRPr="002E26D2">
        <w:rPr>
          <w:rFonts w:ascii="Times New Roman" w:hAnsi="Times New Roman" w:cs="Times New Roman"/>
          <w:sz w:val="24"/>
          <w:szCs w:val="24"/>
        </w:rPr>
        <w:t xml:space="preserve">/ </w:t>
      </w:r>
      <w:bookmarkStart w:id="23" w:name="_Hlk106014324"/>
      <w:r w:rsidR="001E5368" w:rsidRPr="002E26D2">
        <w:rPr>
          <w:rFonts w:ascii="Times New Roman" w:hAnsi="Times New Roman" w:cs="Times New Roman"/>
          <w:sz w:val="24"/>
          <w:szCs w:val="24"/>
        </w:rPr>
        <w:t xml:space="preserve">BCL2 homologous antagonist/killer </w:t>
      </w:r>
      <w:bookmarkEnd w:id="23"/>
      <w:r w:rsidR="001E5368" w:rsidRPr="002E26D2">
        <w:rPr>
          <w:rFonts w:ascii="Times New Roman" w:hAnsi="Times New Roman" w:cs="Times New Roman"/>
          <w:sz w:val="24"/>
          <w:szCs w:val="24"/>
        </w:rPr>
        <w:t>(</w:t>
      </w:r>
      <w:r w:rsidRPr="002E26D2">
        <w:rPr>
          <w:rFonts w:ascii="Times New Roman" w:hAnsi="Times New Roman" w:cs="Times New Roman"/>
          <w:sz w:val="24"/>
          <w:szCs w:val="24"/>
        </w:rPr>
        <w:t>Bax/Bak</w:t>
      </w:r>
      <w:r w:rsidR="001E5368" w:rsidRPr="002E26D2">
        <w:rPr>
          <w:rFonts w:ascii="Times New Roman" w:hAnsi="Times New Roman" w:cs="Times New Roman"/>
          <w:sz w:val="24"/>
          <w:szCs w:val="24"/>
        </w:rPr>
        <w:t>)</w:t>
      </w:r>
      <w:r w:rsidRPr="002E26D2">
        <w:rPr>
          <w:rFonts w:ascii="Times New Roman" w:hAnsi="Times New Roman" w:cs="Times New Roman"/>
          <w:sz w:val="24"/>
          <w:szCs w:val="24"/>
        </w:rPr>
        <w:t>) results in the release of the soluble IMS into the cytoplasm, including proteins such as cytochrome C, SMAC</w:t>
      </w:r>
      <w:r w:rsidR="00876F76" w:rsidRPr="002E26D2">
        <w:rPr>
          <w:rFonts w:ascii="Times New Roman" w:hAnsi="Times New Roman" w:cs="Times New Roman"/>
          <w:sz w:val="24"/>
          <w:szCs w:val="24"/>
        </w:rPr>
        <w:t xml:space="preserve"> (second mitochondria-derived activator of caspase)</w:t>
      </w:r>
      <w:r w:rsidRPr="002E26D2">
        <w:rPr>
          <w:rFonts w:ascii="Times New Roman" w:hAnsi="Times New Roman" w:cs="Times New Roman"/>
          <w:sz w:val="24"/>
          <w:szCs w:val="24"/>
        </w:rPr>
        <w:t>, OMI</w:t>
      </w:r>
      <w:r w:rsidR="00876F76" w:rsidRPr="002E26D2">
        <w:rPr>
          <w:rFonts w:ascii="Times New Roman" w:hAnsi="Times New Roman" w:cs="Times New Roman"/>
          <w:sz w:val="24"/>
          <w:szCs w:val="24"/>
        </w:rPr>
        <w:t xml:space="preserve"> (Serine protease HTRA2)</w:t>
      </w:r>
      <w:r w:rsidRPr="002E26D2">
        <w:rPr>
          <w:rFonts w:ascii="Times New Roman" w:hAnsi="Times New Roman" w:cs="Times New Roman"/>
          <w:sz w:val="24"/>
          <w:szCs w:val="24"/>
        </w:rPr>
        <w:t xml:space="preserve"> and others. Cytochrome C can, therefore, bind to the cytosolic APAF1 (apoptotic peptidase activating factor 1) forming a protein complex called apoptosome, which activate caspases and lead to apoptosis. Together, the liberation of proteins such as SMAC and OMI, </w:t>
      </w:r>
      <w:r w:rsidR="00C66CB7" w:rsidRPr="002E26D2">
        <w:rPr>
          <w:rFonts w:ascii="Times New Roman" w:hAnsi="Times New Roman" w:cs="Times New Roman"/>
          <w:sz w:val="24"/>
          <w:szCs w:val="24"/>
        </w:rPr>
        <w:t>enable</w:t>
      </w:r>
      <w:r w:rsidRPr="002E26D2">
        <w:rPr>
          <w:rFonts w:ascii="Times New Roman" w:hAnsi="Times New Roman" w:cs="Times New Roman"/>
          <w:sz w:val="24"/>
          <w:szCs w:val="24"/>
        </w:rPr>
        <w:t xml:space="preserve"> the blockage of caspase inhibitors like XIAP</w:t>
      </w:r>
      <w:r w:rsidR="00C66CB7" w:rsidRPr="002E26D2">
        <w:rPr>
          <w:rFonts w:ascii="Times New Roman" w:hAnsi="Times New Roman" w:cs="Times New Roman"/>
          <w:sz w:val="24"/>
          <w:szCs w:val="24"/>
        </w:rPr>
        <w:t xml:space="preserve"> (E3 ubiquitin-protein ligase)</w:t>
      </w:r>
      <w:r w:rsidRPr="002E26D2">
        <w:rPr>
          <w:rFonts w:ascii="Times New Roman" w:hAnsi="Times New Roman" w:cs="Times New Roman"/>
          <w:sz w:val="24"/>
          <w:szCs w:val="24"/>
        </w:rPr>
        <w:t xml:space="preserve"> and facilitate the apoptosis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{"citationItems":[{"id":"ITEM-1","itemData":{"DOI":"10.1038/s41580-019-0173-8","ISSN":"1471-0072","PMID":"31636403","abstract":"Through their many and varied metabolic functions, mitochondria power life. Paradoxically, mitochondria also have a central role in apoptotic cell death. Upon induction of mitochondrial apoptosis, mitochondrial outer membrane permeabilization (MOMP) usually commits a cell to die. Apoptotic signalling downstream of MOMP involves cytochrome c release from mitochondria and subsequent caspase activation. As such, targeting MOMP in order to manipulate cell death holds tremendous therapeutic potential across different diseases, including neurodegenerative diseases, autoimmune disorders and cancer. In this Review, we discuss new insights into how mitochondria regulate apoptotic cell death. Surprisingly, recent data demonstrate that besides eliciting caspase activation, MOMP engages various pro-inflammatory signalling functions. As we highlight, together with new findings demonstrating cell survival following MOMP, this pro-inflammatory role suggests that mitochondria-derived signalling downstream of pro-apoptotic cues may also have non-lethal functions. Finally, we discuss the importance and roles of mitochondria in other forms of regulated cell death, including necroptosis, ferroptosis and pyroptosis. Collectively, these new findings offer exciting, unexplored opportunities to target mitochondrial regulation of cell death for clinical benefit. Mitochondria are key executioners of apoptosis. However, it has recently become clear that beyond driving apoptosis, mitochondria also contribute to pro-inflammatory signalling and other types of regulated cell death. These functions are relevant to disease and could be targeted in the treatment of, for example, degenerative disorders, infection and cancer.","author":[{"dropping-particle":"","family":"Bock","given":"Florian J.","non-dropping-particle":"","parse-names":false,"suffix":""},{"dropping-particle":"","family":"Tait","given":"Stephen W. G.","non-dropping-particle":"","parse-names":false,"suffix":""}],"container-title":"Nature Reviews Molecular Cell Biology","id":"ITEM-1","issue":"2","issued":{"date-parts":[["2020","2","21"]]},"page":"85-100","publisher":"Nature Publishing Group","title":"Mitochondria as multifaceted regulators of cell death","type":"article-journal","volume":"21"},"uris":["http://www.mendeley.com/documents/?uuid=f35dae41-3617-3a77-9262-2ef7bbeb0316"]}],"mendeley":{"formattedCitation":"[54]","plainTextFormattedCitation":"[54]","previouslyFormattedCitation":"[54]"},"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[54]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719A86D1" w14:textId="77777777" w:rsidR="00AC1B79"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64025B91" wp14:editId="016D74E4">
            <wp:extent cx="5760000" cy="36266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000" cy="3626643"/>
                    </a:xfrm>
                    <a:prstGeom prst="rect">
                      <a:avLst/>
                    </a:prstGeom>
                  </pic:spPr>
                </pic:pic>
              </a:graphicData>
            </a:graphic>
          </wp:inline>
        </w:drawing>
      </w:r>
    </w:p>
    <w:p w14:paraId="32E427F5" w14:textId="2F4D9FB7" w:rsidR="00AC4DFA" w:rsidRPr="002E26D2" w:rsidRDefault="00AC1B79" w:rsidP="004927BB">
      <w:pPr>
        <w:pStyle w:val="Caption"/>
        <w:spacing w:line="360" w:lineRule="auto"/>
        <w:rPr>
          <w:rFonts w:ascii="Times New Roman" w:hAnsi="Times New Roman" w:cs="Times New Roman"/>
          <w:sz w:val="24"/>
          <w:szCs w:val="24"/>
        </w:rPr>
      </w:pPr>
      <w:bookmarkStart w:id="24" w:name="_Ref106009144"/>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6</w:t>
      </w:r>
      <w:r w:rsidRPr="002E26D2">
        <w:rPr>
          <w:rFonts w:ascii="Times New Roman" w:hAnsi="Times New Roman" w:cs="Times New Roman"/>
          <w:sz w:val="24"/>
          <w:szCs w:val="24"/>
        </w:rPr>
        <w:fldChar w:fldCharType="end"/>
      </w:r>
      <w:bookmarkEnd w:id="24"/>
      <w:r w:rsidRPr="002E26D2">
        <w:rPr>
          <w:rFonts w:ascii="Times New Roman" w:hAnsi="Times New Roman" w:cs="Times New Roman"/>
          <w:sz w:val="24"/>
          <w:szCs w:val="24"/>
        </w:rPr>
        <w:t xml:space="preserve"> </w:t>
      </w:r>
      <w:bookmarkStart w:id="25" w:name="_Ref105751199"/>
      <w:r w:rsidR="00AC4DFA" w:rsidRPr="00D93E28">
        <w:rPr>
          <w:rFonts w:ascii="Times New Roman" w:hAnsi="Times New Roman" w:cs="Times New Roman"/>
          <w:sz w:val="24"/>
          <w:szCs w:val="24"/>
          <w:u w:val="single"/>
        </w:rPr>
        <w:t>: The extrinsic and intrinsic apoptosis signaling pathways.</w:t>
      </w:r>
      <w:r w:rsidR="00AC4DFA" w:rsidRPr="002E26D2">
        <w:rPr>
          <w:rFonts w:ascii="Times New Roman" w:hAnsi="Times New Roman" w:cs="Times New Roman"/>
          <w:sz w:val="24"/>
          <w:szCs w:val="24"/>
        </w:rPr>
        <w:t xml:space="preserve"> Extrinsic pathway is triggered by fixation of a ligand on the death receptor at the cellular surface. Intrinsic pathway process intracellular apoptosis signals around mitochondria, which is the central actor of apoptosis. (Taken from Bock</w:t>
      </w:r>
      <w:r w:rsidR="00B759A8">
        <w:rPr>
          <w:rFonts w:ascii="Times New Roman" w:hAnsi="Times New Roman" w:cs="Times New Roman"/>
          <w:sz w:val="24"/>
          <w:szCs w:val="24"/>
        </w:rPr>
        <w:t xml:space="preserve"> et al.,</w:t>
      </w:r>
      <w:r w:rsidR="00AC4DFA" w:rsidRPr="002E26D2">
        <w:rPr>
          <w:rFonts w:ascii="Times New Roman" w:hAnsi="Times New Roman" w:cs="Times New Roman"/>
          <w:sz w:val="24"/>
          <w:szCs w:val="24"/>
        </w:rPr>
        <w:t xml:space="preserve"> 2019) </w:t>
      </w:r>
      <w:r w:rsidR="00AC4DFA"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{"citationItems":[{"id":"ITEM-1","itemData":{"DOI":"10.1038/s41580-019-0173-8","ISSN":"1471-0072","PMID":"31636403","abstract":"Through their many and varied metabolic functions, mitochondria power life. Paradoxically, mitochondria also have a central role in apoptotic cell death. Upon induction of mitochondrial apoptosis, mitochondrial outer membrane permeabilization (MOMP) usually commits a cell to die. Apoptotic signalling downstream of MOMP involves cytochrome c release from mitochondria and subsequent caspase activation. As such, targeting MOMP in order to manipulate cell death holds tremendous therapeutic potential across different diseases, including neurodegenerative diseases, autoimmune disorders and cancer. In this Review, we discuss new insights into how mitochondria regulate apoptotic cell death. Surprisingly, recent data demonstrate that besides eliciting caspase activation, MOMP engages various pro-inflammatory signalling functions. As we highlight, together with new findings demonstrating cell survival following MOMP, this pro-inflammatory role suggests that mitochondria-derived signalling downstream of pro-apoptotic cues may also have non-lethal functions. Finally, we discuss the importance and roles of mitochondria in other forms of regulated cell death, including necroptosis, ferroptosis and pyroptosis. Collectively, these new findings offer exciting, unexplored opportunities to target mitochondrial regulation of cell death for clinical benefit. Mitochondria are key executioners of apoptosis. However, it has recently become clear that beyond driving apoptosis, mitochondria also contribute to pro-inflammatory signalling and other types of regulated cell death. These functions are relevant to disease and could be targeted in the treatment of, for example, degenerative disorders, infection and cancer.","author":[{"dropping-particle":"","family":"Bock","given":"Florian J.","non-dropping-particle":"","parse-names":false,"suffix":""},{"dropping-particle":"","family":"Tait","given":"Stephen W. G.","non-dropping-particle":"","parse-names":false,"suffix":""}],"container-title":"Nature Reviews Molecular Cell Biology","id":"ITEM-1","issue":"2","issued":{"date-parts":[["2020","2","21"]]},"page":"85-100","publisher":"Nature Publishing Group","title":"Mitochondria as multifaceted regulators of cell death","type":"article-journal","volume":"21"},"uris":["http://www.mendeley.com/documents/?uuid=f35dae41-3617-3a77-9262-2ef7bbeb0316"]}],"mendeley":{"formattedCitation":"[54]","plainTextFormattedCitation":"[54]","previouslyFormattedCitation":"[54]"},"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517C5E" w:rsidRPr="00517C5E">
        <w:rPr>
          <w:rFonts w:ascii="Times New Roman" w:hAnsi="Times New Roman" w:cs="Times New Roman"/>
          <w:i w:val="0"/>
          <w:noProof/>
          <w:sz w:val="24"/>
          <w:szCs w:val="24"/>
        </w:rPr>
        <w:t>[54]</w:t>
      </w:r>
      <w:r w:rsidR="00AC4DFA" w:rsidRPr="002E26D2">
        <w:rPr>
          <w:rFonts w:ascii="Times New Roman" w:hAnsi="Times New Roman" w:cs="Times New Roman"/>
          <w:sz w:val="24"/>
          <w:szCs w:val="24"/>
        </w:rPr>
        <w:fldChar w:fldCharType="end"/>
      </w:r>
      <w:bookmarkEnd w:id="25"/>
    </w:p>
    <w:p w14:paraId="553A2DA0" w14:textId="68B763CF" w:rsidR="00AC4DFA" w:rsidRPr="002E26D2" w:rsidRDefault="00AC4DFA" w:rsidP="002E2D58">
      <w:pPr>
        <w:pStyle w:val="Heading4"/>
      </w:pPr>
      <w:bookmarkStart w:id="26" w:name="_Ref106010830"/>
      <w:bookmarkStart w:id="27" w:name="_Toc117153829"/>
      <w:r w:rsidRPr="002E26D2">
        <w:t>Aerobic respiration</w:t>
      </w:r>
      <w:bookmarkEnd w:id="26"/>
      <w:bookmarkEnd w:id="27"/>
    </w:p>
    <w:p w14:paraId="33F52DDD" w14:textId="7E39DC14" w:rsidR="00AC4DFA"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Mitochondria take a central role in </w:t>
      </w:r>
      <w:r w:rsidR="00466204" w:rsidRPr="002E26D2">
        <w:rPr>
          <w:rFonts w:ascii="Times New Roman" w:hAnsi="Times New Roman" w:cs="Times New Roman"/>
          <w:sz w:val="24"/>
          <w:szCs w:val="24"/>
        </w:rPr>
        <w:t xml:space="preserve">the </w:t>
      </w:r>
      <w:r w:rsidRPr="002E26D2">
        <w:rPr>
          <w:rFonts w:ascii="Times New Roman" w:hAnsi="Times New Roman" w:cs="Times New Roman"/>
          <w:sz w:val="24"/>
          <w:szCs w:val="24"/>
        </w:rPr>
        <w:t>cellular metabolism by efficiently generating ATP through aerobic respiration, and are thus considered as ‘powerhouses of the cell’</w:t>
      </w:r>
      <w:r w:rsidR="00361077">
        <w:rPr>
          <w:rFonts w:ascii="Times New Roman" w:hAnsi="Times New Roman" w:cs="Times New Roman"/>
          <w:sz w:val="24"/>
          <w:szCs w:val="24"/>
        </w:rPr>
        <w:t xml:space="preserve"> </w:t>
      </w:r>
      <w:r w:rsidR="00361077">
        <w:rPr>
          <w:rFonts w:ascii="Times New Roman" w:hAnsi="Times New Roman" w:cs="Times New Roman"/>
          <w:sz w:val="24"/>
          <w:szCs w:val="24"/>
        </w:rPr>
        <w:fldChar w:fldCharType="begin" w:fldLock="1"/>
      </w:r>
      <w:r w:rsidR="0038109F">
        <w:rPr>
          <w:rFonts w:ascii="Times New Roman" w:hAnsi="Times New Roman" w:cs="Times New Roman"/>
          <w:sz w:val="24"/>
          <w:szCs w:val="24"/>
        </w:rPr>
        <w:instrText>ADDIN CSL_CITATION {"citationItems":[{"id":"ITEM-1","itemData":{"DOI":"10.3390/ijms22020586","ISSN":"1422-0067","PMID":"33435522","abstract":"Mitochondria are ubiquitous intracellular organelles found in almost all eukaryotes and involved in various aspects of cellular life, with a primary role in energy production. The interest in this organelle has grown stronger with the discovery of their link to various pathologies, including cancer, aging and neurodegenerative diseases. Indeed, dysfunctional mitochondria cannot provide the required energy to tissues with a high-energy demand, such as heart, brain and muscles, leading to a large spectrum of clinical phenotypes. Mitochondrial defects are at the origin of a group of clinically heterogeneous pathologies, called mitochondrial diseases, with an incidence of 1 in 5000 live births. Primary mitochondrial diseases are associated with genetic mutations both in nuclear and mitochondrial DNA (mtDNA), affecting genes involved in every aspect of the organelle function. As a consequence, it is difficult to find a common cause for mitochondrial diseases and, subsequently, to offer a precise clinical definition of the pathology. Moreover, the complexity of this condition makes it challenging to identify possible therapies or drug targets.","author":[{"dropping-particle":"","family":"Protasoni","given":"Margherita","non-dropping-particle":"","parse-names":false,"suffix":""},{"dropping-particle":"","family":"Zeviani","given":"Massimo","non-dropping-particle":"","parse-names":false,"suffix":""}],"container-title":"International Journal of Molecular Sciences","id":"ITEM-1","issue":"2","issued":{"date-parts":[["2021","1","8"]]},"page":"586","title":"Mitochondrial Structure and Bioenergetics in Normal and Disease Conditions","type":"article-journal","volume":"22"},"uris":["http://www.mendeley.com/documents/?uuid=8a2a3aa5-6a12-48e1-923b-aec751e121dd"]}],"mendeley":{"formattedCitation":"[40]","plainTextFormattedCitation":"[40]","previouslyFormattedCitation":"[40]"},"properties":{"noteIndex":0},"schema":"https://github.com/citation-style-language/schema/raw/master/csl-citation.json"}</w:instrText>
      </w:r>
      <w:r w:rsidR="00361077">
        <w:rPr>
          <w:rFonts w:ascii="Times New Roman" w:hAnsi="Times New Roman" w:cs="Times New Roman"/>
          <w:sz w:val="24"/>
          <w:szCs w:val="24"/>
        </w:rPr>
        <w:fldChar w:fldCharType="separate"/>
      </w:r>
      <w:r w:rsidR="00361077" w:rsidRPr="00361077">
        <w:rPr>
          <w:rFonts w:ascii="Times New Roman" w:hAnsi="Times New Roman" w:cs="Times New Roman"/>
          <w:noProof/>
          <w:sz w:val="24"/>
          <w:szCs w:val="24"/>
        </w:rPr>
        <w:t>[40]</w:t>
      </w:r>
      <w:r w:rsidR="00361077">
        <w:rPr>
          <w:rFonts w:ascii="Times New Roman" w:hAnsi="Times New Roman" w:cs="Times New Roman"/>
          <w:sz w:val="24"/>
          <w:szCs w:val="24"/>
        </w:rPr>
        <w:fldChar w:fldCharType="end"/>
      </w:r>
      <w:r w:rsidRPr="002E26D2">
        <w:rPr>
          <w:rFonts w:ascii="Times New Roman" w:hAnsi="Times New Roman" w:cs="Times New Roman"/>
          <w:sz w:val="24"/>
          <w:szCs w:val="24"/>
        </w:rPr>
        <w:t xml:space="preserve">. First, the glycolysis occurring in the cytosol converts glucose into pyruvate, which will be transported into the mitochondrial matrix and oxidized as </w:t>
      </w:r>
      <w:bookmarkStart w:id="28" w:name="_Hlk106015018"/>
      <w:r w:rsidRPr="002E26D2">
        <w:rPr>
          <w:rFonts w:ascii="Times New Roman" w:hAnsi="Times New Roman" w:cs="Times New Roman"/>
          <w:sz w:val="24"/>
          <w:szCs w:val="24"/>
        </w:rPr>
        <w:t xml:space="preserve">Acetyl-Coenzyme A </w:t>
      </w:r>
      <w:bookmarkEnd w:id="28"/>
      <w:r w:rsidRPr="002E26D2">
        <w:rPr>
          <w:rFonts w:ascii="Times New Roman" w:hAnsi="Times New Roman" w:cs="Times New Roman"/>
          <w:sz w:val="24"/>
          <w:szCs w:val="24"/>
        </w:rPr>
        <w:t>(</w:t>
      </w:r>
      <w:bookmarkStart w:id="29" w:name="_Hlk106015008"/>
      <w:r w:rsidRPr="002E26D2">
        <w:rPr>
          <w:rFonts w:ascii="Times New Roman" w:hAnsi="Times New Roman" w:cs="Times New Roman"/>
          <w:sz w:val="24"/>
          <w:szCs w:val="24"/>
        </w:rPr>
        <w:t>Acetyl CoA</w:t>
      </w:r>
      <w:bookmarkEnd w:id="29"/>
      <w:r w:rsidRPr="002E26D2">
        <w:rPr>
          <w:rFonts w:ascii="Times New Roman" w:hAnsi="Times New Roman" w:cs="Times New Roman"/>
          <w:sz w:val="24"/>
          <w:szCs w:val="24"/>
        </w:rPr>
        <w:t xml:space="preserve">). The latest molecule, which is also a product of </w:t>
      </w:r>
      <w:r w:rsidR="00361077">
        <w:rPr>
          <w:rFonts w:ascii="Times New Roman" w:hAnsi="Times New Roman" w:cs="Times New Roman"/>
          <w:sz w:val="24"/>
          <w:szCs w:val="24"/>
        </w:rPr>
        <w:t xml:space="preserve">the </w:t>
      </w:r>
      <w:r w:rsidR="00BD2BE2">
        <w:rPr>
          <w:rFonts w:ascii="Times New Roman" w:hAnsi="Times New Roman" w:cs="Times New Roman"/>
          <w:sz w:val="24"/>
          <w:szCs w:val="24"/>
        </w:rPr>
        <w:t>β-</w:t>
      </w:r>
      <w:r w:rsidRPr="002E26D2">
        <w:rPr>
          <w:rFonts w:ascii="Times New Roman" w:hAnsi="Times New Roman" w:cs="Times New Roman"/>
          <w:sz w:val="24"/>
          <w:szCs w:val="24"/>
        </w:rPr>
        <w:t xml:space="preserve">oxidation of fatty acids and metabolization of amino acids, will be processed in the Krebs cycle (also named citric acid cycle or </w:t>
      </w:r>
      <w:bookmarkStart w:id="30" w:name="_Hlk106015053"/>
      <w:r w:rsidRPr="002E26D2">
        <w:rPr>
          <w:rFonts w:ascii="Times New Roman" w:hAnsi="Times New Roman" w:cs="Times New Roman"/>
          <w:sz w:val="24"/>
          <w:szCs w:val="24"/>
        </w:rPr>
        <w:t xml:space="preserve">tricarboxylic acid cycle </w:t>
      </w:r>
      <w:bookmarkEnd w:id="30"/>
      <w:r w:rsidRPr="002E26D2">
        <w:rPr>
          <w:rFonts w:ascii="Times New Roman" w:hAnsi="Times New Roman" w:cs="Times New Roman"/>
          <w:sz w:val="24"/>
          <w:szCs w:val="24"/>
        </w:rPr>
        <w:t>(TCA)), resulting in the production of NADH and FADH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xml:space="preserve"> molecules. The two high energy electron carriers will be used to produce ATP through the OXPHOS process, involving the mitochondrial electron transport chain (ETC) and the ATP synthase, densely packed in cristae (</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_Ref106009155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7</w:t>
      </w:r>
      <w:r w:rsidR="001F33A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ETC is composed of four protein complexes embedded in the MIM</w:t>
      </w:r>
      <w:r w:rsidR="005A0586" w:rsidRPr="002E26D2">
        <w:rPr>
          <w:rFonts w:ascii="Times New Roman" w:hAnsi="Times New Roman" w:cs="Times New Roman"/>
          <w:sz w:val="24"/>
          <w:szCs w:val="24"/>
        </w:rPr>
        <w:t xml:space="preserve"> (</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_Ref106009164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8</w:t>
      </w:r>
      <w:r w:rsidR="001F33A6" w:rsidRPr="002E26D2">
        <w:rPr>
          <w:rFonts w:ascii="Times New Roman" w:hAnsi="Times New Roman" w:cs="Times New Roman"/>
          <w:sz w:val="24"/>
          <w:szCs w:val="24"/>
        </w:rPr>
        <w:fldChar w:fldCharType="end"/>
      </w:r>
      <w:r w:rsidR="005A0586" w:rsidRPr="002E26D2">
        <w:rPr>
          <w:rFonts w:ascii="Times New Roman" w:hAnsi="Times New Roman" w:cs="Times New Roman"/>
          <w:sz w:val="24"/>
          <w:szCs w:val="24"/>
        </w:rPr>
        <w:t>)</w:t>
      </w:r>
      <w:r w:rsidRPr="002E26D2">
        <w:rPr>
          <w:rFonts w:ascii="Times New Roman" w:hAnsi="Times New Roman" w:cs="Times New Roman"/>
          <w:sz w:val="24"/>
          <w:szCs w:val="24"/>
        </w:rPr>
        <w:t>. Complexes I and II are loading the chain with electrons by the utilization of NADH and FADH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xml:space="preserve"> respectively. Electrons are transferred to complex III via ubiquinone, and will be used for the reduction of cytochrome C. The soluble cytochrome C </w:t>
      </w:r>
      <w:r w:rsidRPr="002E26D2">
        <w:rPr>
          <w:rFonts w:ascii="Times New Roman" w:hAnsi="Times New Roman" w:cs="Times New Roman"/>
          <w:sz w:val="24"/>
          <w:szCs w:val="24"/>
        </w:rPr>
        <w:lastRenderedPageBreak/>
        <w:t>will finally transfer electrons to complex IV where they will be used to catalyze the formation of 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xml:space="preserve">O from proton and oxygen. The ETC results in the pumping of protons from the mitochondrial matrix to the cristae lumen, part of the IMS, via complexes I, III and IV. As protons are trapped in the cristae lumen, a proton gradient is created across the MIM. The ATP synthase complex, also named complex V, uses the proton gradient to catalyze </w:t>
      </w:r>
      <w:r w:rsidR="00361077">
        <w:rPr>
          <w:rFonts w:ascii="Times New Roman" w:hAnsi="Times New Roman" w:cs="Times New Roman"/>
          <w:sz w:val="24"/>
          <w:szCs w:val="24"/>
        </w:rPr>
        <w:t xml:space="preserve">in the matrix </w:t>
      </w:r>
      <w:r w:rsidRPr="002E26D2">
        <w:rPr>
          <w:rFonts w:ascii="Times New Roman" w:hAnsi="Times New Roman" w:cs="Times New Roman"/>
          <w:sz w:val="24"/>
          <w:szCs w:val="24"/>
        </w:rPr>
        <w:t xml:space="preserve">the formation of ATP from ADP and inorganic phosphate (Pi)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{"citationItems":[{"id":"ITEM-1","itemData":{"ISBN":"10: 0-87893-106-6","author":[{"dropping-particle":"","family":"Cooper GM","given":"","non-dropping-particle":"","parse-names":false,"suffix":""}],"edition":"2nd","id":"ITEM-1","issued":{"date-parts":[["2000"]]},"publisher":"Sunderland (MA): Sinauer Associates","title":"The Cell: A Molecular Approach.","type":"book"},"uris":["http://www.mendeley.com/documents/?uuid=609b0e68-7201-4122-9184-da39e844d9cf"]},{"id":"ITEM-2","itemData":{"DOI":"10.3892/ijmm.2019.4188","ISSN":"1107-3756","PMID":"31115493","abstract":"The mammalian mitochondrial electron transport chain (ETC) includes complexes I-IV, as well as the electron transporters ubiquinone and cytochrome c. There are two electron transport pathways in the ETC: Complex I/III/IV, with NADH as the substrate and complex II/III/IV, with succinic acid as the substrate. The electron flow is coupled with the generation of a proton gradient across the inner membrane and the energy accumulated in the proton gradient is used by complex V (ATP synthase) to produce ATP. The first part of this review briefly introduces the structure and function of complexes I‑IV and ATP synthase, including the specific electron transfer process in each complex. Some electrons are directly transferred to O2 to generate reactive oxygen species (ROS) in the ETC. The second part of this review discusses the sites of ROS generation in each ETC complex, including sites IF and IQ in complex I, site IIF in complex II and site IIIQo in complex III, and the physiological and pathological regulation of ROS. As signaling molecules, ROS play an important role in cell proliferation, hypoxia adaptation and cell fate determination, but excessive ROS can cause irreversible cell damage and even cell death. The occurrence and development of a number of diseases are closely related to ROS overproduction. Finally, proton leak and uncoupling proteins (UCPS) are discussed. Proton leak consists of basal proton leak and induced proton leak. Induced proton leak is precisely regulated and induced by UCPs. A total of five UCPs (UCP1‑5) have been identified in mammalian cells. UCP1 mainly plays a role in the maintenance of body temperature in a cold environment through non-shivering thermogenesis. The core role of UCP2-5 is to reduce oxidative stress under certain conditions, therefore exerting cytoprotective effects. All diseases involving oxidative stress are associated with UCPs.","author":[{"dropping-particle":"","family":"Zhao","given":"Ru‑Zhou","non-dropping-particle":"","parse-names":false,"suffix":""},{"dropping-particle":"","family":"Jiang","given":"Shuai","non-dropping-particle":"","parse-names":false,"suffix":""},{"dropping-particle":"","family":"Zhang","given":"Lin","non-dropping-particle":"","parse-names":false,"suffix":""},{"dropping-particle":"","family":"Yu","given":"Zhi‑Bin","non-dropping-particle":"","parse-names":false,"suffix":""}],"container-title":"International Journal of Molecular Medicine","id":"ITEM-2","issue":"1","issued":{"date-parts":[["2019","5","8"]]},"page":"3","publisher":"Spandidos Publications","title":"Mitochondrial electron transport chain, ROS generation and uncoupling (Review)","type":"article-journal","volume":"44"},"uris":["http://www.mendeley.com/documents/?uuid=5d03b14d-4f6e-3229-b758-c1185c340262"]},{"id":"ITEM-3","itemData":{"DOI":"10.1016/j.bbamem.2017.03.013","ISSN":"00052736","PMID":"28336315","abstract":"A fundamental question in cell biology, under investigation for over six decades, is the structural organization of mitochondrial cristae. Long known to harbor electron transport chain proteins, crista membrane integrity is key to establishment of the proton gradient that drives oxidative phosphorylation. Visualization of cristae morphology by electron microscopy/tomography has provided evidence that cristae are tube-like extensions of the mitochondrial inner membrane (IM) that project into the matrix space. Reconciling ultrastructural data with the lipid composition of the IM provides support for a continuously curved cylindrical bilayer capped by a dome-shaped tip. Strain imposed by the degree of curvature is relieved by an asymmetric distribution of phospholipids in monolayer leaflets that comprise cristae membranes. The signature mitochondrial lipid, cardiolipin (~ 18% of IM phospholipid mass), and phosphatidylethanolamine (34%) segregate to the negatively curved monolayer leaflet facing the crista lumen while the opposing, positively curved, matrix-facing monolayer leaflet contains predominantly phosphatidylcholine. Associated with cristae are numerous proteins that function in distinctive ways to establish and/or maintain their lipid repertoire and structural integrity. By combining unique lipid components with a set of protein modulators, crista membranes adopt and maintain their characteristic morphological and functional properties. Once established, cristae ultrastructure has a direct impact on oxidative phosphorylation, apoptosis, fusion/fission as well as diseases of compromised energy metabolism.","author":[{"dropping-particle":"","family":"Ikon","given":"Nikita","non-dropping-particle":"","parse-names":false,"suffix":""},{"dropping-particle":"","family":"Ryan","given":"Robert O.","non-dropping-particle":"","parse-names":false,"suffix":""}],"container-title":"Biochimica et Biophysica Acta (BBA) - Biomembranes","id":"ITEM-3","issue":"6","issued":{"date-parts":[["2017","6","1"]]},"page":"1156-1163","publisher":"Elsevier","title":"Cardiolipin and mitochondrial cristae organization","type":"article-journal","volume":"1859"},"uris":["http://www.mendeley.com/documents/?uuid=c426459a-4917-3ced-b939-9e1323dc1a14"]}],"mendeley":{"formattedCitation":"[56–58]","plainTextFormattedCitation":"[56–58]","previouslyFormattedCitation":"[56–58]"},"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[56–58]</w:t>
      </w:r>
      <w:r w:rsidRPr="002E26D2">
        <w:rPr>
          <w:rFonts w:ascii="Times New Roman" w:hAnsi="Times New Roman" w:cs="Times New Roman"/>
          <w:sz w:val="24"/>
          <w:szCs w:val="24"/>
        </w:rPr>
        <w:fldChar w:fldCharType="end"/>
      </w:r>
      <w:r w:rsidR="0075738E" w:rsidRPr="002E26D2">
        <w:rPr>
          <w:rFonts w:ascii="Times New Roman" w:hAnsi="Times New Roman" w:cs="Times New Roman"/>
          <w:sz w:val="24"/>
          <w:szCs w:val="24"/>
        </w:rPr>
        <w:t>.</w:t>
      </w:r>
    </w:p>
    <w:p w14:paraId="340752B9" w14:textId="77777777" w:rsidR="0038109F" w:rsidRPr="002E26D2" w:rsidRDefault="0038109F" w:rsidP="004927BB">
      <w:pPr>
        <w:spacing w:line="360" w:lineRule="auto"/>
        <w:jc w:val="both"/>
        <w:rPr>
          <w:rFonts w:ascii="Times New Roman" w:hAnsi="Times New Roman" w:cs="Times New Roman"/>
          <w:sz w:val="24"/>
          <w:szCs w:val="24"/>
        </w:rPr>
      </w:pPr>
    </w:p>
    <w:p w14:paraId="6B9A3AC1" w14:textId="77777777" w:rsidR="00AC1B79"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4163089B" wp14:editId="640439CE">
            <wp:extent cx="5760000" cy="372364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000" cy="3723643"/>
                    </a:xfrm>
                    <a:prstGeom prst="rect">
                      <a:avLst/>
                    </a:prstGeom>
                  </pic:spPr>
                </pic:pic>
              </a:graphicData>
            </a:graphic>
          </wp:inline>
        </w:drawing>
      </w:r>
    </w:p>
    <w:p w14:paraId="3040D6DC" w14:textId="3211673B" w:rsidR="00AC4DFA" w:rsidRPr="002E26D2" w:rsidRDefault="00AC1B79" w:rsidP="004927BB">
      <w:pPr>
        <w:pStyle w:val="Caption"/>
        <w:spacing w:line="360" w:lineRule="auto"/>
        <w:rPr>
          <w:rFonts w:ascii="Times New Roman" w:hAnsi="Times New Roman" w:cs="Times New Roman"/>
          <w:sz w:val="24"/>
          <w:szCs w:val="24"/>
        </w:rPr>
      </w:pPr>
      <w:bookmarkStart w:id="31" w:name="_Ref106009155"/>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7</w:t>
      </w:r>
      <w:r w:rsidRPr="002E26D2">
        <w:rPr>
          <w:rFonts w:ascii="Times New Roman" w:hAnsi="Times New Roman" w:cs="Times New Roman"/>
          <w:sz w:val="24"/>
          <w:szCs w:val="24"/>
        </w:rPr>
        <w:fldChar w:fldCharType="end"/>
      </w:r>
      <w:bookmarkStart w:id="32" w:name="_Ref105751266"/>
      <w:bookmarkEnd w:id="31"/>
      <w:r w:rsidRPr="002E26D2">
        <w:rPr>
          <w:rFonts w:ascii="Times New Roman" w:hAnsi="Times New Roman" w:cs="Times New Roman"/>
          <w:sz w:val="24"/>
          <w:szCs w:val="24"/>
        </w:rPr>
        <w:t xml:space="preserve"> </w:t>
      </w:r>
      <w:r w:rsidR="00AC4DFA" w:rsidRPr="009C51BF">
        <w:rPr>
          <w:rFonts w:ascii="Times New Roman" w:hAnsi="Times New Roman" w:cs="Times New Roman"/>
          <w:sz w:val="24"/>
          <w:szCs w:val="24"/>
          <w:u w:val="single"/>
        </w:rPr>
        <w:t>: Aerobic respiration.</w:t>
      </w:r>
      <w:r w:rsidR="00AC4DFA" w:rsidRPr="002E26D2">
        <w:rPr>
          <w:rFonts w:ascii="Times New Roman" w:hAnsi="Times New Roman" w:cs="Times New Roman"/>
          <w:sz w:val="24"/>
          <w:szCs w:val="24"/>
        </w:rPr>
        <w:t xml:space="preserve"> Acetyl-CoA originating either from glycolysis, fatty acid or amino acid metabolisms is processed in the Krebs (TCA) cycle in the mitochondrial matrix to release NADH and FADH</w:t>
      </w:r>
      <w:r w:rsidR="00AC4DFA" w:rsidRPr="002E26D2">
        <w:rPr>
          <w:rFonts w:ascii="Times New Roman" w:hAnsi="Times New Roman" w:cs="Times New Roman"/>
          <w:sz w:val="24"/>
          <w:szCs w:val="24"/>
          <w:vertAlign w:val="subscript"/>
        </w:rPr>
        <w:t>2</w:t>
      </w:r>
      <w:r w:rsidR="00AC4DFA" w:rsidRPr="002E26D2">
        <w:rPr>
          <w:rFonts w:ascii="Times New Roman" w:hAnsi="Times New Roman" w:cs="Times New Roman"/>
          <w:sz w:val="24"/>
          <w:szCs w:val="24"/>
        </w:rPr>
        <w:t>. The two high energy electron carriers are used in the ETC to pump protons from matrix to cristae lumen, via the consumption of oxygen. The return of protons in the matrix is used to generate ATP</w:t>
      </w:r>
      <w:r w:rsidR="0065194B">
        <w:rPr>
          <w:rFonts w:ascii="Times New Roman" w:hAnsi="Times New Roman" w:cs="Times New Roman"/>
          <w:sz w:val="24"/>
          <w:szCs w:val="24"/>
        </w:rPr>
        <w:t>.</w:t>
      </w:r>
      <w:r w:rsidR="00AC4DFA" w:rsidRPr="002E26D2">
        <w:rPr>
          <w:rFonts w:ascii="Times New Roman" w:hAnsi="Times New Roman" w:cs="Times New Roman"/>
          <w:sz w:val="24"/>
          <w:szCs w:val="24"/>
        </w:rPr>
        <w:t xml:space="preserve"> (</w:t>
      </w:r>
      <w:r w:rsidR="0065194B">
        <w:rPr>
          <w:rFonts w:ascii="Times New Roman" w:hAnsi="Times New Roman" w:cs="Times New Roman"/>
          <w:sz w:val="24"/>
          <w:szCs w:val="24"/>
        </w:rPr>
        <w:t>T</w:t>
      </w:r>
      <w:r w:rsidR="00AC4DFA" w:rsidRPr="002E26D2">
        <w:rPr>
          <w:rFonts w:ascii="Times New Roman" w:hAnsi="Times New Roman" w:cs="Times New Roman"/>
          <w:sz w:val="24"/>
          <w:szCs w:val="24"/>
        </w:rPr>
        <w:t>aken from Ikon</w:t>
      </w:r>
      <w:r w:rsidR="00745257">
        <w:rPr>
          <w:rFonts w:ascii="Times New Roman" w:hAnsi="Times New Roman" w:cs="Times New Roman"/>
          <w:sz w:val="24"/>
          <w:szCs w:val="24"/>
        </w:rPr>
        <w:t xml:space="preserve"> et al.,</w:t>
      </w:r>
      <w:r w:rsidR="00AC4DFA" w:rsidRPr="002E26D2">
        <w:rPr>
          <w:rFonts w:ascii="Times New Roman" w:hAnsi="Times New Roman" w:cs="Times New Roman"/>
          <w:sz w:val="24"/>
          <w:szCs w:val="24"/>
        </w:rPr>
        <w:t xml:space="preserve"> 2017) </w:t>
      </w:r>
      <w:r w:rsidR="00AC4DFA"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{"citationItems":[{"id":"ITEM-1","itemData":{"DOI":"10.1016/j.bbamem.2017.03.013","ISSN":"00052736","PMID":"28336315","abstract":"A fundamental question in cell biology, under investigation for over six decades, is the structural organization of mitochondrial cristae. Long known to harbor electron transport chain proteins, crista membrane integrity is key to establishment of the proton gradient that drives oxidative phosphorylation. Visualization of cristae morphology by electron microscopy/tomography has provided evidence that cristae are tube-like extensions of the mitochondrial inner membrane (IM) that project into the matrix space. Reconciling ultrastructural data with the lipid composition of the IM provides support for a continuously curved cylindrical bilayer capped by a dome-shaped tip. Strain imposed by the degree of curvature is relieved by an asymmetric distribution of phospholipids in monolayer leaflets that comprise cristae membranes. The signature mitochondrial lipid, cardiolipin (~ 18% of IM phospholipid mass), and phosphatidylethanolamine (34%) segregate to the negatively curved monolayer leaflet facing the crista lumen while the opposing, positively curved, matrix-facing monolayer leaflet contains predominantly phosphatidylcholine. Associated with cristae are numerous proteins that function in distinctive ways to establish and/or maintain their lipid repertoire and structural integrity. By combining unique lipid components with a set of protein modulators, crista membranes adopt and maintain their characteristic morphological and functional properties. Once established, cristae ultrastructure has a direct impact on oxidative phosphorylation, apoptosis, fusion/fission as well as diseases of compromised energy metabolism.","author":[{"dropping-particle":"","family":"Ikon","given":"Nikita","non-dropping-particle":"","parse-names":false,"suffix":""},{"dropping-particle":"","family":"Ryan","given":"Robert O.","non-dropping-particle":"","parse-names":false,"suffix":""}],"container-title":"Biochimica et Biophysica Acta (BBA) - Biomembranes","id":"ITEM-1","issue":"6","issued":{"date-parts":[["2017","6","1"]]},"page":"1156-1163","publisher":"Elsevier","title":"Cardiolipin and mitochondrial cristae organization","type":"article-journal","volume":"1859"},"uris":["http://www.mendeley.com/documents/?uuid=c426459a-4917-3ced-b939-9e1323dc1a14"]}],"mendeley":{"formattedCitation":"[58]","plainTextFormattedCitation":"[58]","previouslyFormattedCitation":"[58]"},"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517C5E" w:rsidRPr="00517C5E">
        <w:rPr>
          <w:rFonts w:ascii="Times New Roman" w:hAnsi="Times New Roman" w:cs="Times New Roman"/>
          <w:i w:val="0"/>
          <w:noProof/>
          <w:sz w:val="24"/>
          <w:szCs w:val="24"/>
        </w:rPr>
        <w:t>[58]</w:t>
      </w:r>
      <w:r w:rsidR="00AC4DFA" w:rsidRPr="002E26D2">
        <w:rPr>
          <w:rFonts w:ascii="Times New Roman" w:hAnsi="Times New Roman" w:cs="Times New Roman"/>
          <w:sz w:val="24"/>
          <w:szCs w:val="24"/>
        </w:rPr>
        <w:fldChar w:fldCharType="end"/>
      </w:r>
      <w:bookmarkEnd w:id="32"/>
    </w:p>
    <w:p w14:paraId="3550DCDB" w14:textId="77777777" w:rsidR="00AC1B79"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i/>
          <w:noProof/>
          <w:sz w:val="24"/>
          <w:szCs w:val="24"/>
          <w:lang w:val="hr-HR" w:eastAsia="hr-HR"/>
        </w:rPr>
        <w:lastRenderedPageBreak/>
        <w:drawing>
          <wp:inline distT="0" distB="0" distL="0" distR="0" wp14:anchorId="3FB1F9C0" wp14:editId="63CED0B1">
            <wp:extent cx="5760000" cy="422970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000" cy="4229701"/>
                    </a:xfrm>
                    <a:prstGeom prst="rect">
                      <a:avLst/>
                    </a:prstGeom>
                  </pic:spPr>
                </pic:pic>
              </a:graphicData>
            </a:graphic>
          </wp:inline>
        </w:drawing>
      </w:r>
    </w:p>
    <w:p w14:paraId="427F7DC7" w14:textId="56B7E312" w:rsidR="00AC4DFA" w:rsidRPr="002E26D2" w:rsidRDefault="00AC1B79" w:rsidP="004927BB">
      <w:pPr>
        <w:pStyle w:val="Caption"/>
        <w:spacing w:line="360" w:lineRule="auto"/>
        <w:rPr>
          <w:rFonts w:ascii="Times New Roman" w:hAnsi="Times New Roman" w:cs="Times New Roman"/>
          <w:sz w:val="24"/>
          <w:szCs w:val="24"/>
        </w:rPr>
      </w:pPr>
      <w:bookmarkStart w:id="33" w:name="_Ref106009164"/>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8</w:t>
      </w:r>
      <w:r w:rsidRPr="002E26D2">
        <w:rPr>
          <w:rFonts w:ascii="Times New Roman" w:hAnsi="Times New Roman" w:cs="Times New Roman"/>
          <w:sz w:val="24"/>
          <w:szCs w:val="24"/>
        </w:rPr>
        <w:fldChar w:fldCharType="end"/>
      </w:r>
      <w:bookmarkStart w:id="34" w:name="_Ref105751322"/>
      <w:bookmarkEnd w:id="33"/>
      <w:r w:rsidRPr="002E26D2">
        <w:rPr>
          <w:rFonts w:ascii="Times New Roman" w:hAnsi="Times New Roman" w:cs="Times New Roman"/>
          <w:sz w:val="24"/>
          <w:szCs w:val="24"/>
        </w:rPr>
        <w:t xml:space="preserve"> </w:t>
      </w:r>
      <w:r w:rsidR="00AC4DFA" w:rsidRPr="009C51BF">
        <w:rPr>
          <w:rFonts w:ascii="Times New Roman" w:hAnsi="Times New Roman" w:cs="Times New Roman"/>
          <w:sz w:val="24"/>
          <w:szCs w:val="24"/>
          <w:u w:val="single"/>
        </w:rPr>
        <w:t>: Electron transport chain and oxidative phosphorylation.</w:t>
      </w:r>
      <w:r w:rsidR="00AC4DFA" w:rsidRPr="002E26D2">
        <w:rPr>
          <w:rFonts w:ascii="Times New Roman" w:hAnsi="Times New Roman" w:cs="Times New Roman"/>
          <w:sz w:val="24"/>
          <w:szCs w:val="24"/>
        </w:rPr>
        <w:t xml:space="preserve"> Electrons</w:t>
      </w:r>
      <w:r w:rsidR="00322720" w:rsidRPr="002E26D2">
        <w:rPr>
          <w:rFonts w:ascii="Times New Roman" w:hAnsi="Times New Roman" w:cs="Times New Roman"/>
          <w:sz w:val="24"/>
          <w:szCs w:val="24"/>
        </w:rPr>
        <w:t xml:space="preserve"> (e)</w:t>
      </w:r>
      <w:r w:rsidR="00AC4DFA" w:rsidRPr="002E26D2">
        <w:rPr>
          <w:rFonts w:ascii="Times New Roman" w:hAnsi="Times New Roman" w:cs="Times New Roman"/>
          <w:sz w:val="24"/>
          <w:szCs w:val="24"/>
        </w:rPr>
        <w:t xml:space="preserve"> fueled by NADH and FADH</w:t>
      </w:r>
      <w:r w:rsidR="00AC4DFA" w:rsidRPr="002E26D2">
        <w:rPr>
          <w:rFonts w:ascii="Times New Roman" w:hAnsi="Times New Roman" w:cs="Times New Roman"/>
          <w:sz w:val="24"/>
          <w:szCs w:val="24"/>
          <w:vertAlign w:val="subscript"/>
        </w:rPr>
        <w:t>2</w:t>
      </w:r>
      <w:r w:rsidR="00AC4DFA" w:rsidRPr="002E26D2">
        <w:rPr>
          <w:rFonts w:ascii="Times New Roman" w:hAnsi="Times New Roman" w:cs="Times New Roman"/>
          <w:sz w:val="24"/>
          <w:szCs w:val="24"/>
        </w:rPr>
        <w:t xml:space="preserve"> to complex I and II are transferred along the chain </w:t>
      </w:r>
      <w:r w:rsidR="00C86F35" w:rsidRPr="002E26D2">
        <w:rPr>
          <w:rFonts w:ascii="Times New Roman" w:hAnsi="Times New Roman" w:cs="Times New Roman"/>
          <w:sz w:val="24"/>
          <w:szCs w:val="24"/>
        </w:rPr>
        <w:t xml:space="preserve">via </w:t>
      </w:r>
      <w:r w:rsidR="00D36740" w:rsidRPr="002E26D2">
        <w:rPr>
          <w:rFonts w:ascii="Times New Roman" w:hAnsi="Times New Roman" w:cs="Times New Roman"/>
          <w:sz w:val="24"/>
          <w:szCs w:val="24"/>
        </w:rPr>
        <w:t xml:space="preserve">the ubiquinone (Q) and cytochrome C (CytC) proteins </w:t>
      </w:r>
      <w:r w:rsidR="00AC4DFA" w:rsidRPr="002E26D2">
        <w:rPr>
          <w:rFonts w:ascii="Times New Roman" w:hAnsi="Times New Roman" w:cs="Times New Roman"/>
          <w:sz w:val="24"/>
          <w:szCs w:val="24"/>
        </w:rPr>
        <w:t>until complex IV, where oxygen is reduced to water. The process generates the pumping of protons</w:t>
      </w:r>
      <w:r w:rsidR="00322720" w:rsidRPr="002E26D2">
        <w:rPr>
          <w:rFonts w:ascii="Times New Roman" w:hAnsi="Times New Roman" w:cs="Times New Roman"/>
          <w:sz w:val="24"/>
          <w:szCs w:val="24"/>
        </w:rPr>
        <w:t xml:space="preserve"> (H</w:t>
      </w:r>
      <w:r w:rsidR="00322720" w:rsidRPr="002E26D2">
        <w:rPr>
          <w:rFonts w:ascii="Times New Roman" w:hAnsi="Times New Roman" w:cs="Times New Roman"/>
          <w:sz w:val="24"/>
          <w:szCs w:val="24"/>
          <w:vertAlign w:val="superscript"/>
        </w:rPr>
        <w:t>+</w:t>
      </w:r>
      <w:r w:rsidR="00322720" w:rsidRPr="002E26D2">
        <w:rPr>
          <w:rFonts w:ascii="Times New Roman" w:hAnsi="Times New Roman" w:cs="Times New Roman"/>
          <w:sz w:val="24"/>
          <w:szCs w:val="24"/>
        </w:rPr>
        <w:t>)</w:t>
      </w:r>
      <w:r w:rsidR="00AC4DFA" w:rsidRPr="002E26D2">
        <w:rPr>
          <w:rFonts w:ascii="Times New Roman" w:hAnsi="Times New Roman" w:cs="Times New Roman"/>
          <w:sz w:val="24"/>
          <w:szCs w:val="24"/>
        </w:rPr>
        <w:t xml:space="preserve"> from the matrix to </w:t>
      </w:r>
      <w:r w:rsidR="00E07555" w:rsidRPr="002E26D2">
        <w:rPr>
          <w:rFonts w:ascii="Times New Roman" w:hAnsi="Times New Roman" w:cs="Times New Roman"/>
          <w:sz w:val="24"/>
          <w:szCs w:val="24"/>
        </w:rPr>
        <w:t xml:space="preserve">the </w:t>
      </w:r>
      <w:r w:rsidR="00AC4DFA" w:rsidRPr="002E26D2">
        <w:rPr>
          <w:rFonts w:ascii="Times New Roman" w:hAnsi="Times New Roman" w:cs="Times New Roman"/>
          <w:sz w:val="24"/>
          <w:szCs w:val="24"/>
        </w:rPr>
        <w:t>cristae lumen (part of IMS). The proton gradient created is used by the ATP synthase to catalyze the production of ATP. (Taken from Yusoff et al., 2015)</w:t>
      </w:r>
      <w:r w:rsidR="0065194B">
        <w:rPr>
          <w:rFonts w:ascii="Times New Roman" w:hAnsi="Times New Roman" w:cs="Times New Roman"/>
          <w:sz w:val="24"/>
          <w:szCs w:val="24"/>
        </w:rPr>
        <w:t xml:space="preserve"> </w:t>
      </w:r>
      <w:r w:rsidR="00AC4DFA"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{"citationItems":[{"id":"ITEM-1","itemData":{"DOI":"10.5772/58965","ISBN":"978-953-51-2031-5","abstract":"Abstract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Keywords:","author":[{"dropping-particle":"","family":"Yusoff","given":"Abdul Aziz Mohamed","non-dropping-particle":"","parse-names":false,"suffix":""},{"dropping-particle":"","family":"Ahmad","given":"Farizan","non-dropping-particle":"","parse-names":false,"suffix":""},{"dropping-particle":"","family":"Idris","given":"Zamzuri","non-dropping-particle":"","parse-names":false,"suffix":""},{"dropping-particle":"","family":"Jaafar","given":"Hasnan","non-dropping-particle":"","parse-names":false,"suffix":""},{"dropping-particle":"","family":"Abdullah","given":"Jafri Malin","non-dropping-particle":"","parse-names":false,"suffix":""}],"container-title":"Molecular Considerations and Evolving Surgical Management Issues in the Treatment of Patients with a Brain Tumor","id":"ITEM-1","issued":{"date-parts":[["2015","3","25"]]},"publisher":"InTech","title":"Understanding Mitochondrial DNA in Brain Tumorigenesis","type":"chapter"},"uris":["http://www.mendeley.com/documents/?uuid=68205087-97ec-39e4-b8ed-eaedc298735b"]}],"mendeley":{"formattedCitation":"[59]","plainTextFormattedCitation":"[59]","previouslyFormattedCitation":"[59]"},"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517C5E" w:rsidRPr="00517C5E">
        <w:rPr>
          <w:rFonts w:ascii="Times New Roman" w:hAnsi="Times New Roman" w:cs="Times New Roman"/>
          <w:i w:val="0"/>
          <w:noProof/>
          <w:sz w:val="24"/>
          <w:szCs w:val="24"/>
        </w:rPr>
        <w:t>[59]</w:t>
      </w:r>
      <w:r w:rsidR="00AC4DFA" w:rsidRPr="002E26D2">
        <w:rPr>
          <w:rFonts w:ascii="Times New Roman" w:hAnsi="Times New Roman" w:cs="Times New Roman"/>
          <w:sz w:val="24"/>
          <w:szCs w:val="24"/>
        </w:rPr>
        <w:fldChar w:fldCharType="end"/>
      </w:r>
      <w:bookmarkEnd w:id="34"/>
      <w:r w:rsidR="00AC4DFA" w:rsidRPr="002E26D2">
        <w:rPr>
          <w:rFonts w:ascii="Times New Roman" w:hAnsi="Times New Roman" w:cs="Times New Roman"/>
          <w:sz w:val="24"/>
          <w:szCs w:val="24"/>
        </w:rPr>
        <w:t xml:space="preserve"> </w:t>
      </w:r>
    </w:p>
    <w:p w14:paraId="30091C8D" w14:textId="77777777" w:rsidR="00AC4DFA" w:rsidRPr="002E26D2" w:rsidRDefault="00AC4DFA" w:rsidP="004927BB">
      <w:pPr>
        <w:spacing w:line="360" w:lineRule="auto"/>
        <w:jc w:val="both"/>
        <w:rPr>
          <w:rFonts w:ascii="Times New Roman" w:hAnsi="Times New Roman" w:cs="Times New Roman"/>
          <w:sz w:val="24"/>
          <w:szCs w:val="24"/>
        </w:rPr>
      </w:pPr>
    </w:p>
    <w:p w14:paraId="68991E38" w14:textId="57FD9D9D" w:rsidR="00AC4DFA" w:rsidRPr="00F836CB" w:rsidRDefault="00AC4DFA" w:rsidP="004927BB">
      <w:pPr>
        <w:pStyle w:val="Heading2"/>
        <w:spacing w:line="360" w:lineRule="auto"/>
        <w:rPr>
          <w:rFonts w:cs="Times New Roman"/>
          <w:szCs w:val="28"/>
        </w:rPr>
      </w:pPr>
      <w:bookmarkStart w:id="35" w:name="_Toc117153830"/>
      <w:r w:rsidRPr="00F836CB">
        <w:rPr>
          <w:rFonts w:cs="Times New Roman"/>
          <w:szCs w:val="28"/>
        </w:rPr>
        <w:t>NDPK activity</w:t>
      </w:r>
      <w:bookmarkEnd w:id="35"/>
    </w:p>
    <w:p w14:paraId="552931BE" w14:textId="5C708E00"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Nucleoside diphosphate kinases are characterized by their NDPK domain, a specific protein sequence and structure that accommodates the center for NDPK activity. NDPK activity was described as the reversible transfer of the terminal γ-phosphate group from nucleoside triphosphate, mostly ATP</w:t>
      </w:r>
      <w:r w:rsidR="00354224">
        <w:rPr>
          <w:rFonts w:ascii="Times New Roman" w:hAnsi="Times New Roman" w:cs="Times New Roman"/>
          <w:sz w:val="24"/>
          <w:szCs w:val="24"/>
        </w:rPr>
        <w:t>,</w:t>
      </w:r>
      <w:r w:rsidRPr="002E26D2">
        <w:rPr>
          <w:rFonts w:ascii="Times New Roman" w:hAnsi="Times New Roman" w:cs="Times New Roman"/>
          <w:sz w:val="24"/>
          <w:szCs w:val="24"/>
        </w:rPr>
        <w:t xml:space="preserve"> to nucleoside diphosphate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{"citationItems":[{"id":"ITEM-1","itemData":{"DOI":"10.1023/a:1005532912212","ISSN":"0145-479X","PMID":"11768307","abstract":"Nucleoside diphosphate kinases catalyze the reversible transfer of the gamma phosphate of nucleoside triphosphates to nucleoside diphosphates. This minireview presents recent advances in understanding the reaction mechanism using steady-state and fast kinetic studies, X-ray crystallography, and site-directed mutagenesis. We also briefly discuss the physiological relevance of in vitro studies.","author":[{"dropping-particle":"","family":"Lascu","given":"Ioan","non-dropping-particle":"","parse-names":false,"suffix":""},{"dropping-particle":"","family":"Gonin","given":"Philippe","non-dropping-particle":"","parse-names":false,"suffix":""}],"container-title":"Journal of bioenergetics and biomembranes","id":"ITEM-1","issue":"3","issued":{"date-parts":[["2000","6"]]},"page":"237-46","title":"The catalytic mechanism of nucleoside diphosphate kinases.","type":"article-journal","volume":"32"},"uris":["http://www.mendeley.com/documents/?uuid=00656785-7b99-47a5-93cc-e9d01eadb0f2"]}],"mendeley":{"formattedCitation":"[60]","plainTextFormattedCitation":"[60]","previouslyFormattedCitation":"[60]"},"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[60]</w:t>
      </w:r>
      <w:r w:rsidRPr="002E26D2">
        <w:rPr>
          <w:rFonts w:ascii="Times New Roman" w:hAnsi="Times New Roman" w:cs="Times New Roman"/>
          <w:sz w:val="24"/>
          <w:szCs w:val="24"/>
        </w:rPr>
        <w:fldChar w:fldCharType="end"/>
      </w:r>
      <w:r w:rsidR="00354224">
        <w:rPr>
          <w:rFonts w:ascii="Times New Roman" w:hAnsi="Times New Roman" w:cs="Times New Roman"/>
          <w:sz w:val="24"/>
          <w:szCs w:val="24"/>
        </w:rPr>
        <w:t>, thus responsible for the maintenance of cellular nucleotide pool</w:t>
      </w:r>
      <w:r w:rsidR="0038109F">
        <w:rPr>
          <w:rFonts w:ascii="Times New Roman" w:hAnsi="Times New Roman" w:cs="Times New Roman"/>
          <w:sz w:val="24"/>
          <w:szCs w:val="24"/>
        </w:rPr>
        <w:t xml:space="preserve"> </w:t>
      </w:r>
      <w:r w:rsidR="007F6950">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{"citationItems":[{"id":"ITEM-1","itemData":{"DOI":"10.3390/ijms222313083","ISSN":"1422-0067","PMID":"34884887","abstract":"The family of NME proteins represents a quite complex group of multifunctional enzymes [...]","author":[{"dropping-particle":"","family":"Schlattner","given":"Uwe","non-dropping-particle":"","parse-names":false,"suffix":""}],"container-title":"International Journal of Molecular Sciences","id":"ITEM-1","issue":"23","issued":{"date-parts":[["2021","12","3"]]},"page":"13083","publisher":"Multidisciplinary Digital Publishing Institute (MDPI)","title":"The Complex Functions of the NME Family—A Matter of Location and Molecular Activity","type":"article-journal","volume":"22"},"uris":["http://www.mendeley.com/documents/?uuid=7ef92174-b34c-3587-8c64-42df4c0b08b4"]}],"mendeley":{"formattedCitation":"[61]","plainTextFormattedCitation":"[61]","previouslyFormattedCitation":"[61]"},"properties":{"noteIndex":0},"schema":"https://github.com/citation-style-language/schema/raw/master/csl-citation.json"}</w:instrText>
      </w:r>
      <w:r w:rsidR="007F6950">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[61]</w:t>
      </w:r>
      <w:r w:rsidR="007F6950">
        <w:rPr>
          <w:rFonts w:ascii="Times New Roman" w:hAnsi="Times New Roman" w:cs="Times New Roman"/>
          <w:sz w:val="24"/>
          <w:szCs w:val="24"/>
        </w:rPr>
        <w:fldChar w:fldCharType="end"/>
      </w:r>
      <w:r w:rsidR="00354224">
        <w:rPr>
          <w:rFonts w:ascii="Times New Roman" w:hAnsi="Times New Roman" w:cs="Times New Roman"/>
          <w:sz w:val="24"/>
          <w:szCs w:val="24"/>
        </w:rPr>
        <w:t>.</w:t>
      </w:r>
      <w:r w:rsidRPr="002E26D2">
        <w:rPr>
          <w:rFonts w:ascii="Times New Roman" w:hAnsi="Times New Roman" w:cs="Times New Roman"/>
          <w:sz w:val="24"/>
          <w:szCs w:val="24"/>
        </w:rPr>
        <w:t xml:space="preserve"> The NDPK domain catalyze</w:t>
      </w:r>
      <w:r w:rsidR="00A02679" w:rsidRPr="002E26D2">
        <w:rPr>
          <w:rFonts w:ascii="Times New Roman" w:hAnsi="Times New Roman" w:cs="Times New Roman"/>
          <w:sz w:val="24"/>
          <w:szCs w:val="24"/>
        </w:rPr>
        <w:t>s</w:t>
      </w:r>
      <w:r w:rsidRPr="002E26D2">
        <w:rPr>
          <w:rFonts w:ascii="Times New Roman" w:hAnsi="Times New Roman" w:cs="Times New Roman"/>
          <w:sz w:val="24"/>
          <w:szCs w:val="24"/>
        </w:rPr>
        <w:t xml:space="preserve"> the reaction through a ping-pong mechanism</w:t>
      </w:r>
      <w:r w:rsidR="00A02679"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DOI":"10.1016/0006-291X(65)90073-2","ISSN":"0006291X","PMID":"5861687","author":[{"dropping-particle":"","family":"Norman","given":"A.W.","non-dropping-particle":"","parse-names":false,"suffix":""},{"dropping-particle":"","family":"Wedding","given":"R.T.","non-dropping-particle":"","parse-names":false,"suffix":""},{"dropping-particle":"","family":"Black","given":"M.Kay","non-dropping-particle":"","parse-names":false,"suffix":""}],"container-title":"Biochemical and Biophysical Research Communications","id":"ITEM-1","issue":"6","issued":{"date-parts":[["1965","9","22"]]},"page":"703-709","publisher":"Biochem Biophys Res Commun","title":"Detection of phosphohistidine in nucleoside diphosphokinase isolated from Jerusalem artichoke mitochondria","type":"article-journal","volume":"20"},"uris":["http://www.mendeley.com/documents/?uuid=46cb0699-5655-3fed-b4c4-a8b3c0ca2cfd"]},{"id":"ITEM-2","itemData":{"DOI":"10.1016/0006-3002(63)91800-6","ISSN":"00063002","PMID":"14021667","abstract":"A nomenclature is proposed to facilitate discussion of possible mechanisms for enzyme-catalyzed reactions with more than one substrate or product. A shorthand notation for writing down such mechanisms is also described. A general method for expressing the full steady-state rate equations for these mechanisms in terms of measurable kinetic constants is explained, and the resulting rate equations are given for a number of mechanisms with two or three substrates or products. The manner in which kinetic studies can be used to determine enzymic mechanisms is discussed, and examples are given to illustrate the types of information about reaction mechanisms that can be obtained. © 1963.","author":[{"dropping-particle":"","family":"Cleland","given":"W W","non-dropping-particle":"","parse-names":false,"suffix":""}],"container-title":"Biochimica et Biophysica Acta","id":"ITEM-2","issue":"C","issued":{"date-parts":[["1963","1","8"]]},"page":"104-137","publisher":"Biochim Biophys Acta","title":"The kinetics of enzyme-catalyzed reactions with two or more substrates or products. I. Nomenclature and rate equations","type":"article-journal","volume":"67"},"uris":["http://www.mendeley.com/documents/?uuid=3edc9820-39d0-3ef4-88bc-ef50367abba1"]},{"id":"ITEM-3","itemData":{"DOI":"10.1023/a:1005532912212","ISSN":"0145-479X","PMID":"11768307","abstract":"Nucleoside diphosphate kinases catalyze the reversible transfer of the gamma phosphate of nucleoside triphosphates to nucleoside diphosphates. This minireview presents recent advances in understanding the reaction mechanism using steady-state and fast kinetic studies, X-ray crystallography, and site-directed mutagenesis. We also briefly discuss the physiological relevance of in vitro studies.","author":[{"dropping-particle":"","family":"Lascu","given":"Ioan","non-dropping-particle":"","parse-names":false,"suffix":""},{"dropping-particle":"","family":"Gonin","given":"Philippe","non-dropping-particle":"","parse-names":false,"suffix":""}],"container-title":"Journal of bioenergetics and biomembranes","id":"ITEM-3","issue":"3","issued":{"date-parts":[["2000","6"]]},"page":"237-46","title":"The catalytic mechanism of nucleoside diphosphate kinases.","type":"article-journal","volume":"32"},"uris":["http://www.mendeley.com/documents/?uuid=00656785-7b99-47a5-93cc-e9d01eadb0f2"]}],"mendeley":{"formattedCitation":"[60,62,63]","plainTextFormattedCitation":"[60,62,63]","previouslyFormattedCitation":"[60,62,63]"},"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[60,62,63]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schematized on </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_Ref106009176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9</w:t>
      </w:r>
      <w:r w:rsidR="001F33A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First the ATP enters the NDPK catalytic site and its γ-phosphate group is transferred to the main catalytic histidine (H118 for human </w:t>
      </w:r>
      <w:r w:rsidRPr="002E26D2">
        <w:rPr>
          <w:rFonts w:ascii="Times New Roman" w:hAnsi="Times New Roman" w:cs="Times New Roman"/>
          <w:sz w:val="24"/>
          <w:szCs w:val="24"/>
        </w:rPr>
        <w:lastRenderedPageBreak/>
        <w:t>NME1). The histidine is phosphorylated on the first nitrogen atom of the imidazole group (</w:t>
      </w:r>
      <w:r w:rsidR="00FF5CB4" w:rsidRPr="002E26D2">
        <w:rPr>
          <w:rFonts w:ascii="Times New Roman" w:hAnsi="Times New Roman" w:cs="Times New Roman"/>
          <w:sz w:val="24"/>
          <w:szCs w:val="24"/>
        </w:rPr>
        <w:t>1-pHis</w:t>
      </w:r>
      <w:r w:rsidRPr="002E26D2">
        <w:rPr>
          <w:rFonts w:ascii="Times New Roman" w:hAnsi="Times New Roman" w:cs="Times New Roman"/>
          <w:sz w:val="24"/>
          <w:szCs w:val="24"/>
        </w:rPr>
        <w:t xml:space="preserve">), characteristic for NME proteins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{"citationItems":[{"id":"ITEM-1","itemData":{"DOI":"10.1016/j.cell.2015.05.046","ISSN":"00928674","PMID":"26140597","abstract":"Histidine phosphorylation (pHis) is well studied in bacteria; however, its role in mammalian signaling remains largely unexplored due to the lack of pHis-specific antibodies and the lability of the phosphoramidate (P-N) bond. Both imidazole nitrogens can be phosphorylated, forming 1-phosphohistidine (1-pHis) or 3-phosphohistidine (3-pHis). We have developed monoclonal antibodies (mAbs) that specifically recognize 1-pHis or 3-pHis; they do not cross-react with phosphotyrosine or the other pHis isomer. Assays based on the isomer-specific autophosphorylation of NME1 and phosphoglycerate mutase were used with immunoblotting and sequencing IgG variable domains to screen, select, and characterize anti-1-pHis and anti-3-pHis mAbs. Their sequence independence was determined by blotting synthetic peptide arrays, and they have been tested for immunofluorescence staining and immunoaffinity purification, leading to putative identification of pHis-containing proteins. These reagents should be broadly useful for identification of pHis substrates and functional study of pHis using a variety of immunological, proteomic, and biological assays.","author":[{"dropping-particle":"","family":"Fuhs","given":"Stephen Rush","non-dropping-particle":"","parse-names":false,"suffix":""},{"dropping-particle":"","family":"Meisenhelder","given":"Jill","non-dropping-particle":"","parse-names":false,"suffix":""},{"dropping-particle":"","family":"Aslanian","given":"Aaron","non-dropping-particle":"","parse-names":false,"suffix":""},{"dropping-particle":"","family":"Ma","given":"Li","non-dropping-particle":"","parse-names":false,"suffix":""},{"dropping-particle":"","family":"Zagorska","given":"Anna","non-dropping-particle":"","parse-names":false,"suffix":""},{"dropping-particle":"","family":"Stankova","given":"Magda","non-dropping-particle":"","parse-names":false,"suffix":""},{"dropping-particle":"","family":"Binnie","given":"Alan","non-dropping-particle":"","parse-names":false,"suffix":""},{"dropping-particle":"","family":"Al-Obeidi","given":"Fahad","non-dropping-particle":"","parse-names":false,"suffix":""},{"dropping-particle":"","family":"Mauger","given":"Jacques","non-dropping-particle":"","parse-names":false,"suffix":""},{"dropping-particle":"","family":"Lemke","given":"Greg","non-dropping-particle":"","parse-names":false,"suffix":""},{"dropping-particle":"","family":"Yates","given":"John R.","non-dropping-particle":"","parse-names":false,"suffix":""},{"dropping-particle":"","family":"Hunter","given":"Tony","non-dropping-particle":"","parse-names":false,"suffix":""}],"container-title":"Cell","id":"ITEM-1","issue":"1","issued":{"date-parts":[["2015","7","2"]]},"page":"198-210","title":"Monoclonal 1- and 3-Phosphohistidine Antibodies: New Tools to Study Histidine Phosphorylation","type":"article-journal","volume":"162"},"uris":["http://www.mendeley.com/documents/?uuid=7551ccda-e7f6-4178-8b97-264189e45d49"]}],"mendeley":{"formattedCitation":"[64]","plainTextFormattedCitation":"[64]","previouslyFormattedCitation":"[64]"},"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[64]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This represents the </w:t>
      </w:r>
      <w:r w:rsidR="00D52743">
        <w:rPr>
          <w:rFonts w:ascii="Times New Roman" w:hAnsi="Times New Roman" w:cs="Times New Roman"/>
          <w:sz w:val="24"/>
          <w:szCs w:val="24"/>
        </w:rPr>
        <w:t>“</w:t>
      </w:r>
      <w:r w:rsidRPr="002E26D2">
        <w:rPr>
          <w:rFonts w:ascii="Times New Roman" w:hAnsi="Times New Roman" w:cs="Times New Roman"/>
          <w:sz w:val="24"/>
          <w:szCs w:val="24"/>
        </w:rPr>
        <w:t>ping</w:t>
      </w:r>
      <w:r w:rsidR="00D52743">
        <w:rPr>
          <w:rFonts w:ascii="Times New Roman" w:hAnsi="Times New Roman" w:cs="Times New Roman"/>
          <w:sz w:val="24"/>
          <w:szCs w:val="24"/>
        </w:rPr>
        <w:t>”</w:t>
      </w:r>
      <w:r w:rsidRPr="002E26D2">
        <w:rPr>
          <w:rFonts w:ascii="Times New Roman" w:hAnsi="Times New Roman" w:cs="Times New Roman"/>
          <w:sz w:val="24"/>
          <w:szCs w:val="24"/>
        </w:rPr>
        <w:t xml:space="preserve"> part of the reaction, also named autophosphorylation. The NME protein is, thus, in a transient, high energy phospho-histidine state. The product of the </w:t>
      </w:r>
      <w:r w:rsidR="00D52743">
        <w:rPr>
          <w:rFonts w:ascii="Times New Roman" w:hAnsi="Times New Roman" w:cs="Times New Roman"/>
          <w:sz w:val="24"/>
          <w:szCs w:val="24"/>
        </w:rPr>
        <w:t>“</w:t>
      </w:r>
      <w:r w:rsidRPr="002E26D2">
        <w:rPr>
          <w:rFonts w:ascii="Times New Roman" w:hAnsi="Times New Roman" w:cs="Times New Roman"/>
          <w:sz w:val="24"/>
          <w:szCs w:val="24"/>
        </w:rPr>
        <w:t>ping</w:t>
      </w:r>
      <w:r w:rsidR="00D52743">
        <w:rPr>
          <w:rFonts w:ascii="Times New Roman" w:hAnsi="Times New Roman" w:cs="Times New Roman"/>
          <w:sz w:val="24"/>
          <w:szCs w:val="24"/>
        </w:rPr>
        <w:t>”</w:t>
      </w:r>
      <w:r w:rsidRPr="002E26D2">
        <w:rPr>
          <w:rFonts w:ascii="Times New Roman" w:hAnsi="Times New Roman" w:cs="Times New Roman"/>
          <w:sz w:val="24"/>
          <w:szCs w:val="24"/>
        </w:rPr>
        <w:t xml:space="preserve"> reaction is released (ADP), and another NDP takes place in the catalytic site. The phosphate group is then transferred to NDP as a γ-phosphate group, to form NTP, which represents the </w:t>
      </w:r>
      <w:r w:rsidR="00D52743">
        <w:rPr>
          <w:rFonts w:ascii="Times New Roman" w:hAnsi="Times New Roman" w:cs="Times New Roman"/>
          <w:sz w:val="24"/>
          <w:szCs w:val="24"/>
        </w:rPr>
        <w:t>“</w:t>
      </w:r>
      <w:r w:rsidRPr="002E26D2">
        <w:rPr>
          <w:rFonts w:ascii="Times New Roman" w:hAnsi="Times New Roman" w:cs="Times New Roman"/>
          <w:sz w:val="24"/>
          <w:szCs w:val="24"/>
        </w:rPr>
        <w:t>pong</w:t>
      </w:r>
      <w:r w:rsidR="00D52743">
        <w:rPr>
          <w:rFonts w:ascii="Times New Roman" w:hAnsi="Times New Roman" w:cs="Times New Roman"/>
          <w:sz w:val="24"/>
          <w:szCs w:val="24"/>
        </w:rPr>
        <w:t>”</w:t>
      </w:r>
      <w:r w:rsidRPr="002E26D2">
        <w:rPr>
          <w:rFonts w:ascii="Times New Roman" w:hAnsi="Times New Roman" w:cs="Times New Roman"/>
          <w:sz w:val="24"/>
          <w:szCs w:val="24"/>
        </w:rPr>
        <w:t xml:space="preserve"> part of the reaction.</w:t>
      </w:r>
      <w:r w:rsidR="0075738E" w:rsidRPr="002E26D2">
        <w:rPr>
          <w:rFonts w:ascii="Times New Roman" w:hAnsi="Times New Roman" w:cs="Times New Roman"/>
          <w:sz w:val="24"/>
          <w:szCs w:val="24"/>
        </w:rPr>
        <w:t xml:space="preserve"> The reaction takes place in the catalytic site, that forms a structural pocket accommodating the ATP substrate (</w:t>
      </w:r>
      <w:r w:rsidR="001F33A6" w:rsidRPr="002E26D2">
        <w:rPr>
          <w:rFonts w:ascii="Times New Roman" w:hAnsi="Times New Roman" w:cs="Times New Roman"/>
          <w:sz w:val="24"/>
          <w:szCs w:val="24"/>
        </w:rPr>
        <w:fldChar w:fldCharType="begin"/>
      </w:r>
      <w:r w:rsidR="001F33A6" w:rsidRPr="002E26D2">
        <w:rPr>
          <w:rFonts w:ascii="Times New Roman" w:hAnsi="Times New Roman" w:cs="Times New Roman"/>
          <w:sz w:val="24"/>
          <w:szCs w:val="24"/>
        </w:rPr>
        <w:instrText xml:space="preserve"> REF _Ref106009189 \h </w:instrText>
      </w:r>
      <w:r w:rsidR="002E26D2" w:rsidRPr="002E26D2">
        <w:rPr>
          <w:rFonts w:ascii="Times New Roman" w:hAnsi="Times New Roman" w:cs="Times New Roman"/>
          <w:sz w:val="24"/>
          <w:szCs w:val="24"/>
        </w:rPr>
        <w:instrText xml:space="preserve"> \* MERGEFORMAT </w:instrText>
      </w:r>
      <w:r w:rsidR="001F33A6" w:rsidRPr="002E26D2">
        <w:rPr>
          <w:rFonts w:ascii="Times New Roman" w:hAnsi="Times New Roman" w:cs="Times New Roman"/>
          <w:sz w:val="24"/>
          <w:szCs w:val="24"/>
        </w:rPr>
      </w:r>
      <w:r w:rsidR="001F33A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10</w:t>
      </w:r>
      <w:r w:rsidR="001F33A6" w:rsidRPr="002E26D2">
        <w:rPr>
          <w:rFonts w:ascii="Times New Roman" w:hAnsi="Times New Roman" w:cs="Times New Roman"/>
          <w:sz w:val="24"/>
          <w:szCs w:val="24"/>
        </w:rPr>
        <w:fldChar w:fldCharType="end"/>
      </w:r>
      <w:r w:rsidR="0075738E" w:rsidRPr="002E26D2">
        <w:rPr>
          <w:rFonts w:ascii="Times New Roman" w:hAnsi="Times New Roman" w:cs="Times New Roman"/>
          <w:sz w:val="24"/>
          <w:szCs w:val="24"/>
        </w:rPr>
        <w:t>).</w:t>
      </w:r>
    </w:p>
    <w:p w14:paraId="23631655" w14:textId="7F50CB6D" w:rsidR="00AC1B79" w:rsidRPr="002E26D2" w:rsidRDefault="00C668D6" w:rsidP="004927BB">
      <w:pPr>
        <w:keepNext/>
        <w:spacing w:line="360" w:lineRule="auto"/>
        <w:jc w:val="center"/>
        <w:rPr>
          <w:rFonts w:ascii="Times New Roman" w:hAnsi="Times New Roman" w:cs="Times New Roman"/>
          <w:sz w:val="24"/>
          <w:szCs w:val="24"/>
        </w:rPr>
      </w:pPr>
      <w:r w:rsidRPr="00C668D6">
        <w:rPr>
          <w:rFonts w:ascii="Times New Roman" w:hAnsi="Times New Roman" w:cs="Times New Roman"/>
          <w:noProof/>
          <w:sz w:val="24"/>
          <w:szCs w:val="24"/>
        </w:rPr>
        <w:drawing>
          <wp:inline distT="0" distB="0" distL="0" distR="0" wp14:anchorId="23BDDD72" wp14:editId="5432DD83">
            <wp:extent cx="5760000" cy="2830224"/>
            <wp:effectExtent l="0" t="0" r="0" b="8255"/>
            <wp:docPr id="55" name="Picture 2">
              <a:extLst xmlns:a="http://schemas.openxmlformats.org/drawingml/2006/main">
                <a:ext uri="{FF2B5EF4-FFF2-40B4-BE49-F238E27FC236}">
                  <a16:creationId xmlns:a16="http://schemas.microsoft.com/office/drawing/2014/main" id="{041785B7-0B9A-4561-8014-70896EADE0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41785B7-0B9A-4561-8014-70896EADE01C}"/>
                        </a:ext>
                      </a:extLst>
                    </pic:cNvPr>
                    <pic:cNvPicPr>
                      <a:picLocks noChangeAspect="1"/>
                    </pic:cNvPicPr>
                  </pic:nvPicPr>
                  <pic:blipFill>
                    <a:blip r:embed="rId21"/>
                    <a:stretch>
                      <a:fillRect/>
                    </a:stretch>
                  </pic:blipFill>
                  <pic:spPr>
                    <a:xfrm>
                      <a:off x="0" y="0"/>
                      <a:ext cx="5760000" cy="2830224"/>
                    </a:xfrm>
                    <a:prstGeom prst="rect">
                      <a:avLst/>
                    </a:prstGeom>
                  </pic:spPr>
                </pic:pic>
              </a:graphicData>
            </a:graphic>
          </wp:inline>
        </w:drawing>
      </w:r>
    </w:p>
    <w:p w14:paraId="74B286FC" w14:textId="1806E2D3" w:rsidR="00AC4DFA" w:rsidRPr="002E26D2" w:rsidRDefault="00AC1B79" w:rsidP="004927BB">
      <w:pPr>
        <w:pStyle w:val="Caption"/>
        <w:spacing w:line="360" w:lineRule="auto"/>
        <w:rPr>
          <w:rFonts w:ascii="Times New Roman" w:hAnsi="Times New Roman" w:cs="Times New Roman"/>
          <w:sz w:val="24"/>
          <w:szCs w:val="24"/>
        </w:rPr>
      </w:pPr>
      <w:bookmarkStart w:id="36" w:name="_Ref10600917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9</w:t>
      </w:r>
      <w:r w:rsidRPr="002E26D2">
        <w:rPr>
          <w:rFonts w:ascii="Times New Roman" w:hAnsi="Times New Roman" w:cs="Times New Roman"/>
          <w:sz w:val="24"/>
          <w:szCs w:val="24"/>
        </w:rPr>
        <w:fldChar w:fldCharType="end"/>
      </w:r>
      <w:bookmarkStart w:id="37" w:name="_Ref105751521"/>
      <w:bookmarkEnd w:id="36"/>
      <w:r w:rsidRPr="002E26D2">
        <w:rPr>
          <w:rFonts w:ascii="Times New Roman" w:hAnsi="Times New Roman" w:cs="Times New Roman"/>
          <w:sz w:val="24"/>
          <w:szCs w:val="24"/>
        </w:rPr>
        <w:t xml:space="preserve"> </w:t>
      </w:r>
      <w:r w:rsidR="00AC4DFA" w:rsidRPr="009C51BF">
        <w:rPr>
          <w:rFonts w:ascii="Times New Roman" w:hAnsi="Times New Roman" w:cs="Times New Roman"/>
          <w:sz w:val="24"/>
          <w:szCs w:val="24"/>
          <w:u w:val="single"/>
        </w:rPr>
        <w:t>: Schematic representation of the NDPK reaction.</w:t>
      </w:r>
      <w:r w:rsidR="00AC4DFA" w:rsidRPr="002E26D2">
        <w:rPr>
          <w:rFonts w:ascii="Times New Roman" w:hAnsi="Times New Roman" w:cs="Times New Roman"/>
          <w:sz w:val="24"/>
          <w:szCs w:val="24"/>
        </w:rPr>
        <w:t xml:space="preserve"> NME protein</w:t>
      </w:r>
      <w:r w:rsidR="009A2CED">
        <w:rPr>
          <w:rFonts w:ascii="Times New Roman" w:hAnsi="Times New Roman" w:cs="Times New Roman"/>
          <w:sz w:val="24"/>
          <w:szCs w:val="24"/>
        </w:rPr>
        <w:t>s</w:t>
      </w:r>
      <w:r w:rsidR="00AC4DFA" w:rsidRPr="002E26D2">
        <w:rPr>
          <w:rFonts w:ascii="Times New Roman" w:hAnsi="Times New Roman" w:cs="Times New Roman"/>
          <w:sz w:val="24"/>
          <w:szCs w:val="24"/>
        </w:rPr>
        <w:t xml:space="preserve"> transfer the γ-phosphate group form NTP (mostly ATP) to NDP. The ping-pong reaction involves the phosphorylation of </w:t>
      </w:r>
      <w:r w:rsidR="009718B0">
        <w:rPr>
          <w:rFonts w:ascii="Times New Roman" w:hAnsi="Times New Roman" w:cs="Times New Roman"/>
          <w:sz w:val="24"/>
          <w:szCs w:val="24"/>
        </w:rPr>
        <w:t xml:space="preserve">the </w:t>
      </w:r>
      <w:r w:rsidR="00C668D6">
        <w:rPr>
          <w:rFonts w:ascii="Times New Roman" w:hAnsi="Times New Roman" w:cs="Times New Roman"/>
          <w:sz w:val="24"/>
          <w:szCs w:val="24"/>
        </w:rPr>
        <w:t xml:space="preserve">specific </w:t>
      </w:r>
      <w:r w:rsidR="00AC4DFA" w:rsidRPr="002E26D2">
        <w:rPr>
          <w:rFonts w:ascii="Times New Roman" w:hAnsi="Times New Roman" w:cs="Times New Roman"/>
          <w:sz w:val="24"/>
          <w:szCs w:val="24"/>
        </w:rPr>
        <w:t xml:space="preserve">histidine residue </w:t>
      </w:r>
      <w:r w:rsidR="00C668D6">
        <w:rPr>
          <w:rFonts w:ascii="Times New Roman" w:hAnsi="Times New Roman" w:cs="Times New Roman"/>
          <w:sz w:val="24"/>
          <w:szCs w:val="24"/>
        </w:rPr>
        <w:t>in</w:t>
      </w:r>
      <w:r w:rsidR="00AC4DFA" w:rsidRPr="002E26D2">
        <w:rPr>
          <w:rFonts w:ascii="Times New Roman" w:hAnsi="Times New Roman" w:cs="Times New Roman"/>
          <w:sz w:val="24"/>
          <w:szCs w:val="24"/>
        </w:rPr>
        <w:t xml:space="preserve"> the catalytic site (</w:t>
      </w:r>
      <w:r w:rsidR="009A2CED">
        <w:rPr>
          <w:rFonts w:ascii="Times New Roman" w:hAnsi="Times New Roman" w:cs="Times New Roman"/>
          <w:sz w:val="24"/>
          <w:szCs w:val="24"/>
        </w:rPr>
        <w:t>“</w:t>
      </w:r>
      <w:r w:rsidR="00AC4DFA" w:rsidRPr="002E26D2">
        <w:rPr>
          <w:rFonts w:ascii="Times New Roman" w:hAnsi="Times New Roman" w:cs="Times New Roman"/>
          <w:sz w:val="24"/>
          <w:szCs w:val="24"/>
        </w:rPr>
        <w:t>ping</w:t>
      </w:r>
      <w:r w:rsidR="009A2CED">
        <w:rPr>
          <w:rFonts w:ascii="Times New Roman" w:hAnsi="Times New Roman" w:cs="Times New Roman"/>
          <w:sz w:val="24"/>
          <w:szCs w:val="24"/>
        </w:rPr>
        <w:t>”</w:t>
      </w:r>
      <w:r w:rsidR="00AC4DFA" w:rsidRPr="002E26D2">
        <w:rPr>
          <w:rFonts w:ascii="Times New Roman" w:hAnsi="Times New Roman" w:cs="Times New Roman"/>
          <w:sz w:val="24"/>
          <w:szCs w:val="24"/>
        </w:rPr>
        <w:t xml:space="preserve">, autophosphorylation), prior </w:t>
      </w:r>
      <w:r w:rsidR="009718B0">
        <w:rPr>
          <w:rFonts w:ascii="Times New Roman" w:hAnsi="Times New Roman" w:cs="Times New Roman"/>
          <w:sz w:val="24"/>
          <w:szCs w:val="24"/>
        </w:rPr>
        <w:t xml:space="preserve">to the </w:t>
      </w:r>
      <w:r w:rsidR="00AC4DFA" w:rsidRPr="002E26D2">
        <w:rPr>
          <w:rFonts w:ascii="Times New Roman" w:hAnsi="Times New Roman" w:cs="Times New Roman"/>
          <w:sz w:val="24"/>
          <w:szCs w:val="24"/>
        </w:rPr>
        <w:t>transfer of the mention</w:t>
      </w:r>
      <w:r w:rsidR="009718B0">
        <w:rPr>
          <w:rFonts w:ascii="Times New Roman" w:hAnsi="Times New Roman" w:cs="Times New Roman"/>
          <w:sz w:val="24"/>
          <w:szCs w:val="24"/>
        </w:rPr>
        <w:t>ed</w:t>
      </w:r>
      <w:r w:rsidR="00AC4DFA" w:rsidRPr="002E26D2">
        <w:rPr>
          <w:rFonts w:ascii="Times New Roman" w:hAnsi="Times New Roman" w:cs="Times New Roman"/>
          <w:sz w:val="24"/>
          <w:szCs w:val="24"/>
        </w:rPr>
        <w:t xml:space="preserve"> phosphate group to any NDP to form NTP (</w:t>
      </w:r>
      <w:r w:rsidR="009A2CED">
        <w:rPr>
          <w:rFonts w:ascii="Times New Roman" w:hAnsi="Times New Roman" w:cs="Times New Roman"/>
          <w:sz w:val="24"/>
          <w:szCs w:val="24"/>
        </w:rPr>
        <w:t>“</w:t>
      </w:r>
      <w:r w:rsidR="00AC4DFA" w:rsidRPr="002E26D2">
        <w:rPr>
          <w:rFonts w:ascii="Times New Roman" w:hAnsi="Times New Roman" w:cs="Times New Roman"/>
          <w:sz w:val="24"/>
          <w:szCs w:val="24"/>
        </w:rPr>
        <w:t>pong</w:t>
      </w:r>
      <w:r w:rsidR="009A2CED">
        <w:rPr>
          <w:rFonts w:ascii="Times New Roman" w:hAnsi="Times New Roman" w:cs="Times New Roman"/>
          <w:sz w:val="24"/>
          <w:szCs w:val="24"/>
        </w:rPr>
        <w:t>”</w:t>
      </w:r>
      <w:r w:rsidR="00AC4DFA" w:rsidRPr="002E26D2">
        <w:rPr>
          <w:rFonts w:ascii="Times New Roman" w:hAnsi="Times New Roman" w:cs="Times New Roman"/>
          <w:sz w:val="24"/>
          <w:szCs w:val="24"/>
        </w:rPr>
        <w:t>). (</w:t>
      </w:r>
      <w:r w:rsidR="009A2CED">
        <w:rPr>
          <w:rFonts w:ascii="Times New Roman" w:hAnsi="Times New Roman" w:cs="Times New Roman"/>
          <w:sz w:val="24"/>
          <w:szCs w:val="24"/>
        </w:rPr>
        <w:t>A</w:t>
      </w:r>
      <w:r w:rsidR="00C668D6">
        <w:rPr>
          <w:rFonts w:ascii="Times New Roman" w:hAnsi="Times New Roman" w:cs="Times New Roman"/>
          <w:sz w:val="24"/>
          <w:szCs w:val="24"/>
        </w:rPr>
        <w:t>dapted</w:t>
      </w:r>
      <w:r w:rsidR="00AC4DFA" w:rsidRPr="002E26D2">
        <w:rPr>
          <w:rFonts w:ascii="Times New Roman" w:hAnsi="Times New Roman" w:cs="Times New Roman"/>
          <w:sz w:val="24"/>
          <w:szCs w:val="24"/>
        </w:rPr>
        <w:t xml:space="preserve"> from Yu et al., 2017</w:t>
      </w:r>
      <w:r w:rsidR="009A2CED">
        <w:rPr>
          <w:rFonts w:ascii="Times New Roman" w:hAnsi="Times New Roman" w:cs="Times New Roman"/>
          <w:sz w:val="24"/>
          <w:szCs w:val="24"/>
        </w:rPr>
        <w:t>)</w:t>
      </w:r>
      <w:r w:rsidR="00AC4DFA" w:rsidRPr="002E26D2">
        <w:rPr>
          <w:rFonts w:ascii="Times New Roman" w:hAnsi="Times New Roman" w:cs="Times New Roman"/>
          <w:sz w:val="24"/>
          <w:szCs w:val="24"/>
        </w:rPr>
        <w:t xml:space="preserve"> </w:t>
      </w:r>
      <w:r w:rsidR="00AC4DFA"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{"citationItems":[{"id":"ITEM-1","itemData":{"DOI":"10.1016/j.micres.2017.09.001","ISSN":"09445013","PMID":"28942838","abstract":"Nucleoside diphosphate kinase (Ndk) is a housekeeping enzyme that balances cellular nucleoside triphosphate (NTP) pools by catalyzing the reversible transfer of γ-phosphate from NTPs to nucleoside diphosphates (NDPs). In addition to its fundamental role in nucleotide metabolism, Ndk has roles in protein histidine phosphorylation, DNA cleavage/repair, and gene regulation. Recent studies have also revealed that Ndk secreted from bacteria is important in modulating virulence-associated phenotypes including quorum sensing regulation, type III secretion system activation, and virulence factor production. Moreover, after infection, Ndks released from bacteria are involved in regulating host defense activities, such as cell apoptosis, phagocytosis, and inflammatory responses. Given that Ndk exerts a pleiotropic effect on bacterial virulence and bacteria-host interactions, the biological significance of the bacterial Ndks during infection is intriguing. This review will provide a synopsis of the current knowledge regarding the biological properties and roles of Ndks in regulating bacterial virulence and adaptation and will discuss in depth the biological significance of Ndk during bacteria-host interactions.","author":[{"dropping-particle":"","family":"Yu","given":"Hua","non-dropping-particle":"","parse-names":false,"suffix":""},{"dropping-particle":"","family":"Rao","given":"Xiancai","non-dropping-particle":"","parse-names":false,"suffix":""},{"dropping-particle":"","family":"Zhang","given":"Kebin","non-dropping-particle":"","parse-names":false,"suffix":""}],"container-title":"Microbiological Research","id":"ITEM-1","issued":{"date-parts":[["2017","12","1"]]},"page":"125-134","publisher":"Urban &amp; Fischer","title":"Nucleoside diphosphate kinase (Ndk): A pleiotropic effector manipulating bacterial virulence and adaptive responses","type":"article-journal","volume":"205"},"uris":["http://www.mendeley.com/documents/?uuid=a86575cd-20be-30cf-9870-1bcdbf5d265a"]}],"mendeley":{"formattedCitation":"[65]","plainTextFormattedCitation":"[65]","previouslyFormattedCitation":"[65]"},"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517C5E" w:rsidRPr="00517C5E">
        <w:rPr>
          <w:rFonts w:ascii="Times New Roman" w:hAnsi="Times New Roman" w:cs="Times New Roman"/>
          <w:i w:val="0"/>
          <w:noProof/>
          <w:sz w:val="24"/>
          <w:szCs w:val="24"/>
        </w:rPr>
        <w:t>[65]</w:t>
      </w:r>
      <w:r w:rsidR="00AC4DFA" w:rsidRPr="002E26D2">
        <w:rPr>
          <w:rFonts w:ascii="Times New Roman" w:hAnsi="Times New Roman" w:cs="Times New Roman"/>
          <w:sz w:val="24"/>
          <w:szCs w:val="24"/>
        </w:rPr>
        <w:fldChar w:fldCharType="end"/>
      </w:r>
      <w:bookmarkEnd w:id="37"/>
    </w:p>
    <w:p w14:paraId="3258ADD0" w14:textId="77777777" w:rsidR="00AC1B79"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58AA3477" wp14:editId="3E4D137E">
            <wp:extent cx="5760000" cy="4969324"/>
            <wp:effectExtent l="0" t="0" r="0" b="3175"/>
            <wp:docPr id="5" name="Picture 1">
              <a:extLst xmlns:a="http://schemas.openxmlformats.org/drawingml/2006/main">
                <a:ext uri="{FF2B5EF4-FFF2-40B4-BE49-F238E27FC236}">
                  <a16:creationId xmlns:a16="http://schemas.microsoft.com/office/drawing/2014/main" id="{7D59D1F3-A898-4D26-BC63-4B71D8C9C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7D59D1F3-A898-4D26-BC63-4B71D8C9C282}"/>
                        </a:ext>
                      </a:extLst>
                    </pic:cNvPr>
                    <pic:cNvPicPr>
                      <a:picLocks noChangeAspect="1"/>
                    </pic:cNvPicPr>
                  </pic:nvPicPr>
                  <pic:blipFill>
                    <a:blip r:embed="rId22"/>
                    <a:stretch>
                      <a:fillRect/>
                    </a:stretch>
                  </pic:blipFill>
                  <pic:spPr>
                    <a:xfrm>
                      <a:off x="0" y="0"/>
                      <a:ext cx="5760000" cy="4969324"/>
                    </a:xfrm>
                    <a:prstGeom prst="rect">
                      <a:avLst/>
                    </a:prstGeom>
                  </pic:spPr>
                </pic:pic>
              </a:graphicData>
            </a:graphic>
          </wp:inline>
        </w:drawing>
      </w:r>
    </w:p>
    <w:p w14:paraId="699207EE" w14:textId="0EB393EC" w:rsidR="00AC4DFA" w:rsidRPr="002E26D2" w:rsidRDefault="00AC1B79" w:rsidP="004927BB">
      <w:pPr>
        <w:pStyle w:val="Caption"/>
        <w:spacing w:line="360" w:lineRule="auto"/>
        <w:rPr>
          <w:rFonts w:ascii="Times New Roman" w:hAnsi="Times New Roman" w:cs="Times New Roman"/>
          <w:sz w:val="24"/>
          <w:szCs w:val="24"/>
        </w:rPr>
      </w:pPr>
      <w:bookmarkStart w:id="38" w:name="_Ref106009189"/>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10</w:t>
      </w:r>
      <w:r w:rsidRPr="002E26D2">
        <w:rPr>
          <w:rFonts w:ascii="Times New Roman" w:hAnsi="Times New Roman" w:cs="Times New Roman"/>
          <w:sz w:val="24"/>
          <w:szCs w:val="24"/>
        </w:rPr>
        <w:fldChar w:fldCharType="end"/>
      </w:r>
      <w:bookmarkStart w:id="39" w:name="_Ref105751625"/>
      <w:bookmarkEnd w:id="38"/>
      <w:r w:rsidRPr="002E26D2">
        <w:rPr>
          <w:rFonts w:ascii="Times New Roman" w:hAnsi="Times New Roman" w:cs="Times New Roman"/>
          <w:sz w:val="24"/>
          <w:szCs w:val="24"/>
        </w:rPr>
        <w:t xml:space="preserve"> </w:t>
      </w:r>
      <w:r w:rsidR="00AC4DFA" w:rsidRPr="009C51BF">
        <w:rPr>
          <w:rFonts w:ascii="Times New Roman" w:hAnsi="Times New Roman" w:cs="Times New Roman"/>
          <w:sz w:val="24"/>
          <w:szCs w:val="24"/>
          <w:u w:val="single"/>
        </w:rPr>
        <w:t>: Representation of the human NME1 protein bound with ADP (PDB structure: 2HVD).</w:t>
      </w:r>
      <w:r w:rsidR="00203E08" w:rsidRPr="002E26D2">
        <w:rPr>
          <w:rFonts w:ascii="Times New Roman" w:hAnsi="Times New Roman" w:cs="Times New Roman"/>
          <w:sz w:val="24"/>
          <w:szCs w:val="24"/>
        </w:rPr>
        <w:t xml:space="preserve"> </w:t>
      </w:r>
      <w:r w:rsidR="00AC4DFA" w:rsidRPr="002E26D2">
        <w:rPr>
          <w:rFonts w:ascii="Times New Roman" w:hAnsi="Times New Roman" w:cs="Times New Roman"/>
          <w:sz w:val="24"/>
          <w:szCs w:val="24"/>
        </w:rPr>
        <w:t>The protein is displayed as cartoon (up) and surface (down)</w:t>
      </w:r>
      <w:r w:rsidR="00493703">
        <w:rPr>
          <w:rFonts w:ascii="Times New Roman" w:hAnsi="Times New Roman" w:cs="Times New Roman"/>
          <w:sz w:val="24"/>
          <w:szCs w:val="24"/>
        </w:rPr>
        <w:t xml:space="preserve"> representations</w:t>
      </w:r>
      <w:r w:rsidR="00F54E6B">
        <w:rPr>
          <w:rFonts w:ascii="Times New Roman" w:hAnsi="Times New Roman" w:cs="Times New Roman"/>
          <w:sz w:val="24"/>
          <w:szCs w:val="24"/>
        </w:rPr>
        <w:t>,</w:t>
      </w:r>
      <w:r w:rsidR="00AC4DFA" w:rsidRPr="002E26D2">
        <w:rPr>
          <w:rFonts w:ascii="Times New Roman" w:hAnsi="Times New Roman" w:cs="Times New Roman"/>
          <w:sz w:val="24"/>
          <w:szCs w:val="24"/>
        </w:rPr>
        <w:t xml:space="preserve"> in the same orientation. A 90° rotation along the X axis is applied between the left and the right molecule. The amino acids deemed essential for enzymatic activity are represented in green. The main histidine H118 is represented in cyan. </w:t>
      </w:r>
      <w:r w:rsidR="009718B0">
        <w:rPr>
          <w:rFonts w:ascii="Times New Roman" w:hAnsi="Times New Roman" w:cs="Times New Roman"/>
          <w:sz w:val="24"/>
          <w:szCs w:val="24"/>
        </w:rPr>
        <w:t xml:space="preserve">The </w:t>
      </w:r>
      <w:r w:rsidR="00AC4DFA" w:rsidRPr="002E26D2">
        <w:rPr>
          <w:rFonts w:ascii="Times New Roman" w:hAnsi="Times New Roman" w:cs="Times New Roman"/>
          <w:sz w:val="24"/>
          <w:szCs w:val="24"/>
        </w:rPr>
        <w:t>ADP molecule in represented in orange and is fitted in the NDPK catalytic pocket.</w:t>
      </w:r>
      <w:bookmarkEnd w:id="39"/>
      <w:r w:rsidR="00AC4DFA" w:rsidRPr="002E26D2">
        <w:rPr>
          <w:rFonts w:ascii="Times New Roman" w:hAnsi="Times New Roman" w:cs="Times New Roman"/>
          <w:sz w:val="24"/>
          <w:szCs w:val="24"/>
        </w:rPr>
        <w:t xml:space="preserve"> </w:t>
      </w:r>
    </w:p>
    <w:p w14:paraId="1E9DE68E" w14:textId="7B78BF0B"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alignment of the NDPK domains from human and other species revealed several </w:t>
      </w:r>
      <w:r w:rsidR="00F54E6B">
        <w:rPr>
          <w:rFonts w:ascii="Times New Roman" w:hAnsi="Times New Roman" w:cs="Times New Roman"/>
          <w:sz w:val="24"/>
          <w:szCs w:val="24"/>
        </w:rPr>
        <w:t xml:space="preserve">amino acid </w:t>
      </w:r>
      <w:r w:rsidRPr="002E26D2">
        <w:rPr>
          <w:rFonts w:ascii="Times New Roman" w:hAnsi="Times New Roman" w:cs="Times New Roman"/>
          <w:sz w:val="24"/>
          <w:szCs w:val="24"/>
        </w:rPr>
        <w:t>residues thoroughly conserved through evolution</w:t>
      </w:r>
      <w:r w:rsidR="002C6591" w:rsidRPr="002E26D2">
        <w:rPr>
          <w:rFonts w:ascii="Times New Roman" w:hAnsi="Times New Roman" w:cs="Times New Roman"/>
          <w:sz w:val="24"/>
          <w:szCs w:val="24"/>
        </w:rPr>
        <w:t xml:space="preserve"> (</w:t>
      </w:r>
      <w:r w:rsidR="00A232AE" w:rsidRPr="002E26D2">
        <w:rPr>
          <w:rFonts w:ascii="Times New Roman" w:hAnsi="Times New Roman" w:cs="Times New Roman"/>
          <w:sz w:val="24"/>
          <w:szCs w:val="24"/>
        </w:rPr>
        <w:fldChar w:fldCharType="begin"/>
      </w:r>
      <w:r w:rsidR="00A232AE" w:rsidRPr="002E26D2">
        <w:rPr>
          <w:rFonts w:ascii="Times New Roman" w:hAnsi="Times New Roman" w:cs="Times New Roman"/>
          <w:sz w:val="24"/>
          <w:szCs w:val="24"/>
        </w:rPr>
        <w:instrText xml:space="preserve"> REF _Ref106009225 \h </w:instrText>
      </w:r>
      <w:r w:rsidR="002E26D2" w:rsidRPr="002E26D2">
        <w:rPr>
          <w:rFonts w:ascii="Times New Roman" w:hAnsi="Times New Roman" w:cs="Times New Roman"/>
          <w:sz w:val="24"/>
          <w:szCs w:val="24"/>
        </w:rPr>
        <w:instrText xml:space="preserve"> \* MERGEFORMAT </w:instrText>
      </w:r>
      <w:r w:rsidR="00A232AE" w:rsidRPr="002E26D2">
        <w:rPr>
          <w:rFonts w:ascii="Times New Roman" w:hAnsi="Times New Roman" w:cs="Times New Roman"/>
          <w:sz w:val="24"/>
          <w:szCs w:val="24"/>
        </w:rPr>
      </w:r>
      <w:r w:rsidR="00A232A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11</w:t>
      </w:r>
      <w:r w:rsidR="00A232AE" w:rsidRPr="002E26D2">
        <w:rPr>
          <w:rFonts w:ascii="Times New Roman" w:hAnsi="Times New Roman" w:cs="Times New Roman"/>
          <w:sz w:val="24"/>
          <w:szCs w:val="24"/>
        </w:rPr>
        <w:fldChar w:fldCharType="end"/>
      </w:r>
      <w:r w:rsidR="002C6591" w:rsidRPr="002E26D2">
        <w:rPr>
          <w:rFonts w:ascii="Times New Roman" w:hAnsi="Times New Roman" w:cs="Times New Roman"/>
          <w:sz w:val="24"/>
          <w:szCs w:val="24"/>
        </w:rPr>
        <w:t>)</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Those residues, mainly components of the catalytic site including the main histidine responsible for the ping-pong reaction</w:t>
      </w:r>
      <w:r w:rsidR="00F54E6B">
        <w:rPr>
          <w:rFonts w:ascii="Times New Roman" w:hAnsi="Times New Roman" w:cs="Times New Roman"/>
          <w:sz w:val="24"/>
          <w:szCs w:val="24"/>
        </w:rPr>
        <w:t>,</w:t>
      </w:r>
      <w:r w:rsidRPr="002E26D2">
        <w:rPr>
          <w:rFonts w:ascii="Times New Roman" w:hAnsi="Times New Roman" w:cs="Times New Roman"/>
          <w:sz w:val="24"/>
          <w:szCs w:val="24"/>
        </w:rPr>
        <w:t xml:space="preserve"> are represented in green and cyan on </w:t>
      </w:r>
      <w:r w:rsidR="00A232AE" w:rsidRPr="002E26D2">
        <w:rPr>
          <w:rFonts w:ascii="Times New Roman" w:hAnsi="Times New Roman" w:cs="Times New Roman"/>
          <w:sz w:val="24"/>
          <w:szCs w:val="24"/>
        </w:rPr>
        <w:fldChar w:fldCharType="begin"/>
      </w:r>
      <w:r w:rsidR="00A232AE" w:rsidRPr="002E26D2">
        <w:rPr>
          <w:rFonts w:ascii="Times New Roman" w:hAnsi="Times New Roman" w:cs="Times New Roman"/>
          <w:sz w:val="24"/>
          <w:szCs w:val="24"/>
        </w:rPr>
        <w:instrText xml:space="preserve"> REF _Ref106009189 \h </w:instrText>
      </w:r>
      <w:r w:rsidR="002E26D2" w:rsidRPr="002E26D2">
        <w:rPr>
          <w:rFonts w:ascii="Times New Roman" w:hAnsi="Times New Roman" w:cs="Times New Roman"/>
          <w:sz w:val="24"/>
          <w:szCs w:val="24"/>
        </w:rPr>
        <w:instrText xml:space="preserve"> \* MERGEFORMAT </w:instrText>
      </w:r>
      <w:r w:rsidR="00A232AE" w:rsidRPr="002E26D2">
        <w:rPr>
          <w:rFonts w:ascii="Times New Roman" w:hAnsi="Times New Roman" w:cs="Times New Roman"/>
          <w:sz w:val="24"/>
          <w:szCs w:val="24"/>
        </w:rPr>
      </w:r>
      <w:r w:rsidR="00A232A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10</w:t>
      </w:r>
      <w:r w:rsidR="00A232AE"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They are deemed essential for the</w:t>
      </w:r>
      <w:r w:rsidR="004E2D07" w:rsidRPr="002E26D2">
        <w:rPr>
          <w:rFonts w:ascii="Times New Roman" w:hAnsi="Times New Roman" w:cs="Times New Roman"/>
          <w:sz w:val="24"/>
          <w:szCs w:val="24"/>
        </w:rPr>
        <w:t xml:space="preserve"> NME</w:t>
      </w:r>
      <w:r w:rsidRPr="002E26D2">
        <w:rPr>
          <w:rFonts w:ascii="Times New Roman" w:hAnsi="Times New Roman" w:cs="Times New Roman"/>
          <w:sz w:val="24"/>
          <w:szCs w:val="24"/>
        </w:rPr>
        <w:t xml:space="preserve"> structure and enzymatic activity.</w:t>
      </w:r>
    </w:p>
    <w:p w14:paraId="652344FB" w14:textId="77777777" w:rsidR="00AC1B79"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176F1D12" wp14:editId="6213B50B">
            <wp:extent cx="5760000" cy="3849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000" cy="3849360"/>
                    </a:xfrm>
                    <a:prstGeom prst="rect">
                      <a:avLst/>
                    </a:prstGeom>
                  </pic:spPr>
                </pic:pic>
              </a:graphicData>
            </a:graphic>
          </wp:inline>
        </w:drawing>
      </w:r>
    </w:p>
    <w:p w14:paraId="3C64CEF6" w14:textId="242D2343" w:rsidR="00AC4DFA" w:rsidRPr="002E26D2" w:rsidRDefault="00AC1B79" w:rsidP="004927BB">
      <w:pPr>
        <w:pStyle w:val="Caption"/>
        <w:spacing w:line="360" w:lineRule="auto"/>
        <w:rPr>
          <w:rFonts w:ascii="Times New Roman" w:hAnsi="Times New Roman" w:cs="Times New Roman"/>
          <w:sz w:val="24"/>
          <w:szCs w:val="24"/>
        </w:rPr>
      </w:pPr>
      <w:bookmarkStart w:id="40" w:name="_Ref106009225"/>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11</w:t>
      </w:r>
      <w:r w:rsidRPr="002E26D2">
        <w:rPr>
          <w:rFonts w:ascii="Times New Roman" w:hAnsi="Times New Roman" w:cs="Times New Roman"/>
          <w:sz w:val="24"/>
          <w:szCs w:val="24"/>
        </w:rPr>
        <w:fldChar w:fldCharType="end"/>
      </w:r>
      <w:bookmarkStart w:id="41" w:name="_Ref105751681"/>
      <w:bookmarkEnd w:id="40"/>
      <w:r w:rsidRPr="002E26D2">
        <w:rPr>
          <w:rFonts w:ascii="Times New Roman" w:hAnsi="Times New Roman" w:cs="Times New Roman"/>
          <w:sz w:val="24"/>
          <w:szCs w:val="24"/>
        </w:rPr>
        <w:t xml:space="preserve"> </w:t>
      </w:r>
      <w:r w:rsidR="00203E08" w:rsidRPr="009C51BF">
        <w:rPr>
          <w:rFonts w:ascii="Times New Roman" w:hAnsi="Times New Roman" w:cs="Times New Roman"/>
          <w:sz w:val="24"/>
          <w:szCs w:val="24"/>
          <w:u w:val="single"/>
        </w:rPr>
        <w:t>:</w:t>
      </w:r>
      <w:r w:rsidR="00406E8E" w:rsidRPr="009C51BF">
        <w:rPr>
          <w:rFonts w:ascii="Times New Roman" w:hAnsi="Times New Roman" w:cs="Times New Roman"/>
          <w:sz w:val="24"/>
          <w:szCs w:val="24"/>
          <w:u w:val="single"/>
        </w:rPr>
        <w:t xml:space="preserve"> </w:t>
      </w:r>
      <w:r w:rsidR="00AC4DFA" w:rsidRPr="009C51BF">
        <w:rPr>
          <w:rFonts w:ascii="Times New Roman" w:hAnsi="Times New Roman" w:cs="Times New Roman"/>
          <w:sz w:val="24"/>
          <w:szCs w:val="24"/>
          <w:u w:val="single"/>
        </w:rPr>
        <w:t>Sequence alignment of zebrafish and human NME protein domains.</w:t>
      </w:r>
      <w:r w:rsidR="00AC4DFA" w:rsidRPr="002E26D2">
        <w:rPr>
          <w:rFonts w:ascii="Times New Roman" w:hAnsi="Times New Roman" w:cs="Times New Roman"/>
          <w:sz w:val="24"/>
          <w:szCs w:val="24"/>
        </w:rPr>
        <w:t xml:space="preserve"> Residues identified as important for the catalytic mechanism are indicated by an *</w:t>
      </w:r>
      <w:r w:rsidR="00406E8E">
        <w:rPr>
          <w:rFonts w:ascii="Times New Roman" w:hAnsi="Times New Roman" w:cs="Times New Roman"/>
          <w:sz w:val="24"/>
          <w:szCs w:val="24"/>
        </w:rPr>
        <w:t>.</w:t>
      </w:r>
      <w:r w:rsidR="00AC4DFA" w:rsidRPr="002E26D2">
        <w:rPr>
          <w:rFonts w:ascii="Times New Roman" w:hAnsi="Times New Roman" w:cs="Times New Roman"/>
          <w:sz w:val="24"/>
          <w:szCs w:val="24"/>
        </w:rPr>
        <w:t xml:space="preserve"> (</w:t>
      </w:r>
      <w:r w:rsidR="00406E8E">
        <w:rPr>
          <w:rFonts w:ascii="Times New Roman" w:hAnsi="Times New Roman" w:cs="Times New Roman"/>
          <w:sz w:val="24"/>
          <w:szCs w:val="24"/>
        </w:rPr>
        <w:t>T</w:t>
      </w:r>
      <w:r w:rsidR="00AC4DFA" w:rsidRPr="002E26D2">
        <w:rPr>
          <w:rFonts w:ascii="Times New Roman" w:hAnsi="Times New Roman" w:cs="Times New Roman"/>
          <w:sz w:val="24"/>
          <w:szCs w:val="24"/>
        </w:rPr>
        <w:t>aken f</w:t>
      </w:r>
      <w:r w:rsidR="005847A3" w:rsidRPr="002E26D2">
        <w:rPr>
          <w:rFonts w:ascii="Times New Roman" w:hAnsi="Times New Roman" w:cs="Times New Roman"/>
          <w:sz w:val="24"/>
          <w:szCs w:val="24"/>
        </w:rPr>
        <w:t>ro</w:t>
      </w:r>
      <w:r w:rsidR="00AC4DFA" w:rsidRPr="002E26D2">
        <w:rPr>
          <w:rFonts w:ascii="Times New Roman" w:hAnsi="Times New Roman" w:cs="Times New Roman"/>
          <w:sz w:val="24"/>
          <w:szCs w:val="24"/>
        </w:rPr>
        <w:t>m Desvignes et al., 2009</w:t>
      </w:r>
      <w:r w:rsidR="00406E8E">
        <w:rPr>
          <w:rFonts w:ascii="Times New Roman" w:hAnsi="Times New Roman" w:cs="Times New Roman"/>
          <w:sz w:val="24"/>
          <w:szCs w:val="24"/>
        </w:rPr>
        <w:t>)</w:t>
      </w:r>
      <w:r w:rsidR="00AC4DFA" w:rsidRPr="002E26D2">
        <w:rPr>
          <w:rFonts w:ascii="Times New Roman" w:hAnsi="Times New Roman" w:cs="Times New Roman"/>
          <w:sz w:val="24"/>
          <w:szCs w:val="24"/>
        </w:rPr>
        <w:t xml:space="preserve"> </w:t>
      </w:r>
      <w:r w:rsidR="00AC4DFA" w:rsidRPr="00406E8E">
        <w:rPr>
          <w:rFonts w:ascii="Times New Roman" w:hAnsi="Times New Roman" w:cs="Times New Roman"/>
          <w:i w:val="0"/>
          <w:sz w:val="24"/>
          <w:szCs w:val="24"/>
        </w:rPr>
        <w:fldChar w:fldCharType="begin" w:fldLock="1"/>
      </w:r>
      <w:r w:rsidR="00517C5E">
        <w:rPr>
          <w:rFonts w:ascii="Times New Roman" w:hAnsi="Times New Roman" w:cs="Times New Roman"/>
          <w:i w:val="0"/>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00AC4DFA" w:rsidRPr="00406E8E">
        <w:rPr>
          <w:rFonts w:ascii="Times New Roman" w:hAnsi="Times New Roman" w:cs="Times New Roman"/>
          <w:i w:val="0"/>
          <w:sz w:val="24"/>
          <w:szCs w:val="24"/>
        </w:rPr>
        <w:fldChar w:fldCharType="separate"/>
      </w:r>
      <w:r w:rsidR="00AC4DFA" w:rsidRPr="00406E8E">
        <w:rPr>
          <w:rFonts w:ascii="Times New Roman" w:hAnsi="Times New Roman" w:cs="Times New Roman"/>
          <w:i w:val="0"/>
          <w:noProof/>
          <w:sz w:val="24"/>
          <w:szCs w:val="24"/>
        </w:rPr>
        <w:t>[1]</w:t>
      </w:r>
      <w:r w:rsidR="00AC4DFA" w:rsidRPr="00406E8E">
        <w:rPr>
          <w:rFonts w:ascii="Times New Roman" w:hAnsi="Times New Roman" w:cs="Times New Roman"/>
          <w:i w:val="0"/>
          <w:sz w:val="24"/>
          <w:szCs w:val="24"/>
        </w:rPr>
        <w:fldChar w:fldCharType="end"/>
      </w:r>
      <w:bookmarkEnd w:id="41"/>
    </w:p>
    <w:p w14:paraId="678CB049" w14:textId="64E7A9BD"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Interestingly, all NME proteins displaying enzymatic activity are oligomers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{"citationItems":[{"id":"ITEM-1","itemData":{"DOI":"10.1023/A:1005580828141","ISSN":"1573-6881","PMID":"11768306","abstract":"Nucleoside (NDP) diphosphate kinases are oligomeric enzymes. Most are hexameric, but somebacterial enzymes are tetrameric. Hexamers and tetramers are constructed by assemblingidentical dimers. The hexameric structure is important for protein stability, as demonstratedby studies with natural mutants (the Killer-of-prune mutant ofDrosophila NDP kinase andthe S120G mutant of the human NDP kinase A in neuroblastomas) and with mutants obtainedby site-directed mutagenesis. It is also essential for enzymic activity. The function of the tetrameric structure is unclear.","author":[{"dropping-particle":"","family":"Lascu","given":"Ioan","non-dropping-particle":"","parse-names":false,"suffix":""},{"dropping-particle":"","family":"Giartosio","given":"St</w:instrText>
      </w:r>
      <w:r w:rsidR="00517C5E">
        <w:rPr>
          <w:rFonts w:ascii="Tahoma" w:hAnsi="Tahoma" w:cs="Tahoma"/>
          <w:sz w:val="24"/>
          <w:szCs w:val="24"/>
        </w:rPr>
        <w:instrText>�</w:instrText>
      </w:r>
      <w:r w:rsidR="00517C5E">
        <w:rPr>
          <w:rFonts w:ascii="Times New Roman" w:hAnsi="Times New Roman" w:cs="Times New Roman"/>
          <w:sz w:val="24"/>
          <w:szCs w:val="24"/>
        </w:rPr>
        <w:instrText>phane","non-dropping-particle":"","parse-names":false,"suffix":""},{"dropping-particle":"","family":"Ransac","given":"Anna","non-dropping-particle":"","parse-names":false,"suffix":""},{"dropping-particle":"","family":"Erent","given":"Muriel","non-dropping-particle":"","parse-names":false,"suffix":""}],"container-title":"Journal of Bioenergetics and Biomembranes","id":"ITEM-1","issue":"3","issued":{"date-parts":[["2000"]]},"page":"227-236","publisher":"Springer","title":"Quaternary Structure of Nucleoside Diphosphate Kinases","type":"article-journal","volume":"32"},"uris":["http://www.mendeley.com/documents/?uuid=e6946b4e-a1e8-3f44-b9f8-70ece5269d17"]},{"id":"ITEM-2","itemData":{"DOI":"10.3390/ijms21186779","ISSN":"1422-0067","PMID":"32947863","abstract":"Nucleoside diphosphate kinases (NDPK) are oligomeric proteins involved in the synthesis of nucleoside triphosphates. Their tridimensional structure has been solved by X-ray crystallography and shows that individual subunits present a conserved ferredoxin fold of about 140 residues in prokaryotes, archaea, eukaryotes and viruses. Monomers are functionally independent from each other inside NDPK complexes and the nucleoside kinase catalytic mechanism involves transient phosphorylation of the conserved catalytic histidine. To be active, monomers must assemble into conserved head to tail dimers, which further assemble into hexamers or tetramers. The interfaces between these oligomeric states are very different but, surprisingly, the assembly structure barely affects the catalytic efficiency of the enzyme. While it has been shown that assembly into hexamers induces full formation of the catalytic site and stabilizes the complex, it is unclear why assembly into tetramers is required for function. Several additional activities have been revealed for NDPK, especially in metastasis spreading, cytoskeleton dynamics, DNA binding and membrane remodeling. However, we still lack the high resolution structural data of NDPK in complex with different partners, which is necessary for deciphering the mechanism of these diverse functions. In this review we discuss advances in the structure, folding and stability of NDPKs.","author":[{"dropping-particle":"","family":"Georgescauld","given":"Florian","non-dropping-particle":"","parse-names":false,"suffix":""},{"dropping-particle":"","family":"Song","given":"Yuyu","non-dropping-particle":"","parse-names":false,"suffix":""},{"dropping-particle":"","family":"Dautant","given":"Alain","non-dropping-particle":"","parse-names":false,"suffix":""}],"container-title":"International Journal of Molecular Sciences","id":"ITEM-2","issue":"18","issued":{"date-parts":[["2020","9","16"]]},"page":"6779","publisher":"Multidisciplinary Digital Publishing Institute","title":"Structure, Folding and Stability of Nucleoside Diphosphate Kinases","type":"article-journal","volume":"21"},"uris":["http://www.mendeley.com/documents/?uuid=acbdca8a-96f5-39ba-8f0c-4304c34840dc"]}],"mendeley":{"formattedCitation":"[13,66]","plainTextFormattedCitation":"[13,66]","previouslyFormattedCitation":"[13,66]"},"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[13,66]</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and denaturation into monomers impairs their NDPK activity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{"citationItems":[{"id":"ITEM-1","itemData":{"DOI":"10.1016/S0021-9258(18)42343-5","ISSN":"00219258","PMID":"1320004","abstract":"Nucleoside diphosphate kinase of Drosophila, recently identified as the product of the awd gene, is essential for larval development. The conditional lethal mutation Killer of prune maps to the same gene. We purified the nucleoside diphosphate kinases from wild-type and mutant larvae by a simple procedure involving affinity chromatography on blue Sepharose. Both proteins are purified as hexamers in their native state. The mutant protein, which carries a serine instead of proline at position 97, has structural properties and catalytic efficiency that are very similar to the wild-type protein. However, the mutant protein has a much lower stability to denaturation by heat and urea. Following dilution of urea with buffer the urea-denaturated mutant nucleoside diphosphate kinase accumulates as folded monomers and cannot recover its quaternary structure and enzymatic activity. In contrast, the wild-type enzyme recovers hexameric structure and activity. This suggests that the mutation affects the folding/assembly pathway without affecting the function of the mature protein once folded and assembled into the mature hexameric structure.","author":[{"dropping-particle":"","family":"Lascu","given":"I.","non-dropping-particle":"","parse-names":false,"suffix":""},{"dropping-particle":"","family":"Chaffotte","given":"A.","non-dropping-particle":"","parse-names":false,"suffix":""},{"dropping-particle":"","family":"Limbourg-Bouchon","given":"B.","non-dropping-particle":"","parse-names":false,"suffix":""},{"dropping-particle":"","family":"Véron","given":"M","non-dropping-particle":"","parse-names":false,"suffix":""}],"container-title":"Journal of Biological Chemistry","id":"ITEM-1","issue":"18","issued":{"date-parts":[["1992","6","25"]]},"page":"12775-12781","publisher":"Elsevier","title":"A Pro/Ser substitution in nucleoside diphosphate kinase of Drosophila melanogaster (mutation killer of prune) affects stability but not catalytic efficiency of the enzyme.","type":"article-journal","volume":"267"},"uris":["http://www.mendeley.com/documents/?uuid=2cc20d90-8dbd-334c-9d5a-12e34d355607"]}],"mendeley":{"formattedCitation":"[67]","plainTextFormattedCitation":"[67]","previouslyFormattedCitation":"[67]"},"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[67]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NME proteins can form homohexamers or heterohexamers as reported in eukaryotes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{"citationItems":[{"id":"ITEM-1","itemData":{"DOI":"10.1002/j.1460-2075.1992.tb05397.x","ISSN":"02614189","PMID":"1324167","abstract":"The X-ray structure of a point mutant of nucleoside diphosphate kinase (NDP kinase) from Dictyostelium discoideum has been determined to 2.2 A resolution. The enzyme is a hexamer made of identical subunits with a novel mononucleotide binding fold. Each subunit contains an alpha/beta domain with a four stranded, antiparallel beta-sheet. The topology is different from adenylate kinase, but identical to the allosteric domain of Escherichia coli ATCase regulatory subunits, which bind mononucleotides at an equivalent position. Dimer contacts between NDP kinase subunits within the hexamer are similar to those in ATCase. Trimer contacts involve a large loop of polypeptide chain that bears the site of the Pro----Ser substitution in Killer of prune (K-pn) mutants of the highly homologous Drosophila enzyme. Properties of Drosophila NDP kinase, the product of the awd developmental gene, and of the human enzyme, the product of the nm23 genes in tumorigenesis, are discussed in view of the three-dimensional structure and of possible interactions of NDP kinase with other nucleotide binding proteins.","author":[{"dropping-particle":"","family":"Dumas","given":"C.","non-dropping-particle":"","parse-names":false,"suffix":""},{"dropping-particle":"","family":"Lascu","given":"I.","non-dropping-particle":"","parse-names":false,"suffix":""},{"dropping-particle":"","family":"Moréra","given":"S.","non-dropping-particle":"","parse-names":false,"suffix":""},{"dropping-particle":"","family":"Glaser","given":"P.","non-dropping-particle":"","parse-names":false,"suffix":""},{"dropping-particle":"","family":"Fourme","given":"R.","non-dropping-particle":"","parse-names":false,"suffix":""},{"dropping-particle":"","family":"Wallet","given":"V.","non-dropping-particle":"","parse-names":false,"suffix":""},{"dropping-particle":"","family":"Lacombe","given":"M.L.","non-dropping-particle":"","parse-names":false,"suffix":""},{"dropping-particle":"","family":"Véron","given":"M.","non-dropping-particle":"","parse-names":false,"suffix":""},{"dropping-particle":"","family":"Janin","given":"J.","non-dropping-particle":"","parse-names":false,"suffix":""}],"container-title":"The EMBO Journal","id":"ITEM-1","issue":"9","issued":{"date-parts":[["1992","9"]]},"page":"3203-3208","title":"X-ray structure of nucleoside diphosphate kinase.","type":"article-journal","volume":"11"},"uris":["http://www.mendeley.com/documents/?uuid=04448193-48d5-4d50-9c5d-ae1e2473f26f"]},{"id":"ITEM-2","itemData":{"DOI":"10.1016/0969-2126(93)90016-A","ISSN":"09692126","PMID":"8081741","abstract":"BACKGROUND Nucleotide diphosphate kinase (NDP kinase) is a phosphate transfer enzyme involved in cell regulation and in animal development. Drosophila NDP kinase is the product of the abnormal wing disc (awd) developmental gene, a point mutation in which can produce the killer of prune (K-pn) conditional lethal phenotype. The highly homologous mammalian genes control metastasis and a human NDP kinase acts as a transcription factor. RESULTS The X-ray structure of the Awd protein prepared from Drosophila was solved at 2.4 A resolution by molecular replacement from the homologous Dictyostelium protein. Both are hexamers, and both have the same fold and the same active site. Subunit contacts differ as a result of sequence changes in the carboxy-terminal segment and in the loop that is the site of the K-pn mutation. CONCLUSIONS Regulatory properties of animal NDP kinases depend on interactions with other macromolecules, such as DNA and the product of the Drosophila prune gene. The Awd structure suggests an allosteric mechanism of action of NDP kinase where DNA is the effector and the protein undergoes a major conformational change, possibly dissociating to dimers.","author":[{"dropping-particle":"","family":"Chiadmi","given":"M.","non-dropping-particle":"","parse-names":false,"suffix":""},{"dropping-particle":"","family":"Moréra","given":"S.","non-dropping-particle":"","parse-names":false,"suffix":""},{"dropping-particle":"","family":"Lascu","given":"I.","non-dropping-particle":"","parse-names":false,"suffix":""},{"dropping-particle":"","family":"Dumas","given":"C.","non-dropping-particle":"","parse-names":false,"suffix":""},{"dropping-particle":"Le","family":"Bras","given":"G","non-dropping-particle":"","parse-names":false,"suffix":""},{"dropping-particle":"","family":"Véron","given":"M.","non-dropping-particle":"","parse-names":false,"suffix":""},{"dropping-particle":"","family":"Janin","given":"J.","non-dropping-particle":"","parse-names":false,"suffix":""}],"container-title":"Structure","id":"ITEM-2","issue":"4","issued":{"date-parts":[["1993","12","15"]]},"page":"283-293","title":"Crystal structure of the Awd nucleotide diphosphate kinase from Drosophila","type":"article-journal","volume":"1"},"uris":["http://www.mendeley.com/documents/?uuid=6512e104-5cbf-460f-9fb2-1cfd9ca928c8"]},{"id":"ITEM-3","itemData":{"DOI":"10.1016/S0021-9258(20)80724-8","ISSN":"00219258","PMID":"8397202","abstract":"The Killer-of-prune (K-pn) mutation in Drosophila corresponds to a Pro-Ser substitution in nucleoside diphosphate kinase (Lascu, I. Chaffotte, A., Limbourg-Bouchon, B., and Véron, M. (1992) J. Biol. Chem. 267, 12775-12781). We investigated the role of the equivalent proline (Pro100) in the formation and stability of the Dictyostelium nucleoside diphosphate kinase hexamers. Mutations to serine or glycine had only little effect on the properties of the native enzyme. However, the mutant drastically affected the subunit interaction in the hexamer and the ability of the isolated subunits to associate in vitro. While the wild-type hexamer inactivated and unfolded concomitantly at 5-6 M urea, the mutant proteins dissociated to monomers at 0.5-2 M urea and unfolded at 2.5-4 M urea. At intermediate urea concentrations, the unique species present in solution was a folded, partially active monomer as shown by size-exclusion chromatography, UV, fluorescence, and CD spectroscopy. Proline 100 is located in a loop involved in subunits contact. Altered conformation of the loop in P100S and P100S mutants demonstrates its crucial role in subunit assembly. We propose to explain the conditional dominance of the K-pn mutation by the presence of a monomeric form of the enzyme that would have deleterious effects in vivo.","author":[{"dropping-particle":"","family":"Lascu","given":"I.","non-dropping-particle":"","parse-names":false,"suffix":""},{"dropping-particle":"","family":"Deville-Bonne","given":"D.","non-dropping-particle":"","parse-names":false,"suffix":""},{"dropping-particle":"","family":"Glaser","given":"P.","non-dropping-particle":"","parse-names":false,"suffix":""},{"dropping-particle":"","family":"Véron","given":"M","non-dropping-particle":"","parse-names":false,"suffix":""}],"container-title":"Journal of Biological Chemistry","id":"ITEM-3","issue":"27","issued":{"date-parts":[["1993","9","25"]]},"page":"20268-20275","title":"Equilibrium dissociation and unfolding of nucleoside diphosphate kinase from Dictyostelium discoideum. Role of proline 100 in the stability of the hexameric enzyme.","type":"article-journal","volume":"268"},"uris":["http://www.mendeley.com/documents/?uuid=c7bae1d2-6ce9-4e25-97ef-6c1d39f9c4f3"]},{"id":"ITEM-4","itemData":{"DOI":"10.3390/ijms21072363","ISSN":"1422-0067","PMID":"32235358","abstract":"Nucleoside diphosphate kinases (NDPK/NME/Nm23) are enzymes composed of subunits NME1/NDPK A and NME2/NDPK B, responsible for the maintenance of the cellular (d)NTP pool and involved in other cellular processes, such as metastasis suppression and DNA damage repair. Although eukaryotic NDPKs are active only as hexamers, it is unclear whether other NME functions require the hexameric form, and how the isoenzyme composition varies in different cellular compartments. To examine the effect of DNA damage on intracellular localization of NME1 and NME2 and the composition of NME oligomers in the nucleus and the cytoplasm, we used live-cell imaging and the FRET/FLIM technique. We showed that exogenous NME1 and NME2 proteins co-localize in the cytoplasm of non-irradiated cells, and move simultaneously to the nucleus after gamma irradiation. The FRET/FLIM experiments imply that, after DNA damage, there is a slight shift in the homomer/heteromer balance between the nucleus and the cytoplasm. Collectively, our results indicate that, after irradiation, NME1 and NME2 engage in mutual functions in the nucleus, possibly performing specific functions in their homomeric states. Finally, we demonstrated that fluorophores fused to the N-termini of NME polypeptides produce the largest FRET effect and thus recommend this orientation for use in similar studies.","author":[{"dropping-particle":"","family":"Radić","given":"Martina","non-dropping-particle":"","parse-names":false,"suffix":""},{"dropping-particle":"","family":"Šoštar","given":"Marko","non-dropping-particle":"","parse-names":false,"suffix":""},{"dropping-particle":"","family":"Weber","given":"Igor","non-dropping-particle":"","parse-names":false,"suffix":""},{"dropping-particle":"","family":"Ćetković","given":"Helena","non-dropping-particle":"","parse-names":false,"suffix":""},{"dropping-particle":"","family":"Slade","given":"Neda","non-dropping-particle":"","parse-names":false,"suffix":""},{"dropping-particle":"","family":"Herak Bosnar","given":"Maja","non-dropping-particle":"","parse-names":false,"suffix":""}],"container-title":"International Journal of Molecular Sciences","id":"ITEM-4","issue":"7","issued":{"date-parts":[["2020","3","29"]]},"page":"2363","title":"The Subcellular Localization and Oligomerization Preferences of NME1/NME2 upon Radiation-Induced DNA Damage","type":"article-journal","volume":"21"},"uris":["http://www.mendeley.com/documents/?uuid=bdb8e9f0-0e21-4c12-8310-15d92e78d0e2"]}],"mendeley":{"formattedCitation":"[17,68–70]","plainTextFormattedCitation":"[17,68–70]","previouslyFormattedCitation":"[17,68–70]"},"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[17,68–70]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archaea and some bacteria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S0021-9258(18)61916-7","ISSN":"00219258","PMID":"4999354","author":[{"dropping-particle":"","family":"Sedmak","given":"James","non-dropping-particle":"","parse-names":false,"suffix":""},{"dropping-particle":"","family":"Ramaley","given":"Robert","non-dropping-particle":"","parse-names":false,"suffix":""}],"container-title":"Journal of Biological Chemistry","id":"ITEM-1","issue":"17","issued":{"date-parts":[["1971","9","10"]]},"page":"5365-5372","title":"Purification and Properties of Bacillus subtilis Nucleoside Diphosphokinase","type":"article-journal","volume":"246"},"uris":["http://www.mendeley.com/documents/?uuid=c72cb3ac-ddca-466b-a48d-91ee09b75575"]},{"id":"ITEM-2","itemData":{"DOI":"10.1002/prot.21316","ISSN":"08873585","PMID":"17330300","abstract":"Nucleoside diphosphate kinase (NDPK) catalyzes the transfer of gamma-phosphate from nucleoside triphosphates to nucleoside diphosphates. The subunit folding and the dimeric basic structural unit are remarkably the same for available structures but, depending on species, dimers self-associate to form hexamers or tetramers. The crystal structure of the Escherichia coli NDPK reveals a new tetrameric quaternary structure for this protein family. The two tetramers differ by the relative orientation of interacting dimers, which face either the convex or the concave side of their central sheet as in either Myxococcus xanthus (type I) or E. coli (type II), respectively. In the type II tetramer, the subunits interact by a new interface harboring a zone called the Kpn loop as in hexamers, but by the opposite face of this loop. The evolutionary conservation of the interface residues indicates that this new quaternary structure seems to be the most frequent assembly mode in bacterial tetrameric NDP kinases.","author":[{"dropping-particle":"","family":"Moynié","given":"Lucile","non-dropping-particle":"","parse-names":false,"suffix":""},{"dropping-particle":"","family":"Giraud","given":"Marie-France","non-dropping-particle":"","parse-names":false,"suffix":""},{"dropping-particle":"","family":"Georgescauld","given":"Florian","non-dropping-particle":"","parse-names":false,"suffix":""},{"dropping-particle":"","family":"Lascu","given":"Ioan","non-dropping-particle":"","parse-names":false,"suffix":""},{"dropping-particle":"","family":"Dautant","given":"Alain","non-dropping-particle":"","parse-names":false,"suffix":""}],"container-title":"Proteins: Structure, Function, and Bioinformatics","id":"ITEM-2","issue":"3","issued":{"date-parts":[["2007","2","28"]]},"page":"755-765","title":"The structure of the Escherichia coli nucleoside diphosphate kinase reveals a new quaternary architecture for this enzyme family","type":"article-journal","volume":"67"},"uris":["http://www.mendeley.com/documents/?uuid=28690c6e-57de-4834-9ae8-2af68fe2b812"]}],"mendeley":{"formattedCitation":"[71,72]","plainTextFormattedCitation":"[71,72]","previouslyFormattedCitation":"[71,72]"},"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[71,72]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In some other bacteria, NME’s have been reported to oligomerize as tetramers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{"citationItems":[{"id":"ITEM-1","itemData":{"DOI":"10.1006/jmbi.1993.1673","ISSN":"00222836","PMID":"8263923","abstract":"The X-ray crystallographic structure of nucleoside diphosphate (NDP) kinase from Myxococcus xanthus has been determined using multiple isomorphous replacement techniques and refined at 2.0 A resolution to a crystallographic R-factor of 0.17. This is the first report of the structure of an enzymatically active NDP kinase and of the enzyme with a bound nucleotide. The structure has been determined in P4(3)2(1)2 and I222 crystal forms. The enzyme monomer consists of a four-stranded antiparallel beta-sheet. The surfaces of the sheet are partially covered with five helical segments. There are two protein molecules in the asymmetric unit of the tetragonal crystal form. They form a dimer with an extensive interface in which 1092 A2 per monomer is buried. The majority of the contact area in the dimer interface is between hydrophobic or aromatic residues. Two dimers are related by a crystallographic 2-fold axis to yield a tetramer. This tetramer is also present in the orthorhombic crystals; however, in this case, the 222 symmetry is entirely crystallographic. Upon tetramer formation, an additional 473 A2 of solvent-accessible surface area from each monomer becomes buried. The interface between dimers in the tetramer is stabilized by salt bridges. Equilibrium sedimentation studies are consistent with the enzyme being a tetramer in solution. The structure of a complex of adenosine diphosphate (ADP) with the enzyme was determined and reveals that most of the nucleotide interactions with the protein are with the pyrophosphate and ribose groups, while the base has no hydrogen bonds with the protein and interacts only by stacking with the side chain of Phe59. The Mg2+ interacts with the pyrophosphate of the ADP and via a solvent molecule with the side chain of the conserved Asp120 residue. The mode of interaction with the nucleotide is novel, with the nucleotide binding at the side of the beta-sheet. The structures of the nucleotide in crystals grown in the presence or absence of Mg2+ are essentially identical. In addition, the phosphotransfer reaction from adenosine triphosphate (ATP) to the enzyme can occur without Mg2+. This suggests that only the second step of the reaction in which the enzyme transfers the phosphate to a nucleoside diphosphate acceptor is significantly catalyzed by the metal.","author":[{"dropping-particle":"","family":"Williams","given":"Roger L.","non-dropping-particle":"","parse-names":false,"suffix":""},{"dropping-particle":"","family":"Oren","given":"Deena A.","non-dropping-particle":"","parse-names":false,"suffix":""},{"dropping-particle":"","family":"Muñoz-Dorado","given":"José","non-dropping-particle":"","parse-names":false,"suffix":""},{"dropping-particle":"","family":"Inouye","given":"Sumiko","non-dropping-particle":"","parse-names":false,"suffix":""},{"dropping-particle":"","family":"Inouye","given":"Masayori","non-dropping-particle":"","parse-names":false,"suffix":""},{"dropping-particle":"","family":"Arnold","given":"Edward","non-dropping-particle":"","parse-names":false,"suffix":""}],"container-title":"Journal of Molecular Biology","id":"ITEM-1","issue":"4","issued":{"date-parts":[["1993","12","20"]]},"page":"1230-1247","publisher":"Academic Press","title":"Crystal Structure of Myxococcus xanthus Nucleoside Diphosphate Kinase and its Interaction with a Nucleotide Substrate at 2·0 Å Resolution","type":"article-journal","volume":"234"},"uris":["http://www.mendeley.com/documents/?uuid=f2c66475-ea91-3845-87a9-b51589d8ca0d"]},{"id":"ITEM-2","itemData":{"DOI":"10.1016/S0021-9258(19)42586-6","ISSN":"00219258","PMID":"4364654","abstract":"Nucleoside diphosphokinase from Salmonella typhimurium has been purified and characterized. In many respects, the enzyme is similar to those from higher organisms in that it has a broad specificity for both phosphate donor and recipient and that it functions via a ping pong mechanism. The enzyme activity of cells is very high at all growth rates but decreases as growth rate increases. Evidence is presented that nucleoside diphosphokinase is sufficient to account for the synthesis of all nucleoside triphosphates required for the polymerization of nucleic acids and that it is probably the only enzyme that catalyzes the synthesis of triphosphates from diphosphates and the γ phosphate of ATP.","author":[{"dropping-particle":"","family":"Ginther","given":"Charles L.","non-dropping-particle":"","parse-names":false,"suffix":""},{"dropping-particle":"","family":"Ingraham","given":"John L.","non-dropping-particle":"","parse-names":false,"suffix":""}],"container-title":"Journal of Biological Chemistry","id":"ITEM-2","issue":"11","issued":{"date-parts":[["1974","6","10"]]},"page":"3406-3411","publisher":"Elsevier","title":"Nucleoside Diphosphokinase of Salmonella typhimurium","type":"article-journal","volume":"249"},"uris":["http://www.mendeley.com/documents/?uuid=d77a0f91-9b0b-3c24-8525-1de707afd00a"]},{"id":"ITEM-3","itemData":{"DOI":"10.1016/S0021-9258(19)39859-X","ISSN":"00219258","PMID":"2154456","abstract":"The gene that encodes the 16-kDa GTP-binding protein from Myxococcus xanthus has been cloned, and its DNA sequence has been determined. The gene has been expressed in Escherichia coli by using the lacZ promoter, and its gene product was overproduced (Munoz-Dorado, J., Inouye, S., and Inouye, M., (1990) J. Biol. Chem. 265, 2707-2706). The gene product thus overproduced in E. coli was purified to homogeneity by a simple four-step procedure and crystallized. Gel filtration of the purified protein revealed that the protein forms a complex of an apparent molecular weight of 50,000, indicating that it exists as a trimer in the cell. It was found that the purified protein can bind not only GTP, but also equally well the other nucleoside diphosphates and triphosphates with no specificity for either the base or the sugar. Nucleoside monophosphates, P(i), and pyrophosphate do not bind to the protein. In the presence of Mg2+, the protein hydrolyzes nucleoside triphosphates to diphosphate and P(i). However, in the presence of EDTA, most of the phosphate remains bound to the protein. The phosphorylated protein can then transfer the phosphate group to a nucleoside diphosphate to form the corresponding nucleoside triphosphate in the presence of Mg2+. The reaction is reversible, and it is considered to occur by a two-step ping-pong mechanism. These results unambiguously demonstrate that the M. xanthus 16-kDa GTP-binding protein is a nucleoside diphosphate kinase.","author":[{"dropping-particle":"","family":"Muñoz-Dorado","given":"J.","non-dropping-particle":"","parse-names":false,"suffix":""},{"dropping-particle":"","family":"Inouye","given":"S","non-dropping-particle":"","parse-names":false,"suffix":""},{"dropping-particle":"","family":"Inouye","given":"M","non-dropping-particle":"","parse-names":false,"suffix":""}],"container-title":"Journal of Biological Chemistry","id":"ITEM-3","issue":"5","issued":{"date-parts":[["1990","2","15"]]},"page":"2707-2712","publisher":"Elsevier","title":"Nucleoside diphosphate kinase from Myxococcus xanthus. II. Biochemical characterization.","type":"article-journal","volume":"265"},"uris":["http://www.mendeley.com/documents/?uuid=ac6d4d68-50c7-35ea-9fd9-47ec8173beb8"]}],"mendeley":{"formattedCitation":"[73–75]","plainTextFormattedCitation":"[73–75]","previouslyFormattedCitation":"[73–75]"},"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[73–75]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Structures, folding and stability of NME proteins from a wide range of species was nicely reviewed by Georgescauld </w:t>
      </w:r>
      <w:r w:rsidR="008A3886">
        <w:rPr>
          <w:rFonts w:ascii="Times New Roman" w:hAnsi="Times New Roman" w:cs="Times New Roman"/>
          <w:sz w:val="24"/>
          <w:szCs w:val="24"/>
        </w:rPr>
        <w:t>et al.</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{"citationItems":[{"id":"ITEM-1","itemData":{"DOI":"10.3390/ijms21186779","ISSN":"1422-0067","PMID":"32947863","abstract":"Nucleoside diphosphate kinases (NDPK) are oligomeric proteins involved in the synthesis of nucleoside triphosphates. Their tridimensional structure has been solved by X-ray crystallography and shows that individual subunits present a conserved ferredoxin fold of about 140 residues in prokaryotes, archaea, eukaryotes and viruses. Monomers are functionally independent from each other inside NDPK complexes and the nucleoside kinase catalytic mechanism involves transient phosphorylation of the conserved catalytic histidine. To be active, monomers must assemble into conserved head to tail dimers, which further assemble into hexamers or tetramers. The interfaces between these oligomeric states are very different but, surprisingly, the assembly structure barely affects the catalytic efficiency of the enzyme. While it has been shown that assembly into hexamers induces full formation of the catalytic site and stabilizes the complex, it is unclear why assembly into tetramers is required for function. Several additional activities have been revealed for NDPK, especially in metastasis spreading, cytoskeleton dynamics, DNA binding and membrane remodeling. However, we still lack the high resolution structural data of NDPK in complex with different partners, which is necessary for deciphering the mechanism of these diverse functions. In this review we discuss advances in the structure, folding and stability of NDPKs.","author":[{"dropping-particle":"","family":"Georgescauld","given":"Florian","non-dropping-particle":"","parse-names":false,"suffix":""},{"dropping-particle":"","family":"Song","given":"Yuyu","non-dropping-particle":"","parse-names":false,"suffix":""},{"dropping-particle":"","family":"Dautant","given":"Alain","non-dropping-particle":"","parse-names":false,"suffix":""}],"container-title":"International Journal of Molecular Sciences","id":"ITEM-1","issue":"18","issued":{"date-parts":[["2020","9","16"]]},"page":"6779","publisher":"Multidisciplinary Digital Publishing Institute","title":"Structure, Folding and Stability of Nucleoside Diphosphate Kinases","type":"article-journal","volume":"21"},"uris":["http://www.mendeley.com/documents/?uuid=acbdca8a-96f5-39ba-8f0c-4304c34840dc"]}],"mendeley":{"formattedCitation":"[13]","plainTextFormattedCitation":"[13]","previouslyFormattedCitation":"[13]"},"properties":{"noteIndex":0},"schema":"https://github.com/citation-style-language/schema/raw/master/csl-citation.json"}</w:instrText>
      </w:r>
      <w:r w:rsidRPr="002E26D2">
        <w:rPr>
          <w:rFonts w:ascii="Times New Roman" w:hAnsi="Times New Roman" w:cs="Times New Roman"/>
          <w:sz w:val="24"/>
          <w:szCs w:val="24"/>
        </w:rPr>
        <w:fldChar w:fldCharType="separate"/>
      </w:r>
      <w:r w:rsidR="00263086" w:rsidRPr="00263086">
        <w:rPr>
          <w:rFonts w:ascii="Times New Roman" w:hAnsi="Times New Roman" w:cs="Times New Roman"/>
          <w:noProof/>
          <w:sz w:val="24"/>
          <w:szCs w:val="24"/>
        </w:rPr>
        <w:t>[13]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It is accepted that the monomers first assemble as head to tail dimers before aggregating as tetramers or hexamers, as represented in </w:t>
      </w:r>
      <w:r w:rsidR="00A232AE" w:rsidRPr="002E26D2">
        <w:rPr>
          <w:rFonts w:ascii="Times New Roman" w:hAnsi="Times New Roman" w:cs="Times New Roman"/>
          <w:sz w:val="24"/>
          <w:szCs w:val="24"/>
        </w:rPr>
        <w:fldChar w:fldCharType="begin"/>
      </w:r>
      <w:r w:rsidR="00A232AE" w:rsidRPr="002E26D2">
        <w:rPr>
          <w:rFonts w:ascii="Times New Roman" w:hAnsi="Times New Roman" w:cs="Times New Roman"/>
          <w:sz w:val="24"/>
          <w:szCs w:val="24"/>
        </w:rPr>
        <w:instrText xml:space="preserve"> REF _Ref106009239 \h </w:instrText>
      </w:r>
      <w:r w:rsidR="002E26D2" w:rsidRPr="002E26D2">
        <w:rPr>
          <w:rFonts w:ascii="Times New Roman" w:hAnsi="Times New Roman" w:cs="Times New Roman"/>
          <w:sz w:val="24"/>
          <w:szCs w:val="24"/>
        </w:rPr>
        <w:instrText xml:space="preserve"> \* MERGEFORMAT </w:instrText>
      </w:r>
      <w:r w:rsidR="00A232AE" w:rsidRPr="002E26D2">
        <w:rPr>
          <w:rFonts w:ascii="Times New Roman" w:hAnsi="Times New Roman" w:cs="Times New Roman"/>
          <w:sz w:val="24"/>
          <w:szCs w:val="24"/>
        </w:rPr>
      </w:r>
      <w:r w:rsidR="00A232A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12</w:t>
      </w:r>
      <w:r w:rsidR="00A232AE" w:rsidRPr="002E26D2">
        <w:rPr>
          <w:rFonts w:ascii="Times New Roman" w:hAnsi="Times New Roman" w:cs="Times New Roman"/>
          <w:sz w:val="24"/>
          <w:szCs w:val="24"/>
        </w:rPr>
        <w:fldChar w:fldCharType="end"/>
      </w:r>
      <w:r w:rsidR="00A277BE" w:rsidRPr="002E26D2">
        <w:rPr>
          <w:rFonts w:ascii="Times New Roman" w:hAnsi="Times New Roman" w:cs="Times New Roman"/>
          <w:sz w:val="24"/>
          <w:szCs w:val="24"/>
        </w:rPr>
        <w:t>.</w:t>
      </w:r>
      <w:r w:rsidRPr="002E26D2">
        <w:rPr>
          <w:rFonts w:ascii="Times New Roman" w:hAnsi="Times New Roman" w:cs="Times New Roman"/>
          <w:sz w:val="24"/>
          <w:szCs w:val="24"/>
        </w:rPr>
        <w:t xml:space="preserve"> The oligomerization helps the formation of the catalytic site and the stabilization of NME complexes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{"citationItems":[{"id":"ITEM-1","itemData":{"DOI":"10.3390/ijms21186779","ISSN":"1422-0067","PMID":"32947863","abstract":"Nucleoside diphosphate kinases (NDPK) are oligomeric proteins involved in the synthesis of nucleoside triphosphates. Their tridimensional structure has been solved by X-ray crystallography and shows that individual subunits present a conserved ferredoxin fold of about 140 residues in prokaryotes, archaea, eukaryotes and viruses. Monomers are functionally independent from each other inside NDPK complexes and the nucleoside kinase catalytic mechanism involves transient phosphorylation of the conserved catalytic histidine. To be active, monomers must assemble into conserved head to tail dimers, which further assemble into hexamers or tetramers. The interfaces between these oligomeric states are very different but, surprisingly, the assembly structure barely affects the catalytic efficiency of the enzyme. While it has been shown that assembly into hexamers induces full formation of the catalytic site and stabilizes the complex, it is unclear why assembly into tetramers is required for function. Several additional activities have been revealed for NDPK, especially in metastasis spreading, cytoskeleton dynamics, DNA binding and membrane remodeling. However, we still lack the high resolution structural data of NDPK in complex with different partners, which is necessary for deciphering the mechanism of these diverse functions. In this review we discuss advances in the structure, folding and stability of NDPKs.","author":[{"dropping-particle":"","family":"Georgescauld","given":"Florian","non-dropping-particle":"","parse-names":false,"suffix":""},{"dropping-particle":"","family":"Song","given":"Yuyu","non-dropping-particle":"","parse-names":false,"suffix":""},{"dropping-particle":"","family":"Dautant","given":"Alain","non-dropping-particle":"","parse-names":false,"suffix":""}],"container-title":"International Journal of Molecular Sciences","id":"ITEM-1","issue":"18","issued":{"date-parts":[["2020","9","16"]]},"page":"6779","publisher":"Multidisciplinary Digital Publishing Institute","title":"Structure, Folding and Stability of Nucleoside Diphosphate Kinases","type":"article-journal","volume":"21"},"uris":["http://www.mendeley.com/documents/?uuid=acbdca8a-96f5-39ba-8f0c-4304c34840dc"]}],"mendeley":{"formattedCitation":"[13]","plainTextFormattedCitation":"[13]","previouslyFormattedCitation":"[13]"},"properties":{"noteIndex":0},"schema":"https://github.com/citation-style-language/schema/raw/master/csl-citation.json"}</w:instrText>
      </w:r>
      <w:r w:rsidRPr="002E26D2">
        <w:rPr>
          <w:rFonts w:ascii="Times New Roman" w:hAnsi="Times New Roman" w:cs="Times New Roman"/>
          <w:sz w:val="24"/>
          <w:szCs w:val="24"/>
        </w:rPr>
        <w:fldChar w:fldCharType="separate"/>
      </w:r>
      <w:r w:rsidR="00263086" w:rsidRPr="00263086">
        <w:rPr>
          <w:rFonts w:ascii="Times New Roman" w:hAnsi="Times New Roman" w:cs="Times New Roman"/>
          <w:noProof/>
          <w:sz w:val="24"/>
          <w:szCs w:val="24"/>
        </w:rPr>
        <w:t>[13]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1B53C6A7" w14:textId="3E61E2FC"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Several structures of the NME proteins are important for oligomer assembly and enzymatic activity, of which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and the C-terminal extension are the most studied.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participates in the stabilization of the NME complexes at the trimer interface upon the formation of hexamers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{"citationItems":[{"id":"ITEM-1","itemData":{"DOI":"10.1074/jbc.273.8.4436","ISSN":"00219258","PMID":"9468495","abstract":"A dimeric Dictyostelium nucleoside diphosphate kinase has been stabilized by the double mutation P100S-N150stop which targets residues involved in the trimer interface (Karlsson, A., Mesnildrey, S., Xu, Y., Morera, S., Janin, J., and Veron, M. (1996) J. Biol. Chem. 271, 19928- 19934). The reassociation of this dimeric form into a hexamer similar to the wild-type enzyme is induced by the presence of a nucleotide substrate. Equilibrium sedimentation and gel filtration experiments, as well as enzymatic activity measurements, show that reactivation of the enzyme closely parallels its reassociation. A phosphorylatable intermediate with low activity participates in the association pathway while the dimeric form is shown totally devoid of enzymatic activity. Our results support the hypothesis that different oligomeric species of nucleoside diphosphate kinase are involved in different cellular processes where the enzymatic activity is not required.","author":[{"dropping-particle":"","family":"Mesnildrey","given":"Sébastien","non-dropping-particle":"","parse-names":false,"suffix":""},{"dropping-particle":"","family":"Agou","given":"Fabrice","non-dropping-particle":"","parse-names":false,"suffix":""},{"dropping-particle":"","family":"Karlsson","given":"Anna","non-dropping-particle":"","parse-names":false,"suffix":""},{"dropping-particle":"","family":"Bonne","given":"Dominique Deville","non-dropping-particle":"","parse-names":false,"suffix":""},{"dropping-particle":"","family":"Véron","given":"Michel","non-dropping-particle":"","parse-names":false,"suffix":""}],"container-title":"Journal of Biological Chemistry","id":"ITEM-1","issue":"8","issued":{"date-parts":[["1998","2","1"]]},"page":"4436-4442","title":"Coupling between Catalysis and Oligomeric Structure in Nucleoside Diphosphate Kinase","type":"article-journal","volume":"273"},"uris":["http://www.mendeley.com/documents/?uuid=64507af5-6fba-3cf0-aeb3-9408d3e1bf05"]}],"mendeley":{"formattedCitation":"[76]","plainTextFormattedCitation":"[76]","previouslyFormattedCitation":"[76]"},"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[76]</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is named after the “Killer of prune” mutation of the </w:t>
      </w:r>
      <w:r w:rsidR="000B26B6" w:rsidRPr="00493703">
        <w:rPr>
          <w:rFonts w:ascii="Times New Roman" w:hAnsi="Times New Roman" w:cs="Times New Roman"/>
          <w:i/>
          <w:iCs/>
          <w:sz w:val="24"/>
          <w:szCs w:val="24"/>
        </w:rPr>
        <w:t>D</w:t>
      </w:r>
      <w:r w:rsidRPr="00493703">
        <w:rPr>
          <w:rFonts w:ascii="Times New Roman" w:hAnsi="Times New Roman" w:cs="Times New Roman"/>
          <w:i/>
          <w:iCs/>
          <w:sz w:val="24"/>
          <w:szCs w:val="24"/>
        </w:rPr>
        <w:t>rosophila</w:t>
      </w:r>
      <w:r w:rsidRPr="002E26D2">
        <w:rPr>
          <w:rFonts w:ascii="Times New Roman" w:hAnsi="Times New Roman" w:cs="Times New Roman"/>
          <w:sz w:val="24"/>
          <w:szCs w:val="24"/>
        </w:rPr>
        <w:t xml:space="preserve"> </w:t>
      </w:r>
      <w:r w:rsidRPr="002E26D2">
        <w:rPr>
          <w:rFonts w:ascii="Times New Roman" w:hAnsi="Times New Roman" w:cs="Times New Roman"/>
          <w:i/>
          <w:sz w:val="24"/>
          <w:szCs w:val="24"/>
        </w:rPr>
        <w:t>awd</w:t>
      </w:r>
      <w:r w:rsidRPr="002E26D2">
        <w:rPr>
          <w:rFonts w:ascii="Times New Roman" w:hAnsi="Times New Roman" w:cs="Times New Roman"/>
          <w:sz w:val="24"/>
          <w:szCs w:val="24"/>
        </w:rPr>
        <w:t xml:space="preserve"> gene, which encodes for an orthologue of human NME1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{"citationItems":[{"id":"ITEM-1","itemData":{"DOI":"10.1016/0969-2126(93)90016-A","ISSN":"09692126","PMID":"8081741","abstract":"BACKGROUND Nucleotide diphosphate kinase (NDP kinase) is a phosphate transfer enzyme involved in cell regulation and in animal development. Drosophila NDP kinase is the product of the abnormal wing disc (awd) developmental gene, a point mutation in which can produce the killer of prune (K-pn) conditional lethal phenotype. The highly homologous mammalian genes control metastasis and a human NDP kinase acts as a transcription factor. RESULTS The X-ray structure of the Awd protein prepared from Drosophila was solved at 2.4 A resolution by molecular replacement from the homologous Dictyostelium protein. Both are hexamers, and both have the same fold and the same active site. Subunit contacts differ as a result of sequence changes in the carboxy-terminal segment and in the loop that is the site of the K-pn mutation. CONCLUSIONS Regulatory properties of animal NDP kinases depend on interactions with other macromolecules, such as DNA and the product of the Drosophila prune gene. The Awd structure suggests an allosteric mechanism of action of NDP kinase where DNA is the effector and the protein undergoes a major conformational change, possibly dissociating to dimers.","author":[{"dropping-particle":"","family":"Chiadmi","given":"M.","non-dropping-particle":"","parse-names":false,"suffix":""},{"dropping-particle":"","family":"Moréra","given":"S.","non-dropping-particle":"","parse-names":false,"suffix":""},{"dropping-particle":"","family":"Lascu","given":"I.","non-dropping-particle":"","parse-names":false,"suffix":""},{"dropping-particle":"","family":"Dumas","given":"C.","non-dropping-particle":"","parse-names":false,"suffix":""},{"dropping-particle":"Le","family":"Bras","given":"G","non-dropping-particle":"","parse-names":false,"suffix":""},{"dropping-particle":"","family":"Véron","given":"M.","non-dropping-particle":"","parse-names":false,"suffix":""},{"dropping-particle":"","family":"Janin","given":"J.","non-dropping-particle":"","parse-names":false,"suffix":""}],"container-title":"Structure","id":"ITEM-1","issue":"4","issued":{"date-parts":[["1993","12","15"]]},"page":"283-293","title":"Crystal structure of the Awd nucleotide diphosphate kinase from Drosophila","type":"article-journal","volume":"1"},"uris":["http://www.mendeley.com/documents/?uuid=6512e104-5cbf-460f-9fb2-1cfd9ca928c8"]}],"mendeley":{"formattedCitation":"[69]","plainTextFormattedCitation":"[69]","previouslyFormattedCitation":"[69]"},"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[69]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In </w:t>
      </w:r>
      <w:r w:rsidRPr="006431E5">
        <w:rPr>
          <w:rFonts w:ascii="Times New Roman" w:hAnsi="Times New Roman" w:cs="Times New Roman"/>
          <w:i/>
          <w:iCs/>
          <w:sz w:val="24"/>
          <w:szCs w:val="24"/>
        </w:rPr>
        <w:t>Drosophila</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lastRenderedPageBreak/>
        <w:t xml:space="preserve">the mutation does not trigger particular phenotype, but is lethal when associated with a null mutation of the </w:t>
      </w:r>
      <w:r w:rsidRPr="002E26D2">
        <w:rPr>
          <w:rFonts w:ascii="Times New Roman" w:hAnsi="Times New Roman" w:cs="Times New Roman"/>
          <w:i/>
          <w:sz w:val="24"/>
          <w:szCs w:val="24"/>
        </w:rPr>
        <w:t>plum</w:t>
      </w:r>
      <w:r w:rsidRPr="002E26D2">
        <w:rPr>
          <w:rFonts w:ascii="Times New Roman" w:hAnsi="Times New Roman" w:cs="Times New Roman"/>
          <w:sz w:val="24"/>
          <w:szCs w:val="24"/>
        </w:rPr>
        <w:t xml:space="preserve"> gene that encodes for a phosphodiesterase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{"citationItems":[{"id":"ITEM-1","itemData":{"DOI":"10.1093/genetics/41.1.118","ISSN":"0016-6731","PMID":"17247604","abstract":"N January, 1954, two prune-3l females (Drosophila melanogaster) were mated to I three males from the S/E-S stock. There resulted 339 females (all, as expected, pn+), and one bobbed male that was also pn+ (it was later found that the S/E-S stock carried bb, so this male was clearly a nondisjunctional exception). The absence of the class of fin3 males was wholly unexpected, since the usual result would be that such males would be as numerous as their pn+ sisters. Several possible interpretations were tested, but the only one that turned out to be adequate was that there is a dominant autosomal gene (now called \"Prune-killer\", symbol K-pn) in the S/E-S stock, that kills all prune flies but is without effect on pn+. Later experiments have shown that the S/E-S stock is homozygous for K-pn; rather extensive tests have failed to show its presence in any other stock-both mutant stocks and wild strains from widely scattered localities having been tested. It has also been found that K-pn is equally effective in killing pn', pn2, or pn\"-the only independently arisen alleles a t present available for study-and that pn females are killed as effectively as are pn males. No other effects of K-pn have been found. I t has no detected effect on the phenotype in any combination tried; in particular, it has no modifying effect on the color of the eyes in any of the numerous mutant eye-colors with which it has been tried. The experiments leading to these and other conclusions may now be outlined. GENETIC TESTS Seventeen females from the original culture were tested. One of them was shown, by further testing, to carry an ordinary sex-linked lethal. Of the others, 8 were mated to pn males: they produced 745 + 9 9 , 393 pn 9 9 , 723 + 88, 351 pn 8$-i.e., about 2 + :1 pn among both sons and daughters. Seven females were mated to males from the S/E-S stock, and produced (disregarding S): 756 + 9 0, 414 + $$-i.e., the expected pn sons were absent. The remaining female was mated to an unrelated + male, and produced: 125 + 0 9 , 60 + 8 $, 34 pn $ $-i.e., half her pn sons were missing. These results were sufficient to indicate that a dominant autosomal gene was involved; it was also apparent that this gene could not be closely linked to S , since in the above tests some of the females used were S/+, and there was no obvious deviation from the expected proportions for S and S+ among their offspring. However , S is near one end of the second chromosome, and is therefore not an efficie…","author":[{"dropping-particle":"","family":"Sturtevant","given":"A. H.","non-dropping-particle":"","parse-names":false,"suffix":""}],"container-title":"Genetics","id":"ITEM-1","issue":"1","issued":{"date-parts":[["1956","1","1"]]},"page":"118-23","publisher":"Oxford University Press","title":"A Highly Specific Complementary Lethal System in Drosophila Melanogaster.","type":"article-journal","volume":"41"},"uris":["http://www.mendeley.com/documents/?uuid=deb47dc0-8074-33af-bbf2-7e5062d10039"]}],"mendeley":{"formattedCitation":"[77]","plainTextFormattedCitation":"[77]","previouslyFormattedCitation":"[77]"},"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[77]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P96S mutation (</w:t>
      </w:r>
      <w:r w:rsidR="00406E8E">
        <w:rPr>
          <w:rFonts w:ascii="Times New Roman" w:hAnsi="Times New Roman" w:cs="Times New Roman"/>
          <w:sz w:val="24"/>
          <w:szCs w:val="24"/>
        </w:rPr>
        <w:t>h</w:t>
      </w:r>
      <w:r w:rsidRPr="002E26D2">
        <w:rPr>
          <w:rFonts w:ascii="Times New Roman" w:hAnsi="Times New Roman" w:cs="Times New Roman"/>
          <w:sz w:val="24"/>
          <w:szCs w:val="24"/>
        </w:rPr>
        <w:t xml:space="preserve">uman NME1 numbering) was shown to increase the flexibility of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{"citationItems":[{"id":"ITEM-1","itemData":{"DOI":"10.1016/j.jsb.2015.09.009","ISSN":"10478477","PMID":"26410384","abstract":"Nucleoside diphosphate kinase (NDK) is a housekeeping enzyme that plays key roles in nucleotide recycling and homeostasis in trypanosomatids. Moreover, it is secreted by the intracellular parasite Leishmania to modulate the host response. These functions make NDK an attractive target for drug design and for studies aiming at a better understanding of the mechanisms mediating host-pathogen interactions. Here, we report the crystal structures of three mutants of the NDK from Leishmania major (LmNDK) that affects the stability of the hexameric biological assembly including P95S, Δ5Ct (lacking the last five residues) and the double mutant P100S/Δ5Ct. Although P95S and Δ5Ct variants conserve the hexameric structure of the wild-type protein, the double mutant becomes a dimer as shown by in solution studies. Free energy calculation of dimer-dimer interfaces and enzymatic assays indicate that P95S, Δ5Ct and P100S/Δ5Ct mutations progressively decrease the hexamer stability and enzyme activity. These results demonstrate that the mutated regions play a role in protein function through stabilizing the quaternary arrangement.","author":[{"dropping-particle":"","family":"Vieira","given":"Plínio Salmazo","non-dropping-particle":"","parse-names":false,"suffix":""},{"dropping-particle":"","family":"Giuseppe","given":"Priscila Oliveira","non-dropping-particle":"de","parse-names":false,"suffix":""},{"dropping-particle":"","family":"Oliveira","given":"Arthur Henrique Cavalcante","non-dropping-particle":"de","parse-names":false,"suffix":""},{"dropping-particle":"","family":"Murakami","given":"Mario Tyago","non-dropping-particle":"","parse-names":false,"suffix":""}],"container-title":"Journal of Structural Biology","id":"ITEM-1","issue":"3","issued":{"date-parts":[["2015","12"]]},"page":"336-341","publisher":"Elsevier Inc.","title":"The role of the C-terminus and Kpn loop in the quaternary structure stability of nucleoside diphosphate kinase from Leishmania parasites","type":"article-journal","volume":"192"},"uris":["http://www.mendeley.com/documents/?uuid=94d94569-ecfc-4999-85ee-fe55958dd605"]}],"mendeley":{"formattedCitation":"[12]","plainTextFormattedCitation":"[12]","previouslyFormattedCitation":"[12]"},"properties":{"noteIndex":0},"schema":"https://github.com/citation-style-language/schema/raw/master/csl-citation.json"}</w:instrText>
      </w:r>
      <w:r w:rsidRPr="002E26D2">
        <w:rPr>
          <w:rFonts w:ascii="Times New Roman" w:hAnsi="Times New Roman" w:cs="Times New Roman"/>
          <w:sz w:val="24"/>
          <w:szCs w:val="24"/>
        </w:rPr>
        <w:fldChar w:fldCharType="separate"/>
      </w:r>
      <w:r w:rsidR="00263086" w:rsidRPr="00263086">
        <w:rPr>
          <w:rFonts w:ascii="Times New Roman" w:hAnsi="Times New Roman" w:cs="Times New Roman"/>
          <w:noProof/>
          <w:sz w:val="24"/>
          <w:szCs w:val="24"/>
        </w:rPr>
        <w:t>[12]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which consequently destabilized the hexameric structure of NME proteins. In human cells, the mutated NME1</w:t>
      </w:r>
      <w:r w:rsidRPr="002E26D2">
        <w:rPr>
          <w:rFonts w:ascii="Times New Roman" w:hAnsi="Times New Roman" w:cs="Times New Roman"/>
          <w:sz w:val="24"/>
          <w:szCs w:val="24"/>
          <w:vertAlign w:val="superscript"/>
        </w:rPr>
        <w:t>P96S</w:t>
      </w:r>
      <w:r w:rsidRPr="002E26D2">
        <w:rPr>
          <w:rFonts w:ascii="Times New Roman" w:hAnsi="Times New Roman" w:cs="Times New Roman"/>
          <w:sz w:val="24"/>
          <w:szCs w:val="24"/>
        </w:rPr>
        <w:t xml:space="preserve"> displayed autophosphorylation and NDPK activity, but lost its antimetastatic characteristic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{"citationItems":[{"id":"ITEM-1","itemData":{"DOI":"10.18632/oncotarget.23796","ISSN":"1949-2553","PMID":"29535799","abstract":"The NM23/NME gene was identified as a metastasis suppressor. It's reexpression inhibited cancer cell motility and suppressed metastasis, without effecting primary tumor size in multiple model systems. The mechanisms of NME suppression of motility and metastasis are incompletely known. Of particular interest, has been NME histidine 118 phosphorylation, involved in nucleoside diphosphate kinase (NDPK) and histidine protein kinase (HPK) activities. Using recently developed monoclonal antibodies to phosphohistidine, we have addressed the correlation of NME phosphohistidine with motility suppression, and distinguished the NDPK and HPK contributions. While general levels of NME correlated with its 1-phosphohistidine form in two cell line model systems, two exceptions were noted: Tumor cells actively migrating in scratch assays, even if expressing high levels of NME1, were low in its 1-phosphohistidine form. Site-directed mutagenesis of NME1 histidine 118 and proline 96 was examined by transfection experiments and partial purification of recombinant proteins. NME1P96S overexpressing tumor cells exhibited high motility and migration phenotypes despite high 1-phosphohistidine content and NDPK activity; HPK activity using succinate thiokinase as a substrate was poor. The data suggest the importance of NME 1-phosphohistidine levels in potential mechanistic pathways of metastasis suppression and point toward the HPK activity of NME1 downstream of autophosphorylation.","author":[{"dropping-particle":"","family":"Khan","given":"Imran","non-dropping-particle":"","parse-names":false,"suffix":""},{"dropping-particle":"","family":"Steeg","given":"Patricia S.","non-dropping-particle":"","parse-names":false,"suffix":""}],"container-title":"Oncotarget","id":"ITEM-1","issue":"12","issued":{"date-parts":[["2018","2","13"]]},"page":"10185-10202","publisher":"Impact Journals, LLC","title":"The relationship of NM23 (NME) metastasis suppressor histidine phosphorylation to its nucleoside diphosphate kinase, histidine protein kinase and motility suppression activities","type":"article-journal","volume":"9"},"uris":["http://www.mendeley.com/documents/?uuid=e42ce1b3-1689-3fc5-84a4-6113a9451cf0"]}],"mendeley":{"formattedCitation":"[78]","plainTextFormattedCitation":"[78]","previouslyFormattedCitation":"[78]"},"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[78]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C-terminal part is highly variable in sequence when comparing the different NME proteins. It was shown to be important in the oligomerization of hexamers. A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mutation combined with C-terminal shortage is often associated with oligomer dissociation and loss of enzymatic activity</w:t>
      </w:r>
      <w:r w:rsidR="002176A9"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{"citationItems":[{"id":"ITEM-1","itemData":{"DOI":"10.1074/jbc.271.33.19928","ISSN":"00219258","abstract":"Nucleoside diphosphate kinase (NDP kinase, EC 2.7.4.6) is a ubiquitous enzyme that catalyzes phosphorylation of nucleoside 5′-diphosphate, with the exception of ADP, to the corresponding triphosphate, following a ping-pong mechanism, which includes the formation of a high-energy phosphohistidine intermediate. It has a broad specifity for phosphoryl donors and acceptors to maintain the balanced levels of nucleotide triphosphates in the cell. The structures of NDP kinases are highly conserved from Escherichia coli to human (43 % identity) and they are believed to be a housekeeping enzyme for DNA and RNA synthesis. In addition, NDP kinases have been shown to have additional regulatory functions for growth and developmental control, signal transduction, transcription, activation of GTP-binding proteins, and tumour metastasis suppression. The recent information on the general properties, three-dimensional structure, quarternary structure, and the properties of the binding site of this enzyme are reported.","author":[{"dropping-particle":"","family":"Karlsson","given":"Anna","non-dropping-particle":"","parse-names":false,"suffix":""},{"dropping-particle":"","family":"Mesnildrey","given":"Sébastien","non-dropping-particle":"","parse-names":false,"suffix":""},{"dropping-particle":"","family":"Xu","given":"Yingwu","non-dropping-particle":"","parse-names":false,"suffix":""},{"dropping-particle":"","family":"Moréra","given":"Solange","non-dropping-particle":"","parse-names":false,"suffix":""},{"dropping-particle":"","family":"Janin","given":"Joël","non-dropping-particle":"","parse-names":false,"suffix":""},{"dropping-particle":"","family":"Véron","given":"Michel","non-dropping-particle":"","parse-names":false,"suffix":""}],"container-title":"Journal of Biological Chemistry","id":"ITEM-1","issue":"33","issued":{"date-parts":[["1996","8","16"]]},"page":"19928-19934","publisher":"Elsevier","title":"Nucleoside Diphosphate Kinase","type":"article-journal","volume":"271"},"uris":["http://www.mendeley.com/documents/?uuid=98e654be-5569-31d2-9811-64ec7bf0287b"]},{"id":"ITEM-2","itemData":{"DOI":"10.1016/j.jsb.2015.09.009","ISSN":"10478477","PMID":"26410384","abstract":"Nucleoside diphosphate kinase (NDK) is a housekeeping enzyme that plays key roles in nucleotide recycling and homeostasis in trypanosomatids. Moreover, it is secreted by the intracellular parasite Leishmania to modulate the host response. These functions make NDK an attractive target for drug design and for studies aiming at a better understanding of the mechanisms mediating host-pathogen interactions. Here, we report the crystal structures of three mutants of the NDK from Leishmania major (LmNDK) that affects the stability of the hexameric biological assembly including P95S, Δ5Ct (lacking the last five residues) and the double mutant P100S/Δ5Ct. Although P95S and Δ5Ct variants conserve the hexameric structure of the wild-type protein, the double mutant becomes a dimer as shown by in solution studies. Free energy calculation of dimer-dimer interfaces and enzymatic assays indicate that P95S, Δ5Ct and P100S/Δ5Ct mutations progressively decrease the hexamer stability and enzyme activity. These results demonstrate that the mutated regions play a role in protein function through stabilizing the quaternary arrangement.","author":[{"dropping-particle":"","family":"Vieira","given":"Plínio Salmazo","non-dropping-particle":"","parse-names":false,"suffix":""},{"dropping-particle":"","family":"Giuseppe","given":"Priscila Oliveira","non-dropping-particle":"de","parse-names":false,"suffix":""},{"dropping-particle":"","family":"Oliveira","given":"Arthur Henrique Cavalcante","non-dropping-particle":"de","parse-names":false,"suffix":""},{"dropping-particle":"","family":"Murakami","given":"Mario Tyago","non-dropping-particle":"","parse-names":false,"suffix":""}],"container-title":"Journal of Structural Biology","id":"ITEM-2","issue":"3","issued":{"date-parts":[["2015","12"]]},"page":"336-341","publisher":"Elsevier Inc.","title":"The role of the C-terminus and Kpn loop in the quaternary structure stability of nucleoside diphosphate kinase from Leishmania parasites","type":"article-journal","volume":"192"},"uris":["http://www.mendeley.com/documents/?uuid=94d94569-ecfc-4999-85ee-fe55958dd605"]},{"id":"ITEM-3","itemData":{"DOI":"10.1074/jbc.273.8.4436","ISSN":"00219258","PMID":"9468495","abstract":"A dimeric Dictyostelium nucleoside diphosphate kinase has been stabilized by the double mutation P100S-N150stop which targets residues involved in the trimer interface (Karlsson, A., Mesnildrey, S., Xu, Y., Morera, S., Janin, J., and Veron, M. (1996) J. Biol. Chem. 271, 19928- 19934). The reassociation of this dimeric form into a hexamer similar to the wild-type enzyme is induced by the presence of a nucleotide substrate. Equilibrium sedimentation and gel filtration experiments, as well as enzymatic activity measurements, show that reactivation of the enzyme closely parallels its reassociation. A phosphorylatable intermediate with low activity participates in the association pathway while the dimeric form is shown totally devoid of enzymatic activity. Our results support the hypothesis that different oligomeric species of nucleoside diphosphate kinase are involved in different cellular processes where the enzymatic activity is not required.","author":[{"dropping-particle":"","family":"Mesnildrey","given":"Sébastien","non-dropping-particle":"","parse-names":false,"suffix":""},{"dropping-particle":"","family":"Agou","given":"Fabrice","non-dropping-particle":"","parse-names":false,"suffix":""},{"dropping-particle":"","family":"Karlsson","given":"Anna","non-dropping-particle":"","parse-names":false,"suffix":""},{"dropping-particle":"","family":"Bonne","given":"Dominique Deville","non-dropping-particle":"","parse-names":false,"suffix":""},{"dropping-particle":"","family":"Véron","given":"Michel","non-dropping-particle":"","parse-names":false,"suffix":""}],"container-title":"Journal of Biological Chemistry","id":"ITEM-3","issue":"8","issued":{"date-parts":[["1998","2","1"]]},"page":"4436-4442","title":"Coupling between Catalysis and Oligomeric Structure in Nucleoside Diphosphate Kinase","type":"article-journal","volume":"273"},"uris":["http://www.mendeley.com/documents/?uuid=64507af5-6fba-3cf0-aeb3-9408d3e1bf05"]}],"mendeley":{"formattedCitation":"[12,76,79]","plainTextFormattedCitation":"[12,76,79]","previouslyFormattedCitation":"[12,76,79]"},"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[12,76,79]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63E0F818" w14:textId="77777777" w:rsidR="00AC1B79"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4D5E7C5F" wp14:editId="143D29A4">
            <wp:extent cx="5760000" cy="4375839"/>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000" cy="4375839"/>
                    </a:xfrm>
                    <a:prstGeom prst="rect">
                      <a:avLst/>
                    </a:prstGeom>
                  </pic:spPr>
                </pic:pic>
              </a:graphicData>
            </a:graphic>
          </wp:inline>
        </w:drawing>
      </w:r>
    </w:p>
    <w:p w14:paraId="0D901D16" w14:textId="5A2E9758" w:rsidR="00AC4DFA" w:rsidRPr="002E26D2" w:rsidRDefault="00AC1B79" w:rsidP="004927BB">
      <w:pPr>
        <w:pStyle w:val="Caption"/>
        <w:spacing w:line="360" w:lineRule="auto"/>
        <w:rPr>
          <w:rFonts w:ascii="Times New Roman" w:hAnsi="Times New Roman" w:cs="Times New Roman"/>
          <w:sz w:val="24"/>
          <w:szCs w:val="24"/>
        </w:rPr>
      </w:pPr>
      <w:bookmarkStart w:id="42" w:name="_Ref106009239"/>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12</w:t>
      </w:r>
      <w:r w:rsidRPr="002E26D2">
        <w:rPr>
          <w:rFonts w:ascii="Times New Roman" w:hAnsi="Times New Roman" w:cs="Times New Roman"/>
          <w:sz w:val="24"/>
          <w:szCs w:val="24"/>
        </w:rPr>
        <w:fldChar w:fldCharType="end"/>
      </w:r>
      <w:bookmarkStart w:id="43" w:name="_Ref105751761"/>
      <w:bookmarkEnd w:id="42"/>
      <w:r w:rsidRPr="002E26D2">
        <w:rPr>
          <w:rFonts w:ascii="Times New Roman" w:hAnsi="Times New Roman" w:cs="Times New Roman"/>
          <w:sz w:val="24"/>
          <w:szCs w:val="24"/>
        </w:rPr>
        <w:t xml:space="preserve"> </w:t>
      </w:r>
      <w:r w:rsidR="00AC4DFA" w:rsidRPr="009C51BF">
        <w:rPr>
          <w:rFonts w:ascii="Times New Roman" w:hAnsi="Times New Roman" w:cs="Times New Roman"/>
          <w:sz w:val="24"/>
          <w:szCs w:val="24"/>
          <w:u w:val="single"/>
        </w:rPr>
        <w:t xml:space="preserve">: Structure of </w:t>
      </w:r>
      <w:r w:rsidR="0060463F" w:rsidRPr="009C51BF">
        <w:rPr>
          <w:rFonts w:ascii="Times New Roman" w:hAnsi="Times New Roman" w:cs="Times New Roman"/>
          <w:sz w:val="24"/>
          <w:szCs w:val="24"/>
          <w:u w:val="single"/>
        </w:rPr>
        <w:t xml:space="preserve">the </w:t>
      </w:r>
      <w:r w:rsidR="00AC4DFA" w:rsidRPr="009C51BF">
        <w:rPr>
          <w:rFonts w:ascii="Times New Roman" w:hAnsi="Times New Roman" w:cs="Times New Roman"/>
          <w:sz w:val="24"/>
          <w:szCs w:val="24"/>
          <w:u w:val="single"/>
        </w:rPr>
        <w:t xml:space="preserve">monomer, dimer, trimer, and hexamer of </w:t>
      </w:r>
      <w:r w:rsidR="0060463F" w:rsidRPr="009C51BF">
        <w:rPr>
          <w:rFonts w:ascii="Times New Roman" w:hAnsi="Times New Roman" w:cs="Times New Roman"/>
          <w:sz w:val="24"/>
          <w:szCs w:val="24"/>
          <w:u w:val="single"/>
        </w:rPr>
        <w:t xml:space="preserve">the </w:t>
      </w:r>
      <w:r w:rsidR="00AC4DFA" w:rsidRPr="009C51BF">
        <w:rPr>
          <w:rFonts w:ascii="Times New Roman" w:hAnsi="Times New Roman" w:cs="Times New Roman"/>
          <w:sz w:val="24"/>
          <w:szCs w:val="24"/>
          <w:u w:val="single"/>
        </w:rPr>
        <w:t xml:space="preserve">NDPK from </w:t>
      </w:r>
      <w:r w:rsidR="0060463F" w:rsidRPr="009C51BF">
        <w:rPr>
          <w:rFonts w:ascii="Times New Roman" w:hAnsi="Times New Roman" w:cs="Times New Roman"/>
          <w:sz w:val="24"/>
          <w:szCs w:val="24"/>
          <w:u w:val="single"/>
        </w:rPr>
        <w:t>Mycobacterium</w:t>
      </w:r>
      <w:r w:rsidR="00AC4DFA" w:rsidRPr="009C51BF">
        <w:rPr>
          <w:rFonts w:ascii="Times New Roman" w:hAnsi="Times New Roman" w:cs="Times New Roman"/>
          <w:sz w:val="24"/>
          <w:szCs w:val="24"/>
          <w:u w:val="single"/>
        </w:rPr>
        <w:t xml:space="preserve"> </w:t>
      </w:r>
      <w:r w:rsidR="0060463F" w:rsidRPr="009C51BF">
        <w:rPr>
          <w:rFonts w:ascii="Times New Roman" w:hAnsi="Times New Roman" w:cs="Times New Roman"/>
          <w:sz w:val="24"/>
          <w:szCs w:val="24"/>
          <w:u w:val="single"/>
        </w:rPr>
        <w:t>t</w:t>
      </w:r>
      <w:r w:rsidR="00AC4DFA" w:rsidRPr="009C51BF">
        <w:rPr>
          <w:rFonts w:ascii="Times New Roman" w:hAnsi="Times New Roman" w:cs="Times New Roman"/>
          <w:sz w:val="24"/>
          <w:szCs w:val="24"/>
          <w:u w:val="single"/>
        </w:rPr>
        <w:t>uberculosis</w:t>
      </w:r>
      <w:r w:rsidR="0060463F" w:rsidRPr="009C51BF">
        <w:rPr>
          <w:rFonts w:ascii="Times New Roman" w:hAnsi="Times New Roman" w:cs="Times New Roman"/>
          <w:sz w:val="24"/>
          <w:szCs w:val="24"/>
          <w:u w:val="single"/>
        </w:rPr>
        <w:t xml:space="preserve"> (Mt)</w:t>
      </w:r>
      <w:r w:rsidR="00AC4DFA" w:rsidRPr="009C51BF">
        <w:rPr>
          <w:rFonts w:ascii="Times New Roman" w:hAnsi="Times New Roman" w:cs="Times New Roman"/>
          <w:sz w:val="24"/>
          <w:szCs w:val="24"/>
          <w:u w:val="single"/>
        </w:rPr>
        <w:t>.</w:t>
      </w:r>
      <w:r w:rsidR="00AC4DFA" w:rsidRPr="002E26D2">
        <w:rPr>
          <w:rFonts w:ascii="Times New Roman" w:hAnsi="Times New Roman" w:cs="Times New Roman"/>
          <w:sz w:val="24"/>
          <w:szCs w:val="24"/>
        </w:rPr>
        <w:t xml:space="preserve"> (A) View of the monomer with labeled secondary structural elements. (B) Side view of a dimer showing the dimer interface and the active site pocket. (C) Top view of a trimer. At the trimer interface, the Kpn/α0 foldon and the R80–D93 salt bridge are involved in hexamer assembly. (D) Side view of the surface of the six-color hexamer Mt-NDPK. The active site is colored </w:t>
      </w:r>
      <w:r w:rsidR="0060463F">
        <w:rPr>
          <w:rFonts w:ascii="Times New Roman" w:hAnsi="Times New Roman" w:cs="Times New Roman"/>
          <w:sz w:val="24"/>
          <w:szCs w:val="24"/>
        </w:rPr>
        <w:t xml:space="preserve">in </w:t>
      </w:r>
      <w:r w:rsidR="00AC4DFA" w:rsidRPr="002E26D2">
        <w:rPr>
          <w:rFonts w:ascii="Times New Roman" w:hAnsi="Times New Roman" w:cs="Times New Roman"/>
          <w:sz w:val="24"/>
          <w:szCs w:val="24"/>
        </w:rPr>
        <w:t>yellow. (</w:t>
      </w:r>
      <w:r w:rsidR="00406E8E">
        <w:rPr>
          <w:rFonts w:ascii="Times New Roman" w:hAnsi="Times New Roman" w:cs="Times New Roman"/>
          <w:sz w:val="24"/>
          <w:szCs w:val="24"/>
        </w:rPr>
        <w:t>T</w:t>
      </w:r>
      <w:r w:rsidR="00AC4DFA" w:rsidRPr="002E26D2">
        <w:rPr>
          <w:rFonts w:ascii="Times New Roman" w:hAnsi="Times New Roman" w:cs="Times New Roman"/>
          <w:sz w:val="24"/>
          <w:szCs w:val="24"/>
        </w:rPr>
        <w:t>aken from Georgescauld et al., 2020</w:t>
      </w:r>
      <w:r w:rsidR="00406E8E">
        <w:rPr>
          <w:rFonts w:ascii="Times New Roman" w:hAnsi="Times New Roman" w:cs="Times New Roman"/>
          <w:sz w:val="24"/>
          <w:szCs w:val="24"/>
        </w:rPr>
        <w:t>)</w:t>
      </w:r>
      <w:r w:rsidR="00AC4DFA" w:rsidRPr="002E26D2">
        <w:rPr>
          <w:rFonts w:ascii="Times New Roman" w:hAnsi="Times New Roman" w:cs="Times New Roman"/>
          <w:sz w:val="24"/>
          <w:szCs w:val="24"/>
        </w:rPr>
        <w:t xml:space="preserve"> </w:t>
      </w:r>
      <w:r w:rsidR="00AC4DFA"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{"citationItems":[{"id":"ITEM-1","itemData":{"DOI":"10.3390/ijms21186779","ISSN":"1422-0067","PMID":"32947863","abstract":"Nucleoside diphosphate kinases (NDPK) are oligomeric proteins involved in the synthesis of nucleoside triphosphates. Their tridimensional structure has been solved by X-ray crystallography and shows that individual subunits present a conserved ferredoxin fold of about 140 residues in prokaryotes, archaea, eukaryotes and viruses. Monomers are functionally independent from each other inside NDPK complexes and the nucleoside kinase catalytic mechanism involves transient phosphorylation of the conserved catalytic histidine. To be active, monomers must assemble into conserved head to tail dimers, which further assemble into hexamers or tetramers. The interfaces between these oligomeric states are very different but, surprisingly, the assembly structure barely affects the catalytic efficiency of the enzyme. While it has been shown that assembly into hexamers induces full formation of the catalytic site and stabilizes the complex, it is unclear why assembly into tetramers is required for function. Several additional activities have been revealed for NDPK, especially in metastasis spreading, cytoskeleton dynamics, DNA binding and membrane remodeling. However, we still lack the high resolution structural data of NDPK in complex with different partners, which is necessary for deciphering the mechanism of these diverse functions. In this review we discuss advances in the structure, folding and stability of NDPKs.","author":[{"dropping-particle":"","family":"Georgescauld","given":"Florian","non-dropping-particle":"","parse-names":false,"suffix":""},{"dropping-particle":"","family":"Song","given":"Yuyu","non-dropping-particle":"","parse-names":false,"suffix":""},{"dropping-particle":"","family":"Dautant","given":"Alain","non-dropping-particle":"","parse-names":false,"suffix":""}],"container-title":"International Journal of Molecular Sciences","id":"ITEM-1","issue":"18","issued":{"date-parts":[["2020","9","16"]]},"page":"6779","publisher":"Multidisciplinary Digital Publishing Institute","title":"Structure, Folding and Stability of Nucleoside Diphosphate Kinases","type":"article-journal","volume":"21"},"uris":["http://www.mendeley.com/documents/?uuid=acbdca8a-96f5-39ba-8f0c-4304c34840dc"]}],"mendeley":{"formattedCitation":"[13]","plainTextFormattedCitation":"[13]","previouslyFormattedCitation":"[13]"},"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263086" w:rsidRPr="00263086">
        <w:rPr>
          <w:rFonts w:ascii="Times New Roman" w:hAnsi="Times New Roman" w:cs="Times New Roman"/>
          <w:i w:val="0"/>
          <w:noProof/>
          <w:sz w:val="24"/>
          <w:szCs w:val="24"/>
        </w:rPr>
        <w:t>[13]</w:t>
      </w:r>
      <w:r w:rsidR="00AC4DFA" w:rsidRPr="002E26D2">
        <w:rPr>
          <w:rFonts w:ascii="Times New Roman" w:hAnsi="Times New Roman" w:cs="Times New Roman"/>
          <w:sz w:val="24"/>
          <w:szCs w:val="24"/>
        </w:rPr>
        <w:fldChar w:fldCharType="end"/>
      </w:r>
      <w:bookmarkEnd w:id="43"/>
    </w:p>
    <w:p w14:paraId="6CB89E92" w14:textId="24329C09" w:rsidR="00AC4DFA"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lastRenderedPageBreak/>
        <w:t>To summarize, the NDPK activity</w:t>
      </w:r>
      <w:r w:rsidR="00005E88">
        <w:rPr>
          <w:rFonts w:ascii="Times New Roman" w:hAnsi="Times New Roman" w:cs="Times New Roman"/>
          <w:sz w:val="24"/>
          <w:szCs w:val="24"/>
        </w:rPr>
        <w:t>,</w:t>
      </w:r>
      <w:r w:rsidRPr="002E26D2">
        <w:rPr>
          <w:rFonts w:ascii="Times New Roman" w:hAnsi="Times New Roman" w:cs="Times New Roman"/>
          <w:sz w:val="24"/>
          <w:szCs w:val="24"/>
        </w:rPr>
        <w:t xml:space="preserve"> </w:t>
      </w:r>
      <w:r w:rsidR="00005E88">
        <w:rPr>
          <w:rFonts w:ascii="Times New Roman" w:hAnsi="Times New Roman" w:cs="Times New Roman"/>
          <w:sz w:val="24"/>
          <w:szCs w:val="24"/>
        </w:rPr>
        <w:t xml:space="preserve">described as a </w:t>
      </w:r>
      <w:r w:rsidR="00005E88" w:rsidRPr="002E26D2">
        <w:rPr>
          <w:rFonts w:ascii="Times New Roman" w:hAnsi="Times New Roman" w:cs="Times New Roman"/>
          <w:sz w:val="24"/>
          <w:szCs w:val="24"/>
        </w:rPr>
        <w:t>reversible ping-pong reaction</w:t>
      </w:r>
      <w:r w:rsidR="00005E88">
        <w:rPr>
          <w:rFonts w:ascii="Times New Roman" w:hAnsi="Times New Roman" w:cs="Times New Roman"/>
          <w:sz w:val="24"/>
          <w:szCs w:val="24"/>
        </w:rPr>
        <w:t>,</w:t>
      </w:r>
      <w:r w:rsidR="00005E88" w:rsidRPr="002E26D2">
        <w:rPr>
          <w:rFonts w:ascii="Times New Roman" w:hAnsi="Times New Roman" w:cs="Times New Roman"/>
          <w:sz w:val="24"/>
          <w:szCs w:val="24"/>
        </w:rPr>
        <w:t xml:space="preserve"> </w:t>
      </w:r>
      <w:r w:rsidRPr="002E26D2">
        <w:rPr>
          <w:rFonts w:ascii="Times New Roman" w:hAnsi="Times New Roman" w:cs="Times New Roman"/>
          <w:sz w:val="24"/>
          <w:szCs w:val="24"/>
        </w:rPr>
        <w:t xml:space="preserve">takes place in the catalytic pocket of the NDPK domain. The oligomerization of NME proteins is essential for NDPK activity.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and the C-terminal extension are critical structures for </w:t>
      </w:r>
      <w:r w:rsidR="0060463F">
        <w:rPr>
          <w:rFonts w:ascii="Times New Roman" w:hAnsi="Times New Roman" w:cs="Times New Roman"/>
          <w:sz w:val="24"/>
          <w:szCs w:val="24"/>
        </w:rPr>
        <w:t xml:space="preserve">the stability of the </w:t>
      </w:r>
      <w:r w:rsidRPr="002E26D2">
        <w:rPr>
          <w:rFonts w:ascii="Times New Roman" w:hAnsi="Times New Roman" w:cs="Times New Roman"/>
          <w:sz w:val="24"/>
          <w:szCs w:val="24"/>
        </w:rPr>
        <w:t>NME</w:t>
      </w:r>
      <w:r w:rsidR="004F2EC3">
        <w:rPr>
          <w:rFonts w:ascii="Times New Roman" w:hAnsi="Times New Roman" w:cs="Times New Roman"/>
          <w:sz w:val="24"/>
          <w:szCs w:val="24"/>
        </w:rPr>
        <w:t xml:space="preserve"> </w:t>
      </w:r>
      <w:r w:rsidRPr="002E26D2">
        <w:rPr>
          <w:rFonts w:ascii="Times New Roman" w:hAnsi="Times New Roman" w:cs="Times New Roman"/>
          <w:sz w:val="24"/>
          <w:szCs w:val="24"/>
        </w:rPr>
        <w:t>oligomer.</w:t>
      </w:r>
    </w:p>
    <w:p w14:paraId="4498C136" w14:textId="77777777" w:rsidR="00005E88" w:rsidRPr="002E26D2" w:rsidRDefault="00005E88" w:rsidP="004927BB">
      <w:pPr>
        <w:spacing w:line="360" w:lineRule="auto"/>
        <w:jc w:val="both"/>
        <w:rPr>
          <w:rFonts w:ascii="Times New Roman" w:hAnsi="Times New Roman" w:cs="Times New Roman"/>
          <w:sz w:val="24"/>
          <w:szCs w:val="24"/>
        </w:rPr>
      </w:pPr>
    </w:p>
    <w:p w14:paraId="0840F1A3" w14:textId="3D6D0681" w:rsidR="00AC4DFA" w:rsidRPr="00F836CB" w:rsidRDefault="003A674F" w:rsidP="004927BB">
      <w:pPr>
        <w:pStyle w:val="Heading2"/>
        <w:spacing w:line="360" w:lineRule="auto"/>
        <w:rPr>
          <w:rFonts w:cs="Times New Roman"/>
          <w:szCs w:val="28"/>
        </w:rPr>
      </w:pPr>
      <w:bookmarkStart w:id="44" w:name="_Ref106180191"/>
      <w:bookmarkStart w:id="45" w:name="_Ref106180198"/>
      <w:bookmarkStart w:id="46" w:name="_Toc117153831"/>
      <w:r w:rsidRPr="00F836CB">
        <w:rPr>
          <w:rFonts w:cs="Times New Roman"/>
          <w:szCs w:val="28"/>
        </w:rPr>
        <w:t>H</w:t>
      </w:r>
      <w:r w:rsidR="00AC4DFA" w:rsidRPr="00F836CB">
        <w:rPr>
          <w:rFonts w:cs="Times New Roman"/>
          <w:szCs w:val="28"/>
        </w:rPr>
        <w:t>uman NME family</w:t>
      </w:r>
      <w:bookmarkEnd w:id="44"/>
      <w:bookmarkEnd w:id="45"/>
      <w:bookmarkEnd w:id="46"/>
    </w:p>
    <w:p w14:paraId="3E82A3EA" w14:textId="10B74316" w:rsidR="00AC4DFA" w:rsidRDefault="00AC4DFA" w:rsidP="00022DC9">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In vertebrate, ten NME genes are recorded to date, divided into two groups based on their structures and phylogenetic analysis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human Group I is composed of NME1, NME2, NME3 and NME4, four genes</w:t>
      </w:r>
      <w:r w:rsidR="000B1153">
        <w:rPr>
          <w:rFonts w:ascii="Times New Roman" w:hAnsi="Times New Roman" w:cs="Times New Roman"/>
          <w:sz w:val="24"/>
          <w:szCs w:val="24"/>
        </w:rPr>
        <w:t>/proteins</w:t>
      </w:r>
      <w:r w:rsidRPr="002E26D2">
        <w:rPr>
          <w:rFonts w:ascii="Times New Roman" w:hAnsi="Times New Roman" w:cs="Times New Roman"/>
          <w:sz w:val="24"/>
          <w:szCs w:val="24"/>
        </w:rPr>
        <w:t xml:space="preserve"> that seems to have emerged from a common ancestor gene around teleost radiation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w:t>
      </w:r>
      <w:r w:rsidR="000B1153">
        <w:rPr>
          <w:rFonts w:ascii="Times New Roman" w:hAnsi="Times New Roman" w:cs="Times New Roman"/>
          <w:sz w:val="24"/>
          <w:szCs w:val="24"/>
        </w:rPr>
        <w:t>y</w:t>
      </w:r>
      <w:r w:rsidR="00EB5EF9">
        <w:rPr>
          <w:rFonts w:ascii="Times New Roman" w:hAnsi="Times New Roman" w:cs="Times New Roman"/>
          <w:sz w:val="24"/>
          <w:szCs w:val="24"/>
        </w:rPr>
        <w:t xml:space="preserve"> </w:t>
      </w:r>
      <w:r w:rsidRPr="002E26D2">
        <w:rPr>
          <w:rFonts w:ascii="Times New Roman" w:hAnsi="Times New Roman" w:cs="Times New Roman"/>
          <w:sz w:val="24"/>
          <w:szCs w:val="24"/>
        </w:rPr>
        <w:t>are highly conserved in their amino acid sequence (58-88% a</w:t>
      </w:r>
      <w:r w:rsidR="004A749E" w:rsidRPr="002E26D2">
        <w:rPr>
          <w:rFonts w:ascii="Times New Roman" w:hAnsi="Times New Roman" w:cs="Times New Roman"/>
          <w:sz w:val="24"/>
          <w:szCs w:val="24"/>
        </w:rPr>
        <w:t>a</w:t>
      </w:r>
      <w:r w:rsidRPr="002E26D2">
        <w:rPr>
          <w:rFonts w:ascii="Times New Roman" w:hAnsi="Times New Roman" w:cs="Times New Roman"/>
          <w:sz w:val="24"/>
          <w:szCs w:val="24"/>
        </w:rPr>
        <w:t xml:space="preserve"> homology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{"citationItems":[{"id":"ITEM-1","itemData":{"DOI":"10.1007/s11010-009-0120-7","ISSN":"0300-8177","abstract":"Nucleoside diphosphate kinases (NDPK) are encoded by the NME genes, also called NM23. They catalyze the transfer of γ-phosphate from nucleoside triphosphates to nucleoside diphosphates by a ping-pong mechanism involving the formation of a high energy phospho-histidine intermediate [1, 2]. Besides their known functions in the control of intracellular nucleotide homeostasis, they are involved in multiple physiological and pathological cellular processes such as differentiation, development, metastastic dissemination or cilia functions. Over the past 15 years, ten human genes have been discovered encoding partial, full length, and/or tandemly repeated Nm23/NDPK domains, with or without N-or C-terminal extensions and/or additional domains. These genes encode proteins exhibiting different functions at various tissular and subcellular localizations. Most of these genes appear late in evolution with the emergence of the vertebrate lineage. This review summarizes the present knowledge on these multitalented proteins. © 2009 Springer Science+Business Media, LLC.","author":[{"dropping-particle":"","family":"Boissan","given":"Mathieu","non-dropping-particle":"","parse-names":false,"suffix":""},{"dropping-particle":"","family":"Dabernat","given":"Sandrine","non-dropping-particle":"","parse-names":false,"suffix":""},{"dropping-particle":"","family":"Peuchant","given":"Evelyne","non-dropping-particle":"","parse-names":false,"suffix":""},{"dropping-particle":"","family":"Schlattner","given":"Uwe","non-dropping-particle":"","parse-names":false,"suffix":""},{"dropping-particle":"","family":"Lascu","given":"Ioan","non-dropping-particle":"","parse-names":false,"suffix":""},{"dropping-particle":"","family":"Lacombe","given":"Marie-Lise","non-dropping-particle":"","parse-names":false,"suffix":""}],"container-title":"Molecular and Cellular Biochemistry","id":"ITEM-1","issue":"1-2","issued":{"date-parts":[["2009","9","22"]]},"page":"51-62","title":"The mammalian Nm23/NDPK family: from metastasis control to cilia movement","type":"article-journal","volume":"329"},"uris":["http://www.mendeley.com/documents/?uuid=4df74019-f20a-4aa8-b3c3-2b3012444868"]}],"mendeley":{"formattedCitation":"[80]","plainTextFormattedCitation":"[80]","previouslyFormattedCitation":"[80]"},"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[80]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possess a single NDPK domain and all display NDPK activity. The human Group II members (NME5, NME6, NME7, NME8, NME9) arose earlier in the course of evolution, i.e. they are more “ancient”. Phylogenetic analysis indicates that they emerged from a common ancestor after a duplication event that occurred before the chordate radiation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related proteins are more divergent among themselves in their amino</w:t>
      </w:r>
      <w:r w:rsidR="00F23383">
        <w:rPr>
          <w:rFonts w:ascii="Times New Roman" w:hAnsi="Times New Roman" w:cs="Times New Roman"/>
          <w:sz w:val="24"/>
          <w:szCs w:val="24"/>
        </w:rPr>
        <w:t xml:space="preserve"> </w:t>
      </w:r>
      <w:r w:rsidRPr="002E26D2">
        <w:rPr>
          <w:rFonts w:ascii="Times New Roman" w:hAnsi="Times New Roman" w:cs="Times New Roman"/>
          <w:sz w:val="24"/>
          <w:szCs w:val="24"/>
        </w:rPr>
        <w:t>acid sequence and structure (28-45% a</w:t>
      </w:r>
      <w:r w:rsidR="004A749E" w:rsidRPr="002E26D2">
        <w:rPr>
          <w:rFonts w:ascii="Times New Roman" w:hAnsi="Times New Roman" w:cs="Times New Roman"/>
          <w:sz w:val="24"/>
          <w:szCs w:val="24"/>
        </w:rPr>
        <w:t>a</w:t>
      </w:r>
      <w:r w:rsidRPr="002E26D2">
        <w:rPr>
          <w:rFonts w:ascii="Times New Roman" w:hAnsi="Times New Roman" w:cs="Times New Roman"/>
          <w:sz w:val="24"/>
          <w:szCs w:val="24"/>
        </w:rPr>
        <w:t xml:space="preserve"> identity), and differ from </w:t>
      </w:r>
      <w:r w:rsidR="000B1153">
        <w:rPr>
          <w:rFonts w:ascii="Times New Roman" w:hAnsi="Times New Roman" w:cs="Times New Roman"/>
          <w:sz w:val="24"/>
          <w:szCs w:val="24"/>
        </w:rPr>
        <w:t>G</w:t>
      </w:r>
      <w:r w:rsidRPr="002E26D2">
        <w:rPr>
          <w:rFonts w:ascii="Times New Roman" w:hAnsi="Times New Roman" w:cs="Times New Roman"/>
          <w:sz w:val="24"/>
          <w:szCs w:val="24"/>
        </w:rPr>
        <w:t>roup I proteins (25-34% amino acid identity)</w:t>
      </w:r>
      <w:r w:rsidR="002205B7">
        <w:rPr>
          <w:rFonts w:ascii="Times New Roman" w:hAnsi="Times New Roman" w:cs="Times New Roman"/>
          <w:sz w:val="24"/>
          <w:szCs w:val="24"/>
        </w:rPr>
        <w:t xml:space="preserve"> </w:t>
      </w:r>
      <w:r w:rsidR="002205B7">
        <w:rPr>
          <w:rFonts w:ascii="Times New Roman" w:hAnsi="Times New Roman" w:cs="Times New Roman"/>
          <w:sz w:val="24"/>
          <w:szCs w:val="24"/>
        </w:rPr>
        <w:fldChar w:fldCharType="begin" w:fldLock="1"/>
      </w:r>
      <w:r w:rsidR="00756CD1">
        <w:rPr>
          <w:rFonts w:ascii="Times New Roman" w:hAnsi="Times New Roman" w:cs="Times New Roman"/>
          <w:sz w:val="24"/>
          <w:szCs w:val="24"/>
        </w:rPr>
        <w:instrText>ADDIN CSL_CITATION {"citationItems":[{"id":"ITEM-1","itemData":{"DOI":"10.18054/pb.v120i1.6229","ISSN":"00315362","abstract":"Nucleoside diphosphate kinases (NDPKs) catalyze the exchange of the terminal phosphate from trinucleotides to dinucleotides through a highenergy phosphohistidine intermedier. They are encoded by NME genes and have been found, with a few exceptions, in all living beings. Besides their well-known function as key regulators of the cellular nucleotide homeostasis, they have been appointed numerous additional biochemical and biological functions. The discovery of NME1/NDPK A as the first metastasis suppressor opened new avenues in cancer research. Although the precise role of NME genes/proteins in cancer dissemination is not yet revealed, it seems that further intensive research in this field may lead to new advances in cancer diagnosis and prognosis, as well as encourage new therapeutic strategies.","author":[{"dropping-particle":"","family":"Herak Bosnar","given":"Maja","non-dropping-particle":"","parse-names":false,"suffix":""},{"dropping-particle":"","family":"Radić","given":"Martina","non-dropping-particle":"","parse-names":false,"suffix":""},{"dropping-particle":"","family":"Ćetković","given":"Helena","non-dropping-particle":"","parse-names":false,"suffix":""}],"container-title":"Periodicum Biologorum","id":"ITEM-1","issue":"1","issued":{"date-parts":[["2018","6","30"]]},"page":"3-9","title":"A young researcher’s guide to NME/Nm23/NDP Kinase","type":"article-journal","volume":"120"},"uris":["http://www.mendeley.com/documents/?uuid=40279e92-bd0d-411f-a42e-83c016960952"]}],"mendeley":{"formattedCitation":"[24]","plainTextFormattedCitation":"[24]","previouslyFormattedCitation":"[24]"},"properties":{"noteIndex":0},"schema":"https://github.com/citation-style-language/schema/raw/master/csl-citation.json"}</w:instrText>
      </w:r>
      <w:r w:rsidR="002205B7">
        <w:rPr>
          <w:rFonts w:ascii="Times New Roman" w:hAnsi="Times New Roman" w:cs="Times New Roman"/>
          <w:sz w:val="24"/>
          <w:szCs w:val="24"/>
        </w:rPr>
        <w:fldChar w:fldCharType="separate"/>
      </w:r>
      <w:r w:rsidR="002205B7" w:rsidRPr="002205B7">
        <w:rPr>
          <w:rFonts w:ascii="Times New Roman" w:hAnsi="Times New Roman" w:cs="Times New Roman"/>
          <w:noProof/>
          <w:sz w:val="24"/>
          <w:szCs w:val="24"/>
        </w:rPr>
        <w:t>[24]</w:t>
      </w:r>
      <w:r w:rsidR="002205B7">
        <w:rPr>
          <w:rFonts w:ascii="Times New Roman" w:hAnsi="Times New Roman" w:cs="Times New Roman"/>
          <w:sz w:val="24"/>
          <w:szCs w:val="24"/>
        </w:rPr>
        <w:fldChar w:fldCharType="end"/>
      </w:r>
      <w:r w:rsidRPr="002E26D2">
        <w:rPr>
          <w:rFonts w:ascii="Times New Roman" w:hAnsi="Times New Roman" w:cs="Times New Roman"/>
          <w:sz w:val="24"/>
          <w:szCs w:val="24"/>
        </w:rPr>
        <w:t>. They possess one or several NDPK domains, and display additional domains such as DPY-30, DM10 and Thioredoxin</w:t>
      </w:r>
      <w:r w:rsidR="00E30984" w:rsidRPr="002E26D2">
        <w:rPr>
          <w:rFonts w:ascii="Times New Roman" w:hAnsi="Times New Roman" w:cs="Times New Roman"/>
          <w:sz w:val="24"/>
          <w:szCs w:val="24"/>
        </w:rPr>
        <w:t xml:space="preserve"> (</w:t>
      </w:r>
      <w:r w:rsidR="00022DC9">
        <w:rPr>
          <w:rFonts w:ascii="Times New Roman" w:hAnsi="Times New Roman" w:cs="Times New Roman"/>
          <w:sz w:val="24"/>
          <w:szCs w:val="24"/>
        </w:rPr>
        <w:fldChar w:fldCharType="begin"/>
      </w:r>
      <w:r w:rsidR="00022DC9">
        <w:rPr>
          <w:rFonts w:ascii="Times New Roman" w:hAnsi="Times New Roman" w:cs="Times New Roman"/>
          <w:sz w:val="24"/>
          <w:szCs w:val="24"/>
        </w:rPr>
        <w:instrText xml:space="preserve"> REF _Ref107396722 \h  \* MERGEFORMAT </w:instrText>
      </w:r>
      <w:r w:rsidR="00022DC9">
        <w:rPr>
          <w:rFonts w:ascii="Times New Roman" w:hAnsi="Times New Roman" w:cs="Times New Roman"/>
          <w:sz w:val="24"/>
          <w:szCs w:val="24"/>
        </w:rPr>
      </w:r>
      <w:r w:rsidR="00022DC9">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13</w:t>
      </w:r>
      <w:r w:rsidR="00022DC9">
        <w:rPr>
          <w:rFonts w:ascii="Times New Roman" w:hAnsi="Times New Roman" w:cs="Times New Roman"/>
          <w:sz w:val="24"/>
          <w:szCs w:val="24"/>
        </w:rPr>
        <w:fldChar w:fldCharType="end"/>
      </w:r>
      <w:r w:rsidR="00E30984" w:rsidRPr="002E26D2">
        <w:rPr>
          <w:rFonts w:ascii="Times New Roman" w:hAnsi="Times New Roman" w:cs="Times New Roman"/>
          <w:sz w:val="24"/>
          <w:szCs w:val="24"/>
        </w:rPr>
        <w:t>)</w:t>
      </w:r>
      <w:r w:rsidRPr="002E26D2">
        <w:rPr>
          <w:rFonts w:ascii="Times New Roman" w:hAnsi="Times New Roman" w:cs="Times New Roman"/>
          <w:sz w:val="24"/>
          <w:szCs w:val="24"/>
        </w:rPr>
        <w:t xml:space="preserve">. Except for NME6, Group II NMEs are all related to ciliary function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{"citationItems":[{"id":"ITEM-1","itemData":{"DOI":"10.1007/s11010-009-0120-7","ISSN":"0300-8177","abstract":"Nucleoside diphosphate kinases (NDPK) are encoded by the NME genes, also called NM23. They catalyze the transfer of γ-phosphate from nucleoside triphosphates to nucleoside diphosphates by a ping-pong mechanism involving the formation of a high energy phospho-histidine intermediate [1, 2]. Besides their known functions in the control of intracellular nucleotide homeostasis, they are involved in multiple physiological and pathological cellular processes such as differentiation, development, metastastic dissemination or cilia functions. Over the past 15 years, ten human genes have been discovered encoding partial, full length, and/or tandemly repeated Nm23/NDPK domains, with or without N-or C-terminal extensions and/or additional domains. These genes encode proteins exhibiting different functions at various tissular and subcellular localizations. Most of these genes appear late in evolution with the emergence of the vertebrate lineage. This review summarizes the present knowledge on these multitalented proteins. © 2009 Springer Science+Business Media, LLC.","author":[{"dropping-particle":"","family":"Boissan","given":"Mathieu","non-dropping-particle":"","parse-names":false,"suffix":""},{"dropping-particle":"","family":"Dabernat","given":"Sandrine","non-dropping-particle":"","parse-names":false,"suffix":""},{"dropping-particle":"","family":"Peuchant","given":"Evelyne","non-dropping-particle":"","parse-names":false,"suffix":""},{"dropping-particle":"","family":"Schlattner","given":"Uwe","non-dropping-particle":"","parse-names":false,"suffix":""},{"dropping-particle":"","family":"Lascu","given":"Ioan","non-dropping-particle":"","parse-names":false,"suffix":""},{"dropping-particle":"","family":"Lacombe","given":"Marie-Lise","non-dropping-particle":"","parse-names":false,"suffix":""}],"container-title":"Molecular and Cellular Biochemistry","id":"ITEM-1","issue":"1-2","issued":{"date-parts":[["2009","9","22"]]},"page":"51-62","title":"The mammalian Nm23/NDPK family: from metastasis control to cilia movement","type":"article-journal","volume":"329"},"uris":["http://www.mendeley.com/documents/?uuid=4df74019-f20a-4aa8-b3c3-2b3012444868"]}],"mendeley":{"formattedCitation":"[80]","plainTextFormattedCitation":"[80]","previouslyFormattedCitation":"[80]"},"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[80]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NME10 does not belong to any of the groups, since its partial NDPK domain was inserted in the gene much more recently, before the gnathostome radiation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2C34CBDC" w14:textId="77777777" w:rsidR="00AC1B79" w:rsidRPr="002E26D2" w:rsidRDefault="00AC4DFA" w:rsidP="00BD0508">
      <w:pPr>
        <w:keepNext/>
        <w:spacing w:before="240"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7DA8CB99" wp14:editId="22B4EBCF">
            <wp:extent cx="5760000" cy="20194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t="5027"/>
                    <a:stretch/>
                  </pic:blipFill>
                  <pic:spPr bwMode="auto">
                    <a:xfrm>
                      <a:off x="0" y="0"/>
                      <a:ext cx="5760000" cy="2019440"/>
                    </a:xfrm>
                    <a:prstGeom prst="rect">
                      <a:avLst/>
                    </a:prstGeom>
                    <a:noFill/>
                    <a:ln>
                      <a:noFill/>
                    </a:ln>
                    <a:extLst>
                      <a:ext uri="{53640926-AAD7-44D8-BBD7-CCE9431645EC}">
                        <a14:shadowObscured xmlns:a14="http://schemas.microsoft.com/office/drawing/2010/main"/>
                      </a:ext>
                    </a:extLst>
                  </pic:spPr>
                </pic:pic>
              </a:graphicData>
            </a:graphic>
          </wp:inline>
        </w:drawing>
      </w:r>
    </w:p>
    <w:p w14:paraId="39D49F14" w14:textId="69244819" w:rsidR="00AC4DFA" w:rsidRPr="002E26D2" w:rsidRDefault="00AC1B79" w:rsidP="006841DE">
      <w:pPr>
        <w:pStyle w:val="Caption"/>
        <w:spacing w:line="360" w:lineRule="auto"/>
        <w:rPr>
          <w:rFonts w:ascii="Times New Roman" w:hAnsi="Times New Roman" w:cs="Times New Roman"/>
          <w:sz w:val="24"/>
          <w:szCs w:val="24"/>
        </w:rPr>
      </w:pPr>
      <w:bookmarkStart w:id="47" w:name="_Ref106009259"/>
      <w:bookmarkStart w:id="48" w:name="_Ref107396722"/>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13</w:t>
      </w:r>
      <w:r w:rsidRPr="002E26D2">
        <w:rPr>
          <w:rFonts w:ascii="Times New Roman" w:hAnsi="Times New Roman" w:cs="Times New Roman"/>
          <w:sz w:val="24"/>
          <w:szCs w:val="24"/>
        </w:rPr>
        <w:fldChar w:fldCharType="end"/>
      </w:r>
      <w:bookmarkStart w:id="49" w:name="_Ref105751873"/>
      <w:bookmarkEnd w:id="47"/>
      <w:bookmarkEnd w:id="48"/>
      <w:r w:rsidRPr="002E26D2">
        <w:rPr>
          <w:rFonts w:ascii="Times New Roman" w:hAnsi="Times New Roman" w:cs="Times New Roman"/>
          <w:sz w:val="24"/>
          <w:szCs w:val="24"/>
        </w:rPr>
        <w:t xml:space="preserve"> </w:t>
      </w:r>
      <w:r w:rsidR="00AC4DFA" w:rsidRPr="00926F59">
        <w:rPr>
          <w:rFonts w:ascii="Times New Roman" w:hAnsi="Times New Roman" w:cs="Times New Roman"/>
          <w:sz w:val="24"/>
          <w:szCs w:val="24"/>
          <w:u w:val="single"/>
        </w:rPr>
        <w:t>: Schematic representation of human NME proteins.</w:t>
      </w:r>
      <w:r w:rsidR="00AC4DFA" w:rsidRPr="002E26D2">
        <w:rPr>
          <w:rFonts w:ascii="Times New Roman" w:hAnsi="Times New Roman" w:cs="Times New Roman"/>
          <w:sz w:val="24"/>
          <w:szCs w:val="24"/>
        </w:rPr>
        <w:t xml:space="preserve"> The total amino acid length of the protein is shown at the end of each protein. Protein domains have been indicated with </w:t>
      </w:r>
      <w:r w:rsidR="00AC4DFA" w:rsidRPr="002E26D2">
        <w:rPr>
          <w:rFonts w:ascii="Times New Roman" w:hAnsi="Times New Roman" w:cs="Times New Roman"/>
          <w:sz w:val="24"/>
          <w:szCs w:val="24"/>
        </w:rPr>
        <w:lastRenderedPageBreak/>
        <w:t>boxes, and each protein has been searched against SMART/Pfam databases. Abbreviations of domain names are retrieved from SMART/Pfam databases and indicated in the figure. Shortened name MTS stands for mitochondrial targeting sequence domain. (</w:t>
      </w:r>
      <w:r w:rsidR="00B356E8">
        <w:rPr>
          <w:rFonts w:ascii="Times New Roman" w:hAnsi="Times New Roman" w:cs="Times New Roman"/>
          <w:sz w:val="24"/>
          <w:szCs w:val="24"/>
        </w:rPr>
        <w:t>T</w:t>
      </w:r>
      <w:r w:rsidR="00AC4DFA" w:rsidRPr="002E26D2">
        <w:rPr>
          <w:rFonts w:ascii="Times New Roman" w:hAnsi="Times New Roman" w:cs="Times New Roman"/>
          <w:sz w:val="24"/>
          <w:szCs w:val="24"/>
        </w:rPr>
        <w:t>aken from Proust et al., 2021</w:t>
      </w:r>
      <w:r w:rsidR="00B356E8">
        <w:rPr>
          <w:rFonts w:ascii="Times New Roman" w:hAnsi="Times New Roman" w:cs="Times New Roman"/>
          <w:sz w:val="24"/>
          <w:szCs w:val="24"/>
        </w:rPr>
        <w:t>)</w:t>
      </w:r>
      <w:r w:rsidR="00AC4DFA" w:rsidRPr="002E26D2">
        <w:rPr>
          <w:rFonts w:ascii="Times New Roman" w:hAnsi="Times New Roman" w:cs="Times New Roman"/>
          <w:sz w:val="24"/>
          <w:szCs w:val="24"/>
        </w:rPr>
        <w:t xml:space="preserve"> </w:t>
      </w:r>
      <w:r w:rsidR="00AC4DFA"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{"citationItems":[{"id":"ITEM-1","itemData":{"DOI":"10.1186/s13578-021-00707-0","ISSN":"2045-3701","PMID":"34789336","abstract":"BACKGROUND NME6 is a member of the nucleoside diphosphate kinase (NDPK/NME/Nm23) family which has key roles in nucleotide homeostasis, signal transduction, membrane remodeling and metastasis suppression. The well-studied NME1-NME4 proteins are hexameric and catalyze, via a phospho-histidine intermediate, the transfer of the terminal phosphate from (d)NTPs to (d)NDPs (NDP kinase) or proteins (protein histidine kinase). For the NME6, a gene/protein that emerged early in eukaryotic evolution, only scarce and partially inconsistent data are available. Here we aim to clarify and extend our knowledge on the human NME6. RESULTS We show that NME6 is mostly expressed as a 186 amino acid protein, but that a second albeit much less abundant isoform exists. The recombinant NME6 remains monomeric, and does not assemble into homo-oligomers or hetero-oligomers with NME1-NME4. Consequently, NME6 is unable to catalyze phosphotransfer: it does not generate the phospho-histidine intermediate, and no NDPK activity can be detected. In cells, we could resolve and extend existing contradictory reports by localizing NME6 within mitochondria, largely associated with the mitochondrial inner membrane and matrix space. Overexpressing NME6 reduces ADP-stimulated mitochondrial respiration and complex III abundance, thus linking NME6 to dysfunctional oxidative phosphorylation. However, it did not alter mitochondrial membrane potential, mass, or network characteristics. Our screen for NME6 protein partners revealed its association with NME4 and OPA1, but a direct interaction was observed only with RCC1L, a protein involved in mitochondrial ribosome assembly and mitochondrial translation, and identified as essential for oxidative phosphorylation. CONCLUSIONS NME6, RCC1L and mitoribosomes localize together at the inner membrane/matrix space where NME6, in concert with RCC1L, may be involved in regulation of the mitochondrial translation of essential oxidative phosphorylation subunits. Our findings suggest new functions for NME6, independent of the classical phosphotransfer activity associated with NME proteins.","author":[{"dropping-particle":"","family":"Proust","given":"Bastien","non-dropping-particle":"","parse-names":false,"suffix":""},{"dropping-particle":"","family":"Radić","given":"Martina","non-dropping-particle":"","parse-names":false,"suffix":""},{"dropping-particle":"","family":"Vidaček","given":"Nikolina Škrobot","non-dropping-particle":"","parse-names":false,"suffix":""},{"dropping-particle":"","family":"Cottet","given":"Cécile","non-dropping-particle":"","parse-names":false,"suffix":""},{"dropping-particle":"","family":"Attia","given":"Stéphane","non-dropping-particle":"","parse-names":false,"suffix":""},{"dropping-particle":"","family":"Lamarche","given":"Frédéric","non-dropping-particle":"","parse-names":false,"suffix":""},{"dropping-particle":"","family":"Ačkar","given":"Lucija","non-dropping-particle":"","parse-names":false,"suffix":""},{"dropping-particle":"","family":"Mikulčić","given":"Vlatka Godinić","non-dropping-particle":"","parse-names":false,"suffix":""},{"dropping-particle":"","family":"Tokarska-Schlattner","given":"Malgorzata","non-dropping-particle":"","parse-names":false,"suffix":""},{"dropping-particle":"","family":"Ćetković","given":"Helena","non-dropping-particle":"","parse-names":false,"suffix":""},{"dropping-particle":"","family":"Schlattner","given":"Uwe","non-dropping-particle":"","parse-names":false,"suffix":""},{"dropping-particle":"","family":"Bosnar","given":"Maja Herak","non-dropping-particle":"","parse-names":false,"suffix":""}],"container-title":"Cell &amp; Bioscience","id":"ITEM-1","issue":"1","issued":{"date-parts":[["2021","12","17"]]},"page":"195","publisher":"BioMed Central Ltd","title":"NME6 is a phosphotransfer-inactive, monomeric NME/NDPK family member and functions in complexes at the interface of mitochondrial inner membrane and matrix","type":"article-journal","volume":"11"},"uris":["http://www.mendeley.com/documents/?uuid=34765eca-a7db-33c5-98be-33ec310f31f6"]}],"mendeley":{"formattedCitation":"[81]","plainTextFormattedCitation":"[81]","previouslyFormattedCitation":"[81]"},"properties":{"noteIndex":0},"schema":"https://github.com/citation-style-language/schema/raw/master/csl-citation.json"}</w:instrText>
      </w:r>
      <w:r w:rsidR="00AC4DFA" w:rsidRPr="002E26D2">
        <w:rPr>
          <w:rFonts w:ascii="Times New Roman" w:hAnsi="Times New Roman" w:cs="Times New Roman"/>
          <w:sz w:val="24"/>
          <w:szCs w:val="24"/>
        </w:rPr>
        <w:fldChar w:fldCharType="separate"/>
      </w:r>
      <w:r w:rsidR="00517C5E" w:rsidRPr="00517C5E">
        <w:rPr>
          <w:rFonts w:ascii="Times New Roman" w:hAnsi="Times New Roman" w:cs="Times New Roman"/>
          <w:i w:val="0"/>
          <w:noProof/>
          <w:sz w:val="24"/>
          <w:szCs w:val="24"/>
        </w:rPr>
        <w:t>[81]</w:t>
      </w:r>
      <w:r w:rsidR="00AC4DFA" w:rsidRPr="002E26D2">
        <w:rPr>
          <w:rFonts w:ascii="Times New Roman" w:hAnsi="Times New Roman" w:cs="Times New Roman"/>
          <w:sz w:val="24"/>
          <w:szCs w:val="24"/>
        </w:rPr>
        <w:fldChar w:fldCharType="end"/>
      </w:r>
      <w:bookmarkEnd w:id="49"/>
    </w:p>
    <w:p w14:paraId="2CE795AA" w14:textId="39F7541D"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NME1 is by far the most studied protein of the family. In 1988, Steeg et al. demonstrated the association of NME1 protein high expression with low metastatic potential of the tumor </w:t>
      </w:r>
      <w:r w:rsidRPr="002E26D2">
        <w:rPr>
          <w:rFonts w:ascii="Times New Roman" w:hAnsi="Times New Roman" w:cs="Times New Roman"/>
          <w:sz w:val="24"/>
          <w:szCs w:val="24"/>
        </w:rPr>
        <w:fldChar w:fldCharType="begin" w:fldLock="1"/>
      </w:r>
      <w:r w:rsidR="00263086">
        <w:rPr>
          <w:rFonts w:ascii="Times New Roman" w:hAnsi="Times New Roman" w:cs="Times New Roman"/>
          <w:sz w:val="24"/>
          <w:szCs w:val="24"/>
        </w:rPr>
        <w:instrText>ADDIN CSL_CITATION {"citationItems":[{"id":"ITEM-1","itemData":{"DOI":"10.1093/jnci/80.3.200","ISSN":"0027-8874","abstract":"We describe a gene, NM23, that is associated with the tumor metasta-tic process. NM23 RNA levels were highest in cells and tumors of relatively low metastatic potential in two experimental systems: (1) murine K-1735 melanoma cell lines, in which the gene was identified, and (2) N-nitroso-N-methylurea-induced rat mammary carcinomas. NM23 RNA levels did not correlate with cell sensitivity to host immunological responses and may, therefore, be associated with intrinsic aggressiveness. The predicted carboxy-terminal protein sequence encoded by the pNM23 cDNA clone is novel compared with Genebank animal, bacterial, and viral sequences. [J Natl Cancer Inst 1988;80:200-204] Tumor metastasis, the process by which cells leave a tumor and colonize distant sites, is the major cause of death for cancer patients with solid malignant tumors. The tumor metastatic process is complex, requiring cells to move, invade tissues and basement membranes, avoid immunological responses, and colonize distant sites (7). Since many of the component cell functions in metas-tasis are poorly understood at the biochemical level, the identity of genes involved in metastasis is unknown. The identification of such genes may lead to new strategies for diagnostic and therapeutic approaches to metastatic disease. We have made two basic hypotheses in an approach to study metastasis: 1) The complexity of tumor metastasis suggests that genetic control of metastasis is exerted via the activation or deactiva-tion of multiple, specific genes, and 2) transfection approaches to identify relevant genes in complex multigenic systems such as metastasis may miss component genes that are required but are not of themselves sufficient to significantly alter metastatic behavior. On the basis of these hypotheses, we have examined differential gene expression in tumor metastasis and have identified a previously unknown gene, NM23. Interestingly , NM23 RNA levels are highest in cells and tumors of low metastatic potential, providing the first evidence that metastasis, in an experimental system , is associated with the loss of activity of certain nonimmunologically related genes. To identify a differentially expressed gene involved in tumor metas-tasis, we utilized a series of related murine melanoma cell lines of vary-ing' metastatic potentials. Seven cell lines derived from a murine K-1735 melanoma (2-5) exhibit significant differences in experimental (fig. 1A, top panel) as well as spontaneous (data not show…","author":[{"dropping-particle":"","family":"Steeg","given":"Patricia S","non-dropping-particle":"","parse-names":false,"suffix":""},{"dropping-particle":"","family":"Bevilacqua","given":"Generoso","non-dropping-particle":"","parse-names":false,"suffix":""},{"dropping-particle":"","family":"Kopper","given":"Laszlo","non-dropping-particle":"","parse-names":false,"suffix":""},{"dropping-particle":"","family":"Thorgeirsson","given":"Unnur P","non-dropping-particle":"","parse-names":false,"suffix":""},{"dropping-particle":"","family":"Talmadge","given":"James E","non-dropping-particle":"","parse-names":false,"suffix":""},{"dropping-particle":"","family":"Liotta","given":"Lance A","non-dropping-particle":"","parse-names":false,"suffix":""},{"dropping-particle":"","family":"Sobel","given":"M. E.","non-dropping-particle":"","parse-names":false,"suffix":""}],"container-title":"JNCI Journal of the National Cancer Institute","id":"ITEM-1","issue":"3","issued":{"date-parts":[["1988","4","6"]]},"page":"200-204","title":"Evidence for a Novel Gene Associated With Low Tumor Metastatic Potential","type":"article-journal","volume":"80"},"uris":["http://www.mendeley.com/documents/?uuid=6e9bf803-a001-4857-a78f-4d472c8e235b"]}],"mendeley":{"formattedCitation":"[9]","plainTextFormattedCitation":"[9]","previouslyFormattedCitation":"[9]"},"properties":{"noteIndex":0},"schema":"https://github.com/citation-style-language/schema/raw/master/csl-citation.json"}</w:instrText>
      </w:r>
      <w:r w:rsidRPr="002E26D2">
        <w:rPr>
          <w:rFonts w:ascii="Times New Roman" w:hAnsi="Times New Roman" w:cs="Times New Roman"/>
          <w:sz w:val="24"/>
          <w:szCs w:val="24"/>
        </w:rPr>
        <w:fldChar w:fldCharType="separate"/>
      </w:r>
      <w:r w:rsidR="00263086" w:rsidRPr="00263086">
        <w:rPr>
          <w:rFonts w:ascii="Times New Roman" w:hAnsi="Times New Roman" w:cs="Times New Roman"/>
          <w:noProof/>
          <w:sz w:val="24"/>
          <w:szCs w:val="24"/>
        </w:rPr>
        <w:t>[9]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highlighting NME1 as a metastasis suppressor protein. After this breakthrough, a large number of studies confirmed that NME1 downregulation or loss of expression </w:t>
      </w:r>
      <w:r w:rsidR="00AA0ACF" w:rsidRPr="002E26D2">
        <w:rPr>
          <w:rFonts w:ascii="Times New Roman" w:hAnsi="Times New Roman" w:cs="Times New Roman"/>
          <w:sz w:val="24"/>
          <w:szCs w:val="24"/>
        </w:rPr>
        <w:t>is</w:t>
      </w:r>
      <w:r w:rsidRPr="002E26D2">
        <w:rPr>
          <w:rFonts w:ascii="Times New Roman" w:hAnsi="Times New Roman" w:cs="Times New Roman"/>
          <w:sz w:val="24"/>
          <w:szCs w:val="24"/>
        </w:rPr>
        <w:t xml:space="preserve"> correlated with metastasis onset and poor clinical outcome in many tumor types </w:t>
      </w:r>
      <w:r w:rsidRPr="002E26D2">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{"citationItems":[{"id":"ITEM-1","itemData":{"DOI":"10.1023/a:1005597231776","ISSN":"0145-479X","PMID":"11768314","abstract":"Tumor metastasis is the leading cause of death in cancer patients. From a series of tumor cohort studies, low expression of Nm23/NDP kinase has been correlated with poor patient prognosis and survival, lymph node infiltration, and histopathological indicators of high metastatic potential in a number of cancer types, including mammary and ovarian carcinomas and melanoma. In other tumor types, no correlation has been established. Transfection of Nm23/NDP kinase cDNA into highly metastatic breast, melanoma, prostrate and squamous cell carcinomas, and colon adenocarcinoma cells significantly reduced the metastatic competency of the cells in vivo. In culture, cell motility, invasion, and colonization were inhibited, whereas tumorigenicity and cellular proliferation were not affected, indicating that Nm23/NDP kinase acts as a metastasis suppressor.","author":[{"dropping-particle":"","family":"Hartsough","given":"Melanie T.","non-dropping-particle":"","parse-names":false,"suffix":""},{"dropping-particle":"","family":"Steeg","given":"Patricia S.","non-dropping-particle":"","parse-names":false,"suffix":""}],"container-title":"Journal of bioenergetics and biomembranes","id":"ITEM-1","issue":"3","issued":{"date-parts":[["2000","6"]]},"page":"301-308","title":"Nm23/nucleoside diphosphate kinase in human cancers.","type":"article-journal","volume":"32"},"uris":["http://www.mendeley.com/documents/?uuid=83bb30c3-a1d7-425a-b5b3-4fab387d775f"]}],"mendeley":{"formattedCitation":"[82]","plainTextFormattedCitation":"[82]","previouslyFormattedCitation":"[82]"},"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[82]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however the detailed mechanism of this phenomenon is still under investigation. NME2, although less described, seems to have a role in the metastatic process as well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{"citationItems":[{"id":"ITEM-1","itemData":{"DOI":"10.1007/s00210-014-1066-1","ISSN":"0028-1298","PMID":"25413836","abstract":"Substantial effort has been directed at elucidating the functions of the products of the Nm23 tumor metastasis suppressor genes over the past two decades, with the ultimate goal of exploring their translational potentials in changing cancer patients' outcomes. Much attention has been focused on the better-known Nm23-H1, but despite having high sequence similarity, Nm23-H2 functions differently in many aspects. Besides acting as a metastasis suppressor, compelling data suggest that Nm23-H2 may modulate various tumor-associated biological events to enhance tumorigenesis in human solid tumors and hematological malignancies. Linkage to tumorigenesis may occur through the ability of Nm23-H2 to regulate transcription, cell proliferation, apoptosis, differentiation, and telomerase activity. In this review, we examine the linkages of Nm23-H2 to tumorigenesis in terms of its biochemical and structural properties and discuss its potential role in various tumor-associated events.","author":[{"dropping-particle":"","family":"Li","given":"Yuanjun","non-dropping-particle":"","parse-names":false,"suffix":""},{"dropping-particle":"","family":"Tong","given":"Yao","non-dropping-particle":"","parse-names":false,"suffix":""},{"dropping-particle":"","family":"Wong","given":"Yung H.","non-dropping-particle":"","parse-names":false,"suffix":""}],"container-title":"Naunyn-Schmiedeberg's Archives of Pharmacology","id":"ITEM-1","issue":"2","issued":{"date-parts":[["2015","2","21"]]},"page":"243-256","title":"Regulatory functions of Nm23-H2 in tumorigenesis: insights from biochemical to clinical perspectives","type":"article-journal","volume":"388"},"uris":["http://www.mendeley.com/documents/?uuid=5d78b054-56ed-49a9-ac5c-8801284ba5c7"]}],"mendeley":{"formattedCitation":"[83]","plainTextFormattedCitation":"[83]","previouslyFormattedCitation":"[83]"},"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[83]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Furthermore, NME2 was shown to be involved in heart diseases through its critical role </w:t>
      </w:r>
      <w:r w:rsidR="000B1153">
        <w:rPr>
          <w:rFonts w:ascii="Times New Roman" w:hAnsi="Times New Roman" w:cs="Times New Roman"/>
          <w:sz w:val="24"/>
          <w:szCs w:val="24"/>
        </w:rPr>
        <w:t>in</w:t>
      </w:r>
      <w:r w:rsidRPr="002E26D2">
        <w:rPr>
          <w:rFonts w:ascii="Times New Roman" w:hAnsi="Times New Roman" w:cs="Times New Roman"/>
          <w:sz w:val="24"/>
          <w:szCs w:val="24"/>
        </w:rPr>
        <w:t xml:space="preserve"> cardiac contractility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{"citationItems":[{"id":"ITEM-1","itemData":{"DOI":"10.1161/01.RES.0000264058.28808.cc","ISSN":"0009-7330","PMID":"17363702","abstract":"Heterotrimeric G proteins are pivotal regulators of myocardial contractility. In addition to the receptor-induced GDP/GTP exchange, G protein α subunits can be activated by a phosphate transfer via a plasma membrane-associated complex of nucleoside diphosphate kinase B (NDPK B) and G protein βγ-dimers (Gβγ). To investigate the physiological role of this phosphate transfer in cardiomyocytes, we generated a Gβ 1 γ 2 -dimer carrying a single amino acid exchange at the intermediately phosphorylated His-266 in the β 1 subunit (Gβ 1 H266Lγ 2 ). Recombinantly expressed Gβ 1 H266Lγ 2 were integrated into heterotrimeric G proteins in rat cardiomyocytes but were deficient in intermediate Gβ phosphorylation. Compared with wild-type Gβ 1 γ 2 (Gβ 1 WTγ 2 ), overexpression of Gβ 1 H266Lγ 2 suppressed basal cAMP formation up to 55%. A similar decrease in basal cAMP production occurred when the formation of NDPK B/Gβγ complexes was attenuated by siRNA-mediated NDPK B knockdown. In adult rat cardiomyocytes expressing Gβ 1 H266Lγ 2 , the basal contractility was suppressed by ≈50% which correlated to similarly reduced basal cAMP levels and reduced Ser16-phosphorylation of phospholamban. In the presence of the β-adrenoceptor agonist isoproterenol, the total cAMP formation and contractility were significantly lower in Gβ 1 H266Lγ 2 than in Gβ 1 WTγ 2 expressing cardiomyocytes. However, the relative isoproterenol-induced increased was not affected by Gβ 1 H266Lγ 2 . We conclude that the receptor-independent activation of G proteins via NDPK B/Gβγ complexes requires the intermediate phosphorylation of G protein β subunits at His-266. Our results highlight the histidine kinase activity of NDPK B for Gβ and demonstrate its contribution to the receptor-independent regulation of cAMP synthesis and contractility in intact cardiomyocytes.","author":[{"dropping-particle":"","family":"Hippe","given":"Hans-Joerg","non-dropping-particle":"","parse-names":false,"suffix":""},{"dropping-particle":"","family":"Luedde","given":"Mark","non-dropping-particle":"","parse-names":false,"suffix":""},{"dropping-particle":"","family":"Lutz","given":"Susanne","non-dropping-particle":"","parse-names":false,"suffix":""},{"dropping-particle":"","family":"Koehler","given":"Henrike","non-dropping-particle":"","parse-names":false,"suffix":""},{"dropping-particle":"","family":"Eschenhagen","given":"Thomas","non-dropping-particle":"","parse-names":false,"suffix":""},{"dropping-particle":"","family":"Frey","given":"Norbert","non-dropping-particle":"","parse-names":false,"suffix":""},{"dropping-particle":"","family":"Katus","given":"Hugo A.","non-dropping-particle":"","parse-names":false,"suffix":""},{"dropping-particle":"","family":"Wieland","given":"Thomas","non-dropping-particle":"","parse-names":false,"suffix":""},{"dropping-particle":"","family":"Niroomand","given":"Feraydoon","non-dropping-particle":"","parse-names":false,"suffix":""}],"container-title":"Circulation Research","id":"ITEM-1","issue":"8","issued":{"date-parts":[["2007","4","27"]]},"page":"1191-1199","publisher":"Lippincott Williams &amp; Wilkins","title":"Regulation of Cardiac cAMP Synthesis and Contractility by Nucleoside Diphosphate Kinase B/G Protein βγ Dimer Complexes","type":"article-journal","volume":"100"},"uris":["http://www.mendeley.com/documents/?uuid=217e38b7-8883-39a8-a1e7-87b0c9d41399"]}],"mendeley":{"formattedCitation":"[84]","plainTextFormattedCitation":"[84]","previouslyFormattedCitation":"[84]"},"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[84]</w:t>
      </w:r>
      <w:r w:rsidRPr="002E26D2">
        <w:rPr>
          <w:rFonts w:ascii="Times New Roman" w:hAnsi="Times New Roman" w:cs="Times New Roman"/>
          <w:sz w:val="24"/>
          <w:szCs w:val="24"/>
        </w:rPr>
        <w:fldChar w:fldCharType="end"/>
      </w:r>
      <w:r w:rsidR="00AA0ACF" w:rsidRPr="002E26D2">
        <w:rPr>
          <w:rFonts w:ascii="Times New Roman" w:hAnsi="Times New Roman" w:cs="Times New Roman"/>
          <w:sz w:val="24"/>
          <w:szCs w:val="24"/>
        </w:rPr>
        <w:t>.</w:t>
      </w:r>
      <w:r w:rsidRPr="002E26D2">
        <w:rPr>
          <w:rFonts w:ascii="Times New Roman" w:hAnsi="Times New Roman" w:cs="Times New Roman"/>
          <w:sz w:val="24"/>
          <w:szCs w:val="24"/>
        </w:rPr>
        <w:t xml:space="preserve"> NME1 and NME2 are highly homologous (88% a</w:t>
      </w:r>
      <w:r w:rsidR="00AA0ACF" w:rsidRPr="002E26D2">
        <w:rPr>
          <w:rFonts w:ascii="Times New Roman" w:hAnsi="Times New Roman" w:cs="Times New Roman"/>
          <w:sz w:val="24"/>
          <w:szCs w:val="24"/>
        </w:rPr>
        <w:t>a</w:t>
      </w:r>
      <w:r w:rsidRPr="002E26D2">
        <w:rPr>
          <w:rFonts w:ascii="Times New Roman" w:hAnsi="Times New Roman" w:cs="Times New Roman"/>
          <w:sz w:val="24"/>
          <w:szCs w:val="24"/>
        </w:rPr>
        <w:t xml:space="preserve"> identity), share the same cellular localization and have been shown to interact in hetero-hexameric structures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{"citationItems":[{"id":"ITEM-1","itemData":{"DOI":"10.3390/ijms21072363","ISSN":"1422-0067","PMID":"32235358","abstract":"Nucleoside diphosphate kinases (NDPK/NME/Nm23) are enzymes composed of subunits NME1/NDPK A and NME2/NDPK B, responsible for the maintenance of the cellular (d)NTP pool and involved in other cellular processes, such as metastasis suppression and DNA damage repair. Although eukaryotic NDPKs are active only as hexamers, it is unclear whether other NME functions require the hexameric form, and how the isoenzyme composition varies in different cellular compartments. To examine the effect of DNA damage on intracellular localization of NME1 and NME2 and the composition of NME oligomers in the nucleus and the cytoplasm, we used live-cell imaging and the FRET/FLIM technique. We showed that exogenous NME1 and NME2 proteins co-localize in the cytoplasm of non-irradiated cells, and move simultaneously to the nucleus after gamma irradiation. The FRET/FLIM experiments imply that, after DNA damage, there is a slight shift in the homomer/heteromer balance between the nucleus and the cytoplasm. Collectively, our results indicate that, after irradiation, NME1 and NME2 engage in mutual functions in the nucleus, possibly performing specific functions in their homomeric states. Finally, we demonstrated that fluorophores fused to the N-termini of NME polypeptides produce the largest FRET effect and thus recommend this orientation for use in similar studies.","author":[{"dropping-particle":"","family":"Radić","given":"Martina","non-dropping-particle":"","parse-names":false,"suffix":""},{"dropping-particle":"","family":"Šoštar","given":"Marko","non-dropping-particle":"","parse-names":false,"suffix":""},{"dropping-particle":"","family":"Weber","given":"Igor","non-dropping-particle":"","parse-names":false,"suffix":""},{"dropping-particle":"","family":"Ćetković","given":"Helena","non-dropping-particle":"","parse-names":false,"suffix":""},{"dropping-particle":"","family":"Slade","given":"Neda","non-dropping-particle":"","parse-names":false,"suffix":""},{"dropping-particle":"","family":"Herak Bosnar","given":"Maja","non-dropping-particle":"","parse-names":false,"suffix":""}],"container-title":"International Journal of Molecular Sciences","id":"ITEM-1","issue":"7","issued":{"date-parts":[["2020","3","29"]]},"page":"2363","title":"The Subcellular Localization and Oligomerization Preferences of NME1/NME2 upon Radiation-Induced DNA Damage","type":"article-journal","volume":"21"},"uris":["http://www.mendeley.com/documents/?uuid=bdb8e9f0-0e21-4c12-8310-15d92e78d0e2"]},{"id":"ITEM-2","itemData":{"DOI":"10.1016/j.yexcr.2004.04.018","ISSN":"00144827","PMID":"15242782","abstract":"The human Nm23-H1/NDPK A and Nm23-H2/NDPK B encode for two subunits of nucleoside diphosphate kinase--a ubiquitous enzyme that transfers the terminal phosphates from ATP to (d)NDPs. Although having an 88% amino acid sequence identity and an already assigned biochemical role in the cell, the two subunits appear to have additional and distinctive cell functions. In particular, both subunits have been reported to be involved in tumor progression and metastasis. The aim of this study was to determine the specific, and potentially distinct, localizations of both subunits in tumor cells of different origin and differentiation and therefore to search for a possible link between their localization and the stage of disease. We used the GFP reporter system to analyze the ectopic expression of GFP-Nm23 proteins in head and neck tumor cell lines by fluorescent microscopy techniques. Our experiments revealed that GFP-fused Nm23-H1 and -H2 proteins display the same localization in transfected cells, regardless of their origin and differentiation status. The proteins are principally found in the cytosol and the endoplasmic reticulum. Moreover, some cells exhibit nuclear staining, which appears to be cell cycle-dependent.","author":[{"dropping-particle":"","family":"Herak Bosnar","given":"Maja","non-dropping-particle":"","parse-names":false,"suffix":""},{"dropping-particle":"","family":"Gunzburg","given":"Jean","non-dropping-particle":"de","parse-names":false,"suffix":""},{"dropping-particle":"","family":"Bago","given":"Ružica","non-dropping-particle":"","parse-names":false,"suffix":""},{"dropping-particle":"","family":"Brečević","given":"Lukrecija","non-dropping-particle":"","parse-names":false,"suffix":""},{"dropping-particle":"","family":"Weber","given":"Igor","non-dropping-particle":"","parse-names":false,"suffix":""},{"dropping-particle":"","family":"Pavelić","given":"Jasminka","non-dropping-particle":"","parse-names":false,"suffix":""}],"container-title":"Experimental Cell Research","id":"ITEM-2","issue":"1","issued":{"date-parts":[["2004","8","1"]]},"page":"275-284","title":"Subcellular localization of A and B Nm23/NDPK subunits","type":"article-journal","volume":"298"},"uris":["http://www.mendeley.com/documents/?uuid=fe91f1bf-e9ea-4dc2-a8f7-ea3489079403"]}],"mendeley":{"formattedCitation":"[17,85]","plainTextFormattedCitation":"[17,85]","previouslyFormattedCitation":"[17,85]"},"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[17,85]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They are involved in several processes such as apoptosis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{"citationItems":[{"id":"ITEM-1","itemData":{"DOI":"10.4161/cbt.9.12.11995","ISSN":"1538-4047","PMID":"20448457","abstract":"Nm23-H1 is a well-known tumor metastasis suppressor, which functions as a nucleoside-diphosphate kinase converting nucleoside diphosphates to nucleoside triphosphates with an expense of ATP. It regulates a variety of cellular activities, including proliferation, development, migration and differentiation known to be modulated by a series of complex signaling pathway. Few studies have addressed the mechanistic action of Nm23-H1 in the context of these cellular processes. To determine the downstream pathways modulated by Nm23-H1, we expressed Nm23-H1 in a Burkitt lymphoma derived B-cell line BJAB and performed pathway specific microarray analysis. The genes with significant changes in expression patterns were clustered in groups which are responsible for regulating cell cycle, p53 activities and apoptosis. We found a general reduction of cell cycle regulatory proteins including cyclins and cyclin dependent kinase inhibitors (anti proliferation), and upregulation of apoptotic genes which included caspase 3, 9 and Bcl-x. Nm23-H1 was also found to upregulate p53 and downregulate p21 expression. A number of these genes were validated by real time PCR and results from promoter assays indicated that Nm23-H1 expression downregulated cyclin D1 in a dose responsive manner. Further, we show that Nm23-H1 forms a complex with the cellular transcription factor AP1 to modulate cyclin D1 expression levels. BJAB cells expressing Nm23-H1 showed reduced proliferation rate and were susceptible to increased apoptosis which may in part be due to a direct interaction between Nm23-H1 and p53. These results suggest that Nm23-H1 may have a role in the regulation of cell cycle and apoptosis in human B-cells.","author":[{"dropping-particle":"","family":"Choudhuri","given":"Tathagata","non-dropping-particle":"","parse-names":false,"suffix":""},{"dropping-particle":"","family":"Murakami","given":"Masanao","non-dropping-particle":"","parse-names":false,"suffix":""},{"dropping-particle":"","family":"Kaul","given":"Rajeev","non-dropping-particle":"","parse-names":false,"suffix":""},{"dropping-particle":"","family":"Sahu","given":"Sushil K.","non-dropping-particle":"","parse-names":false,"suffix":""},{"dropping-particle":"","family":"Mohanty","given":"Suchitra","non-dropping-particle":"","parse-names":false,"suffix":""},{"dropping-particle":"","family":"Verma","given":"Subhash C.","non-dropping-particle":"","parse-names":false,"suffix":""},{"dropping-particle":"","family":"Kumar","given":"Pankaj","non-dropping-particle":"","parse-names":false,"suffix":""},{"dropping-particle":"","family":"Robertson","given":"Erle S.","non-dropping-particle":"","parse-names":false,"suffix":""}],"container-title":"Cancer Biology &amp; Therapy","id":"ITEM-1","issue":"12","issued":{"date-parts":[["2010","6","15"]]},"page":"1065-1078","title":"Nm23-H1 can induce cell cycle arrest and apoptosis in B cells","type":"article-journal","volume":"9"},"uris":["http://www.mendeley.com/documents/?uuid=6503fd52-139e-4e3f-9dd6-294df6d3a9ae"]},{"id":"ITEM-2","itemData":{"DOI":"10.1016/j.bbrc.2007.05.090","ISSN":"0006291X","PMID":"17532299","abstract":"The Bcl-2 family members are evolutionally conserved and crucial regulators of apoptosis. Diva (Boo), an ortholog of Bcl2L10 or Bcl-B, is a member of the Bcl-2 family that has contradictory functions in apoptosis. To understand the signaling mechanisms of Diva, we searched for proteins that interact with Diva using the yeast two-hybrid system. We identified a nucleoside diphosphate kinase isoform, NM23-H2. Here, we show that Diva bound to NM23-H2 in cells in which the transmembrane domain of Diva was required, and both proteins were colocalized in cytoplasm. Of interest, Diva protein level was significantly down-regulated by NM23-H2 as knock down of NM23-H2 restored Diva expression. Overexpression of NM23-H2 induced apoptosis, and the depletion of NM23-H2 led to the increase of Diva's apoptotic activity. Thus, these results indicate the existence of a previously undiscovered mechanism by which NM23-H2 involves in the regulation of Diva-mediated apoptosis.","author":[{"dropping-particle":"","family":"Kang","given":"Yeongsup","non-dropping-particle":"","parse-names":false,"suffix":""},{"dropping-particle":"","family":"Lee","given":"Deug-Chan","non-dropping-particle":"","parse-names":false,"suffix":""},{"dropping-particle":"","family":"Han","given":"Jiyou","non-dropping-particle":"","parse-names":false,"suffix":""},{"dropping-particle":"","family":"Yoon","given":"Seongmin","non-dropping-particle":"","parse-names":false,"suffix":""},{"dropping-particle":"","family":"Won","given":"Miae","non-dropping-particle":"","parse-names":false,"suffix":""},{"dropping-particle":"","family":"Yeom","given":"Ji-Hyun","non-dropping-particle":"","parse-names":false,"suffix":""},{"dropping-particle":"","family":"Seong","given":"Maeng-Je","non-dropping-particle":"","parse-names":false,"suffix":""},{"dropping-particle":"","family":"Ko","given":"Jeong-Jae","non-dropping-particle":"","parse-names":false,"suffix":""},{"dropping-particle":"","family":"Lee","given":"Kyung-Ah","non-dropping-particle":"","parse-names":false,"suffix":""},{"dropping-particle":"","family":"Lee","given":"Kangseok","non-dropping-particle":"","parse-names":false,"suffix":""},{"dropping-particle":"","family":"Bae","given":"Jeehyeon","non-dropping-particle":"","parse-names":false,"suffix":""}],"container-title":"Biochemical and Biophysical Research Communications","id":"ITEM-2","issue":"1","issued":{"date-parts":[["2007","7","20"]]},"page":"76-82","title":"NM23-H2 involves in negative regulation of Diva and Bcl2L10 in apoptosis signaling","type":"article-journal","volume":"359"},"uris":["http://www.mendeley.com/documents/?uuid=30e6faec-048b-4b15-a3a1-e2dc96033548"]}],"mendeley":{"formattedCitation":"[86,87]","plainTextFormattedCitation":"[86,87]","previouslyFormattedCitation":"[86,87]"},"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[86,87]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proliferation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{"citationItems":[{"id":"ITEM-1","itemData":{"ISSN":"00111643","abstract":"nm23 was identified as a metastasis suppressor gene but is also appointed to a number of other biological functions. The goal of this study was to reveal the influence of ectopic expression of nm23-H1 and nm23-H2 on proliferation properties of head and neck tumor cells. The proliferation rate of transfected cells was evaluated using EGFP reporter system and flow cytometry. HEp-2 and CAL 33 cells transiently transfected with nm23 cDNA containing constructs exhibited enhanced proliferation. CAL 27 cells constitutively expressing GFP-Nm23-H2 protein, exhibited intense proliferation the first day after seeding, while the GFP-Nm23-H1 expressing clone started to proliferate after one-day lag period. The results on transiently transfected HEp-2 and CAL 33 cells generally confirmed previous findings connecting nm23 expression with altered proliferation of head and neck tumors. We speculate that the effects observed on stably transfected CAL 27 clones are due to their different attachment properties.","author":[{"dropping-particle":"","family":"Herak Bosnar","given":"Maja","non-dropping-particle":"","parse-names":false,"suffix":""},{"dropping-particle":"","family":"Dubravčić","given":"Klara","non-dropping-particle":"","parse-names":false,"suffix":""},{"dropping-particle":"","family":"Bago","given":"Ružica","non-dropping-particle":"","parse-names":false,"suffix":""},{"dropping-particle":"","family":"Pavelić","given":"Jasminka","non-dropping-particle":"","parse-names":false,"suffix":""}],"container-title":"Croatica Chemica Acta","id":"ITEM-1","issue":"1","issued":{"date-parts":[["2008"]]},"page":"183-189","title":"Head and neck tumor cells exhibit altered proliferation upon overexpression of nm23 genes","type":"article-journal","volume":"81"},"uris":["http://www.mendeley.com/documents/?uuid=fa4edfc0-12f9-4bc6-90fa-8eec5cc9370d"]}],"mendeley":{"formattedCitation":"[88]","plainTextFormattedCitation":"[88]","previouslyFormattedCitation":"[88]"},"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[88]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differentiation and development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{"citationItems":[{"id":"ITEM-1","itemData":{"DOI":"10.1002/(SICI)1097-4652(200002)182:2&lt;144::AID-JCP2&gt;3.0.CO;2-6","ISSN":"0021-9541","PMID":"10623877","abstract":"Tumor suppressor genes have a pivotal role in normal cells regulating cell cycle processes negatively. Furthermore, the inhibition of cell proliferation is a crucial step in the achievement of cell differentiation. Increasing evidence suggests that the nm23 genes, initially documented as suppressors of the invasive phenotype in some cancer types, are involved in the control of normal development and differentiation. In this review, we summarize some data concerning the involvement of the nm23 genes in development and differentiation, attempting to delineate an overall view of many facets of their biological role.","author":[{"dropping-particle":"","family":"Lombardi","given":"Daniela","non-dropping-particle":"","parse-names":false,"suffix":""},{"dropping-particle":"","family":"Lacombe","given":"Marie-Lise","non-dropping-particle":"","parse-names":false,"suffix":""},{"dropping-particle":"","family":"Paggi","given":"Marco G","non-dropping-particle":"","parse-names":false,"suffix":""}],"container-title":"Journal of Cellular Physiology","id":"ITEM-1","issue":"2","issued":{"date-parts":[["2000","2"]]},"page":"144-149","title":"nm23: Unraveling its biological function in cell differentiation","type":"article-journal","volume":"182"},"uris":["http://www.mendeley.com/documents/?uuid=870ae689-1cbe-45dd-8587-02f789f01a85"]},{"id":"ITEM-2","itemData":{"DOI":"10.1007/s11010-009-0121-6","ISSN":"0300-8177","PMID":"19421718","abstract":"The NM23 (non-metastatic 23) family is almost universally conserved across all three domains of life: eubacteria, archaea and eucaryotes. Unicellular organisms possess one NM23 ortholog, whilst vertebrates possess several. Gene multiplication through evolution has been accompanied by structural and functional diversification. Many NM23 orthologs are nucleoside diphosphate kinases (NDP kinases), but some more recently evolved members lack NDP kinase activity and/or display other functions, for instance, acting as protein kinases or transcription factors. These members display overlapping but distinct expression patterns during vertebrate development. In this review, we describe the functional differences and similarities among various NM23 family members. Moreover, we establish orthologous relationships through a phylogenetic analysis of NM23 members across vertebrate species, including Xenopus laevis and zebrafish, primitive chordates and several phyla of invertebrates. Finally, we summarize the involvement of NM23 proteins in development, in particular neural development. Carcinogenesis is a process of misregulated development, and NM23 was initially implicated as a metastasis suppressor. A more detailed understanding of the evolution of the family and its role in vertebrate development will facilitate elucidation of the mechanism of NM23 involvement in human cancer.","author":[{"dropping-particle":"","family":"Bilitou","given":"Aikaterini","non-dropping-particle":"","parse-names":false,"suffix":""},{"dropping-particle":"","family":"Watson","given":"Julie","non-dropping-particle":"","parse-names":false,"suffix":""},{"dropping-particle":"","family":"Gartner","given":"Anton","non-dropping-particle":"","parse-names":false,"suffix":""},{"dropping-particle":"","family":"Ohnuma","given":"Shin-ichi","non-dropping-particle":"","parse-names":false,"suffix":""}],"container-title":"Molecular and Cellular Biochemistry","id":"ITEM-2","issue":"1-2","issued":{"date-parts":[["2009","9","7"]]},"page":"17-33","title":"The NM23 family in development","type":"article-journal","volume":"329"},"uris":["http://www.mendeley.com/documents/?uuid=24e1fcec-62ee-4165-99d9-c8a1af518ea0"]},{"id":"ITEM-3","itemData":{"ISSN":"1044-9523","PMID":"1472467","abstract":"Nonmetastatic (nm) 23 gene expression correlates inversely with metastatic potential in several rodent tumor model systems as well as in human infiltrating ductal breast and hepatocellular carcinomas. Since tumor cell invasion and metastasis involve many processes exhibited by normal cells during development, we investigated whether nm23 is expressed during mouse embryogenesis. Northern blot analysis of embryonic RNAs showed that nm23 gene transcription occurs widely during embryogenesis. Immunohistochemical analysis demonstrated that, at the onset of organogenesis, the amount of Nm23 protein is relatively low and uniform throughout the embryo. On embryonic day E10.5, the protein begins to accumulate preferentially in the developing nervous system and heart, the first embryonic tissues to differentiate. Subsequent differentiation of liver, kidney, skin, intestine, adrenal, and stomach (but not lung) epithelial cells during embryonic development is accompanied by increased Nm23 protein expression. Although most tissues retain Nm23 protein levels to adult life, the increase is transient in intestinal epithelia and cyclic in adult mammary tissue during pregnancy and lactation. We conclude that Nm23 protein accumulation is coincident with the functional differentiation of multiple epithelial tissues in the developing mouse.","author":[{"dropping-particle":"","family":"Lakso","given":"M.","non-dropping-particle":"","parse-names":false,"suffix":""},{"dropping-particle":"","family":"Steeg","given":"P. S.","non-dropping-particle":"","parse-names":false,"suffix":""},{"dropping-particle":"","family":"Westphal","given":"H.","non-dropping-particle":"","parse-names":false,"suffix":""}],"container-title":"Cell growth &amp; differentiation : the molecular biology journal of the American Association for Cancer Research","id":"ITEM-3","issue":"12","issued":{"date-parts":[["1992","12"]]},"page":"873-879","title":"Embryonic expression of nm23 during mouse organogenesis.","type":"article-journal","volume":"3"},"uris":["http://www.mendeley.com/documents/?uuid=40cbbd6f-83bc-4253-a086-e20d2a6a9291"]}],"mendeley":{"formattedCitation":"[23,89,90]","plainTextFormattedCitation":"[23,89,90]","previouslyFormattedCitation":"[23,89,90]"},"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[23,89,90]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vesicular trafficking </w:t>
      </w:r>
      <w:r w:rsidRPr="002E26D2">
        <w:rPr>
          <w:rFonts w:ascii="Times New Roman" w:hAnsi="Times New Roman" w:cs="Times New Roman"/>
          <w:sz w:val="24"/>
          <w:szCs w:val="24"/>
        </w:rPr>
        <w:fldChar w:fldCharType="begin" w:fldLock="1"/>
      </w:r>
      <w:r w:rsidR="0093048F">
        <w:rPr>
          <w:rFonts w:ascii="Times New Roman" w:hAnsi="Times New Roman" w:cs="Times New Roman"/>
          <w:sz w:val="24"/>
          <w:szCs w:val="24"/>
        </w:rPr>
        <w:instrText>ADDIN CSL_CITATION {"citationItems":[{"id":"ITEM-1","itemData":{"DOI":"10.1126/science.1253768","ISSN":"0036-8075","PMID":"24970086","abstract":"Cell membranes are very flexible and easily molded to shape; however, to physically pinch off a membrane vesicle from a membrane tube still requires power. A type of molecular machine known as dynamin is involved in this sort of membrane remodeling. Dynamins use guanosine triphosphate (GTP) rather than the more commonly used cellular energy source adenosine triphosphate to work. Boissan et al. now show that two separate dynamins found in the cytoplasm or the mitochondria both use the same sort of enzyme—nucleoside diphosphate kinases—to provide GTP at just the right time and the right place to power membrane fission.","author":[{"dropping-particle":"","family":"Boissan","given":"Mathieu","non-dropping-particle":"","parse-names":false,"suffix":""},{"dropping-particle":"","family":"Montagnac","given":"Guillaume","non-dropping-particle":"","parse-names":false,"suffix":""},{"dropping-particle":"","family":"Shen","given":"Qinfang","non-dropping-particle":"","parse-names":false,"suffix":""},{"dropping-particle":"","family":"Griparic","given":"Lorena","non-dropping-particle":"","parse-names":false,"suffix":""},{"dropping-particle":"","family":"Guitton","given":"Jérôme","non-dropping-particle":"","parse-names":false,"suffix":""},{"dropping-particle":"","family":"Romao","given":"Maryse","non-dropping-particle":"","parse-names":false,"suffix":""},{"dropping-particle":"","family":"Sauvonnet","given":"Nathalie","non-dropping-particle":"","parse-names":false,"suffix":""},{"dropping-particle":"","family":"Lagache","given":"Thibault","non-dropping-particle":"","parse-names":false,"suffix":""},{"dropping-particle":"","family":"Lascu","given":"Ioan","non-dropping-particle":"","parse-names":false,"suffix":""},{"dropping-particle":"","family":"Raposo","given":"Graça","non-dropping-particle":"","parse-names":false,"suffix":""},{"dropping-particle":"","family":"Desbourdes","given":"Céline","non-dropping-particle":"","parse-names":false,"suffix":""},{"dropping-particle":"","family":"Schlattner","given":"Uwe","non-dropping-particle":"","parse-names":false,"suffix":""},{"dropping-particle":"","family":"Lacombe","given":"Marie-Lise","non-dropping-particle":"","parse-names":false,"suffix":""},{"dropping-particle":"","family":"Polo","given":"Simona","non-dropping-particle":"","parse-names":false,"suffix":""},{"dropping-particle":"","family":"Bliek","given":"Alexander M.","non-dropping-particle":"van der","parse-names":false,"suffix":""},{"dropping-particle":"","family":"Roux","given":"Aurélien","non-dropping-particle":"","parse-names":false,"suffix":""},{"dropping-particle":"","family":"Chavrier","given":"Philippe","non-dropping-particle":"","parse-names":false,"suffix":""}],"container-title":"Science","id":"ITEM-1","issue":"6191","issued":{"date-parts":[["2014","6","27"]]},"page":"1510-1515","title":"Nucleoside diphosphate kinases fuel dynamin superfamily proteins with GTP for membrane remodeling","type":"article-journal","volume":"344"},"uris":["http://www.mendeley.com/documents/?uuid=5df83e63-a512-48cd-8919-ba80ea9075cf"]}],"mendeley":{"formattedCitation":"[18]","plainTextFormattedCitation":"[18]","previouslyFormattedCitation":"[18]"},"properties":{"noteIndex":0},"schema":"https://github.com/citation-style-language/schema/raw/master/csl-citation.json"}</w:instrText>
      </w:r>
      <w:r w:rsidRPr="002E26D2">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adhesion and migration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{"citationItems":[{"id":"ITEM-1","itemData":{"DOI":"10.1074/jbc.M200200200","ISSN":"00219258","PMID":"11919189","abstract":"Cell adhesion-dependent signaling implicates cytoplasmic proteins interacting with the intracellular tails of integrins. Among those, the integrin cytoplasmic domain-associated protein 1alpha (ICAP-1alpha) has been shown to interact specifically with the beta(1) integrin cytoplasmic domain. Although it is likely that this protein plays an important role in controlling cell adhesion and migration, little is known about its actual function. To search for potential ICAP-1alpha-binding proteins, we used a yeast two-hybrid screen and identified the human metastatic suppressor protein nm23-H2 as a new partner of ICAP-1alpha. This direct interaction was confirmed in vitro, using purified recombinant ICAP-1alpha and nm23-H2, and by co-immunoprecipitation from CHO cell lysates over-expressing ICAP-1alpha. The physiological relevance of this interaction is provided by confocal fluorescence microscopy, which shows that ICAP-1alpha and nm23-H2 are co-localized in lamellipodia during the early stages of cell spreading. These adhesion sites are enriched in occupied beta(1) integrins and precede the formation of focal adhesions devoid of ICAP-1alpha and nm23-H2, indicating the dynamic segregation of components of matrix adhesions. This peripheral staining of ICAP-1alpha and nm23-H2 is only observed in cells spreading on fibronectin and collagen and is absent in cells spreading on poly-l-lysine, vitronectin, or laminin. This is consistent with the fact that targeting of both ICAP-1alpha and nm23-H2 to the cell periphery is dependent on beta(1) integrin engagement rather than being a consequence of cell adhesion. This finding represents the first evidence that the tumor suppressor nm23-H2 could act on beta(1) integrin-mediated cell adhesion by interacting with one of the integrin partners, ICAP-1alpha.","author":[{"dropping-particle":"","family":"Fournier","given":"Henri-Noël","non-dropping-particle":"","parse-names":false,"suffix":""},{"dropping-particle":"","family":"Dupé-Manet","given":"Sandra","non-dropping-particle":"","parse-names":false,"suffix":""},{"dropping-particle":"","family":"Bouvard","given":"Daniel","non-dropping-particle":"","parse-names":false,"suffix":""},{"dropping-particle":"","family":"Lacombe","given":"Marie-Lise","non-dropping-particle":"","parse-names":false,"suffix":""},{"dropping-particle":"","family":"Marie","given":"Christiane","non-dropping-particle":"","parse-names":false,"suffix":""},{"dropping-particle":"","family":"Block","given":"Marc R.","non-dropping-particle":"","parse-names":false,"suffix":""},{"dropping-particle":"","family":"Albiges-Rizo","given":"Corinne","non-dropping-particle":"","parse-names":false,"suffix":""}],"container-title":"Journal of Biological Chemistry","id":"ITEM-1","issue":"23","issued":{"date-parts":[["2002","6","7"]]},"page":"20895-20902","title":"Integrin Cytoplasmic Domain-associated Protein 1α (ICAP-1α) Interacts Directly with the Metastasis Suppressor nm23-H2, and Both Proteins Are Targeted to Newly Formed Cell Adhesion Sites upon Integrin Engagement","type":"article-journal","volume":"277"},"uris":["http://www.mendeley.com/documents/?uuid=c376f016-106c-4f3a-bd56-e2b2020ef040"]},{"id":"ITEM-2","itemData":{"DOI":"10.1128/JVI.79.3.1559-1568.2005","ISSN":"0022-538X","PMID":"15650182","abstract":"Epstein-Barr virus (EBV) nuclear antigen 1 (EBNA1) is expressed in the majority of latency programs in EBV-infected cells and is critical for the maintenance of EBV episomes in the infected cells. EBNA1 is also known to be involved in transcriptional activation and regulates expression of the EBV latent genes, including the EBNAs and LMP1. Thus, EBNA1 is a multifunctional protein with critical functions required for the persistence of the viral genome over successive generations, producing new daughter cells from the infected cell. We identify EBNA1 here as an interacting EBNA with the known suppressor of metastasis and cell migration, Nm23-H1. Nm23-H1 inhibits cell migration when expressed in cancer cells. We show that EBNA1 associates with Nm23-H1 in EBV-infected cells in vitro, as well as in lymphoblastoid cell lines (LCLs). Nm23-H1 predominantly localizes to the cytoplasm in BJAB and 293T cells; however, upon expression of EBNA1, Nm23-H1 is translocated to the nucleus in similar compartments to EBNA1, suggesting a potential functional role that is linked to EBNA1. Convincingly, in EBV-transformed LCLs Nm23-H1 is localized predominantly to the nucleus and colocalizes to similar compartment as EBNA1. Further, we tested the effects of EBNA1 on Nm23-H1-mediated suppression of cell migration and showed that EBNA1 rescues the suppression of cell migration mediated by Nm23-H1. These in vitro studies suggest that EBNA1 plays a critical role in regulating the activities of Nm23-H1, including cell migration, through a mechanism which involves direct interaction of this major regulator in EBV-infected cells.","author":[{"dropping-particle":"","family":"Murakami","given":"Masanao","non-dropping-particle":"","parse-names":false,"suffix":""},{"dropping-particle":"","family":"Lan","given":"Ke","non-dropping-particle":"","parse-names":false,"suffix":""},{"dropping-particle":"","family":"Subramanian","given":"Chitra","non-dropping-particle":"","parse-names":false,"suffix":""},{"dropping-particle":"","family":"Robertson","given":"Erle S.","non-dropping-particle":"","parse-names":false,"suffix":""}],"container-title":"Journal of Virology","id":"ITEM-2","issue":"3","issued":{"date-parts":[["2005","2","1"]]},"page":"1559-1568","title":"Epstein-Barr Virus Nuclear Antigen 1 Interacts with Nm23-H1 in Lymphoblastoid Cell Lines and Inhibits Its Ability To Suppress Cell Migration","type":"article-journal","volume":"79"},"uris":["http://www.mendeley.com/documents/?uuid=69cc90dd-bb44-4944-9087-40991e72689d"]}],"mendeley":{"formattedCitation":"[91,92]","plainTextFormattedCitation":"[91,92]","previouslyFormattedCitation":"[91,92]"},"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[91,92]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They are both enzymatically active, and besides the NDPK activity, they are associated</w:t>
      </w:r>
      <w:r w:rsidR="00893A90">
        <w:rPr>
          <w:rFonts w:ascii="Times New Roman" w:hAnsi="Times New Roman" w:cs="Times New Roman"/>
          <w:sz w:val="24"/>
          <w:szCs w:val="24"/>
        </w:rPr>
        <w:t>, together or individually,</w:t>
      </w:r>
      <w:r w:rsidR="00893A90" w:rsidRPr="002E26D2">
        <w:rPr>
          <w:rFonts w:ascii="Times New Roman" w:hAnsi="Times New Roman" w:cs="Times New Roman"/>
          <w:sz w:val="24"/>
          <w:szCs w:val="24"/>
        </w:rPr>
        <w:t xml:space="preserve"> </w:t>
      </w:r>
      <w:r w:rsidRPr="002E26D2">
        <w:rPr>
          <w:rFonts w:ascii="Times New Roman" w:hAnsi="Times New Roman" w:cs="Times New Roman"/>
          <w:sz w:val="24"/>
          <w:szCs w:val="24"/>
        </w:rPr>
        <w:t>with other biochemical activities</w:t>
      </w:r>
      <w:r w:rsidR="00893A90">
        <w:rPr>
          <w:rFonts w:ascii="Times New Roman" w:hAnsi="Times New Roman" w:cs="Times New Roman"/>
          <w:sz w:val="24"/>
          <w:szCs w:val="24"/>
        </w:rPr>
        <w:t xml:space="preserve"> </w:t>
      </w:r>
      <w:r w:rsidR="00893A90">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{"citationItems":[{"id":"ITEM-1","itemData":{"DOI":"10.3390/ijms21072363","ISSN":"1422-0067","PMID":"32235358","abstract":"Nucleoside diphosphate kinases (NDPK/NME/Nm23) are enzymes composed of subunits NME1/NDPK A and NME2/NDPK B, responsible for the maintenance of the cellular (d)NTP pool and involved in other cellular processes, such as metastasis suppression and DNA damage repair. Although eukaryotic NDPKs are active only as hexamers, it is unclear whether other NME functions require the hexameric form, and how the isoenzyme composition varies in different cellular compartments. To examine the effect of DNA damage on intracellular localization of NME1 and NME2 and the composition of NME oligomers in the nucleus and the cytoplasm, we used live-cell imaging and the FRET/FLIM technique. We showed that exogenous NME1 and NME2 proteins co-localize in the cytoplasm of non-irradiated cells, and move simultaneously to the nucleus after gamma irradiation. The FRET/FLIM experiments imply that, after DNA damage, there is a slight shift in the homomer/heteromer balance between the nucleus and the cytoplasm. Collectively, our results indicate that, after irradiation, NME1 and NME2 engage in mutual functions in the nucleus, possibly performing specific functions in their homomeric states. Finally, we demonstrated that fluorophores fused to the N-termini of NME polypeptides produce the largest FRET effect and thus recommend this orientation for use in similar studies.","author":[{"dropping-particle":"","family":"Radić","given":"Martina","non-dropping-particle":"","parse-names":false,"suffix":""},{"dropping-particle":"","family":"Šoštar","given":"Marko","non-dropping-particle":"","parse-names":false,"suffix":""},{"dropping-particle":"","family":"Weber","given":"Igor","non-dropping-particle":"","parse-names":false,"suffix":""},{"dropping-particle":"","family":"Ćetković","given":"Helena","non-dropping-particle":"","parse-names":false,"suffix":""},{"dropping-particle":"","family":"Slade","given":"Neda","non-dropping-particle":"","parse-names":false,"suffix":""},{"dropping-particle":"","family":"Herak Bosnar","given":"Maja","non-dropping-particle":"","parse-names":false,"suffix":""}],"container-title":"International Journal of Molecular Sciences","id":"ITEM-1","issue":"7","issued":{"date-parts":[["2020","3","29"]]},"page":"2363","title":"The Subcellular Localization and Oligomerization Preferences of NME1/NME2 upon Radiation-Induced DNA Damage","type":"article-journal","volume":"21"},"uris":["http://www.mendeley.com/documents/?uuid=bdb8e9f0-0e21-4c12-8310-15d92e78d0e2"]}],"mendeley":{"formattedCitation":"[17]","plainTextFormattedCitation":"[17]","previouslyFormattedCitation":"[17]"},"properties":{"noteIndex":0},"schema":"https://github.com/citation-style-language/schema/raw/master/csl-citation.json"}</w:instrText>
      </w:r>
      <w:r w:rsidR="00893A90">
        <w:rPr>
          <w:rFonts w:ascii="Times New Roman" w:hAnsi="Times New Roman" w:cs="Times New Roman"/>
          <w:sz w:val="24"/>
          <w:szCs w:val="24"/>
        </w:rPr>
        <w:fldChar w:fldCharType="separate"/>
      </w:r>
      <w:r w:rsidR="00893A90" w:rsidRPr="00893A90">
        <w:rPr>
          <w:rFonts w:ascii="Times New Roman" w:hAnsi="Times New Roman" w:cs="Times New Roman"/>
          <w:noProof/>
          <w:sz w:val="24"/>
          <w:szCs w:val="24"/>
        </w:rPr>
        <w:t>[17]</w:t>
      </w:r>
      <w:r w:rsidR="00893A90">
        <w:rPr>
          <w:rFonts w:ascii="Times New Roman" w:hAnsi="Times New Roman" w:cs="Times New Roman"/>
          <w:sz w:val="24"/>
          <w:szCs w:val="24"/>
        </w:rPr>
        <w:fldChar w:fldCharType="end"/>
      </w:r>
      <w:r w:rsidR="00893A90">
        <w:rPr>
          <w:rFonts w:ascii="Times New Roman" w:hAnsi="Times New Roman" w:cs="Times New Roman"/>
          <w:sz w:val="24"/>
          <w:szCs w:val="24"/>
        </w:rPr>
        <w:t xml:space="preserve"> </w:t>
      </w:r>
      <w:r w:rsidRPr="002E26D2">
        <w:rPr>
          <w:rFonts w:ascii="Times New Roman" w:hAnsi="Times New Roman" w:cs="Times New Roman"/>
          <w:sz w:val="24"/>
          <w:szCs w:val="24"/>
        </w:rPr>
        <w:t xml:space="preserve">such as histidine kinase activity </w:t>
      </w:r>
      <w:r w:rsidRPr="002E26D2">
        <w:rPr>
          <w:rFonts w:ascii="Times New Roman" w:hAnsi="Times New Roman" w:cs="Times New Roman"/>
          <w:sz w:val="24"/>
          <w:szCs w:val="24"/>
        </w:rPr>
        <w:fldChar w:fldCharType="begin" w:fldLock="1"/>
      </w:r>
      <w:r w:rsidR="00195C5A">
        <w:rPr>
          <w:rFonts w:ascii="Times New Roman" w:hAnsi="Times New Roman" w:cs="Times New Roman"/>
          <w:sz w:val="24"/>
          <w:szCs w:val="24"/>
        </w:rPr>
        <w:instrText>ADDIN CSL_CITATION {"citationItems":[{"id":"ITEM-1","itemData":{"DOI":"10.3390/ijms21165848","ISSN":"1422-0067","PMID":"32823988","abstract":"The NME (Non-metastatic) family members, also known as NDPKs (nucleoside diphosphate kinases), were originally identified and studied for their nucleoside diphosphate kinase activities. This family of kinases is extremely well conserved through evolution, being found in prokaryotes and eukaryotes, but also diverges enough to create a range of complexity, with homologous members having distinct functions in cells. In addition to nucleoside diphosphate kinase activity, some family members are reported to possess protein-histidine kinase activity, which, because of the lability of phosphohistidine, has been difficult to study due to the experimental challenges and lack of molecular tools. However, over the past few years, new methods to investigate this unstable modification and histidine kinase activity have been reported and scientific interest in this area is growing rapidly. This review presents a global overview of our current knowledge of the NME family and histidine phosphorylation, highlighting the underappreciated protein-histidine kinase activity of NME family members, specifically in human cells. In parallel, information about the structural and functional aspects of the NME family, and the knowns and unknowns of histidine kinase involvement in cell signaling are summarized.","author":[{"dropping-particle":"","family":"Adam","given":"Kevin","non-dropping-particle":"","parse-names":false,"suffix":""},{"dropping-particle":"","family":"Ning","given":"Jia","non-dropping-particle":"","parse-names":false,"suffix":""},{"dropping-particle":"","family":"Reina","given":"Jeffrey","non-dropping-particle":"","parse-names":false,"suffix":""},{"dropping-particle":"","family":"Hunter","given":"Tony","non-dropping-particle":"","parse-names":false,"suffix":""}],"container-title":"International Journal of Molecular Sciences","id":"ITEM-1","issue":"16","issued":{"date-parts":[["2020","8","14"]]},"page":"5848","title":"NME/NM23/NDPK and Histidine Phosphorylation","type":"article-journal","volume":"21"},"uris":["http://www.mendeley.com/documents/?uuid=0b01d0d4-5d47-41c3-b4b8-c3826542fb8a"]}],"mendeley":{"formattedCitation":"[14]","plainTextFormattedCitation":"[14]","previouslyFormattedCitation":"[14]"},"properties":{"noteIndex":0},"schema":"https://github.com/citation-style-language/schema/raw/master/csl-citation.json"}</w:instrText>
      </w:r>
      <w:r w:rsidRPr="002E26D2">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transcriptional regulatory functions </w:t>
      </w:r>
      <w:r w:rsidRPr="002E26D2">
        <w:rPr>
          <w:rFonts w:ascii="Times New Roman" w:hAnsi="Times New Roman" w:cs="Times New Roman"/>
          <w:sz w:val="24"/>
          <w:szCs w:val="24"/>
        </w:rPr>
        <w:fldChar w:fldCharType="begin" w:fldLock="1"/>
      </w:r>
      <w:r w:rsidR="00195C5A">
        <w:rPr>
          <w:rFonts w:ascii="Times New Roman" w:hAnsi="Times New Roman" w:cs="Times New Roman"/>
          <w:sz w:val="24"/>
          <w:szCs w:val="24"/>
        </w:rPr>
        <w:instrText>ADDIN CSL_CITATION {"citationItems":[{"id":"ITEM-1","itemData":{"DOI":"10.1023/a:1023485505621","ISSN":"0145-479X","PMID":"12848339","abstract":"NM23/NDPk proteins play critical roles in cancer and development; however, our understanding of the underlying biochemical mechanisms is still limited. This large family of highly conserved proteins are known to participate in many events related to DNA metabolism, including nucleotide binding and nucleoside triphosphate synthesis, DNA binding and transcription, and cleavage of DNA strands via covalent protein-DNA complexes. The chemistry of the DNA-cleavage reaction of NM23-H2/NDPk is characteristic of DNA repair enzymes. Both the DNA cleavage and the NDPk reactions are conserved between E. coli and the human enzymes, and several conserved amino acid side chains involved in catalysis are shared by these reactions. It is proposed here that NM23/NDP kinases are important regulators of gene expression during development and cancer via previously unrecognized roles in DNA repair and recombination, and via previously unrecognized pathways and mechanisms of genetic control.","author":[{"dropping-particle":"","family":"Postel","given":"Edith H.","non-dropping-particle":"","parse-names":false,"suffix":""}],"container-title":"Journal of bioenergetics and biomembranes","id":"ITEM-1","issue":"1","issued":{"date-parts":[["2003","2"]]},"page":"31-40","title":"Multiple biochemical activities of NM23/NDP kinase in gene regulation.","type":"article-journal","volume":"35"},"uris":["http://www.mendeley.com/documents/?uuid=e9fe22d7-2c1e-4655-8093-0399a72c2bba"]}],"mendeley":{"formattedCitation":"[15]","plainTextFormattedCitation":"[15]","previouslyFormattedCitation":"[15]"},"properties":{"noteIndex":0},"schema":"https://github.com/citation-style-language/schema/raw/master/csl-citation.json"}</w:instrText>
      </w:r>
      <w:r w:rsidRPr="002E26D2">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r w:rsidR="000B0FF2">
        <w:rPr>
          <w:rFonts w:ascii="Times New Roman" w:hAnsi="Times New Roman" w:cs="Times New Roman"/>
          <w:sz w:val="24"/>
          <w:szCs w:val="24"/>
        </w:rPr>
        <w:t xml:space="preserve">and </w:t>
      </w:r>
      <w:r w:rsidRPr="002E26D2">
        <w:rPr>
          <w:rFonts w:ascii="Times New Roman" w:hAnsi="Times New Roman" w:cs="Times New Roman"/>
          <w:sz w:val="24"/>
          <w:szCs w:val="24"/>
        </w:rPr>
        <w:t xml:space="preserve">3’-5’ exonuclease activity </w:t>
      </w:r>
      <w:r w:rsidRPr="002E26D2">
        <w:rPr>
          <w:rFonts w:ascii="Times New Roman" w:hAnsi="Times New Roman" w:cs="Times New Roman"/>
          <w:sz w:val="24"/>
          <w:szCs w:val="24"/>
        </w:rPr>
        <w:fldChar w:fldCharType="begin" w:fldLock="1"/>
      </w:r>
      <w:r w:rsidR="00195C5A">
        <w:rPr>
          <w:rFonts w:ascii="Times New Roman" w:hAnsi="Times New Roman" w:cs="Times New Roman"/>
          <w:sz w:val="24"/>
          <w:szCs w:val="24"/>
        </w:rPr>
        <w:instrText>ADDIN CSL_CITATION {"citationItems":[{"id":"ITEM-1","itemData":{"DOI":"10.1038/labinvest.2017.109","ISSN":"0023-6837","PMID":"29058704","abstract":"The NME family of proteins is composed of 10 isoforms, designated NME1-10, which are diverse in their enzymatic activities and patterns of subcellular localization. Each contains a conserved domain associated with a nucleoside diphosphate kinase (NDPK) function, although not all are catalytically active. Several of the NME isoforms (NME1, NME5, NME7, and NME8) also exhibit a 3'-5' exonuclease activity, suggesting roles in DNA proofreading and repair. NME1 and NME2 have been shown to translocate to the nucleus, although they lack a canonical nuclear localization signal. Binding of NME1 and NME2 to DNA does not appear to be sequence-specific in a strict sense, but instead is directed to single-stranded regions and/or other non-B-form structures. NME1 and NME2 have been identified as potential canonical transcription factors that regulate gene transcription through their DNA-binding activities. Indeed, the NME1 and NME2 isoforms have been shown to regulate gene expression programs in a number of cellular settings, and this regulatory function has been proposed to underlie their well-recognized ability to suppress the metastatic phenotype of cancer cells. Moreover, NME1 and, more recently, NME3, have been implicated in repair of both single- and double-stranded breaks in DNA. This suggests that reduced expression of NME proteins could contribute to the genomic instability that drives cancer progression. Clearly, a better understanding of the nuclear functions of NME1 and possibly other NME isoforms could provide critical insights into mechanisms underlying malignant progression in cancer. Indeed, clinical data indicate that the subcellular localization of NME1 may be an important prognostic marker in some cancers. This review summarizes putative functions of nuclear NME proteins in DNA binding, transcription, and DNA damage repair, and highlights their possible roles in cancer progression.","author":[{"dropping-particle":"","family":"Puts","given":"Gemma S","non-dropping-particle":"","parse-names":false,"suffix":""},{"dropping-particle":"","family":"Leonard","given":"M Kathryn","non-dropping-particle":"","parse-names":false,"suffix":""},{"dropping-particle":"V","family":"Pamidimukkala","given":"Nidhi","non-dropping-particle":"","parse-names":false,"suffix":""},{"dropping-particle":"","family":"Snyder","given":"Devin E","non-dropping-particle":"","parse-names":false,"suffix":""},{"dropping-particle":"","family":"Kaetzel","given":"David M","non-dropping-particle":"","parse-names":false,"suffix":""}],"container-title":"Laboratory Investigation","id":"ITEM-1","issue":"2","issued":{"date-parts":[["2018","2","23"]]},"page":"211-218","title":"Nuclear functions of NME proteins","type":"article-journal","volume":"98"},"uris":["http://www.mendeley.com/documents/?uuid=4abd92bd-5cad-4d2d-9e2d-c09bd5fcfa65"]}],"mendeley":{"formattedCitation":"[16]","plainTextFormattedCitation":"[16]","previouslyFormattedCitation":"[16]"},"properties":{"noteIndex":0},"schema":"https://github.com/citation-style-language/schema/raw/master/csl-citation.json"}</w:instrText>
      </w:r>
      <w:r w:rsidRPr="002E26D2">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[16]</w:t>
      </w:r>
      <w:r w:rsidRPr="002E26D2">
        <w:rPr>
          <w:rFonts w:ascii="Times New Roman" w:hAnsi="Times New Roman" w:cs="Times New Roman"/>
          <w:sz w:val="24"/>
          <w:szCs w:val="24"/>
        </w:rPr>
        <w:fldChar w:fldCharType="end"/>
      </w:r>
      <w:r w:rsidR="00893A90">
        <w:rPr>
          <w:rFonts w:ascii="Times New Roman" w:hAnsi="Times New Roman" w:cs="Times New Roman"/>
          <w:sz w:val="24"/>
          <w:szCs w:val="24"/>
        </w:rPr>
        <w:t>.</w:t>
      </w:r>
    </w:p>
    <w:p w14:paraId="4B65549A" w14:textId="3E5BBC28"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two remaining members of the Group I, NME3 and NME4, are both colocalizing with mitochondria. NME3 displays a short N-terminal hydrophobic peptide likely anchoring the protein to the MOM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{"citationItems":[{"id":"ITEM-1","itemData":{"DOI":"10.1073/pnas.1818629116","ISSN":"0027-8424","PMID":"30587587","abstract":"It is known that nutrient starvation stimulates mitochondrial fusion for cell survival. In this study, a homozygous mutation in the NME3 gene, which encodes an NDP kinase, was identified in a fatal neurodegenerative disorder. Cells derived from the patient were deficient of NME3 and intolerant to glucose starvation. Patient cells were used to demonstrate that NME3 rescued cell survival by two separate functions, namely stimulation of mitochondrial fusion and NDP kinase activity. Since mitochondrial dynamics and energy efficiency are important for neuronal development, our data suggest a link between two functions of NME3 and a fatal neuronal disorder.","author":[{"dropping-particle":"","family":"Chen","given":"Chih-Wei","non-dropping-particle":"","parse-names":false,"suffix":""},{"dropping-particle":"","family":"Wang","given":"Hong-Ling","non-dropping-particle":"","parse-names":false,"suffix":""},{"dropping-particle":"","family":"Huang","given":"Ching-Wen","non-dropping-particle":"","parse-names":false,"suffix":""},{"dropping-particle":"","family":"Huang","given":"Chang-Yu","non-dropping-particle":"","parse-names":false,"suffix":""},{"dropping-particle":"","family":"Lim","given":"Wai Keong","non-dropping-particle":"","parse-names":false,"suffix":""},{"dropping-particle":"","family":"Tu","given":"I-Chen","non-dropping-particle":"","parse-names":false,"suffix":""},{"dropping-particle":"","family":"Koorapati","given":"Atmaja","non-dropping-particle":"","parse-names":false,"suffix":""},{"dropping-particle":"","family":"Hsieh","given":"Sung-Tsang","non-dropping-particle":"","parse-names":false,"suffix":""},{"dropping-particle":"","family":"Kan","given":"Hung-Wei","non-dropping-particle":"","parse-names":false,"suffix":""},{"dropping-particle":"","family":"Tzeng","given":"Shiou-Ru","non-dropping-particle":"","parse-names":false,"suffix":""},{"dropping-particle":"","family":"Liao","given":"Jung-Chi","non-dropping-particle":"","parse-names":false,"suffix":""},{"dropping-particle":"","family":"Chong","given":"Weng Man","non-dropping-particle":"","parse-names":false,"suffix":""},{"dropping-particle":"","family":"Naroditzky","given":"Inna","non-dropping-particle":"","parse-names":false,"suffix":""},{"dropping-particle":"","family":"Kidron","given":"Dvora","non-dropping-particle":"","parse-names":false,"suffix":""},{"dropping-particle":"","family":"Eran","given":"Ayelet","non-dropping-particle":"","parse-names":false,"suffix":""},{"dropping-particle":"","family":"Nijim","given":"Yousif","non-dropping-particle":"","parse-names":false,"suffix":""},{"dropping-particle":"","family":"Sela","given":"Ella","non-dropping-particle":"","parse-names":false,"suffix":""},{"dropping-particle":"","family":"Feldman","given":"Hagit Baris","non-dropping-particle":"","parse-names":false,"suffix":""},{"dropping-particle":"","family":"Kalfon","given":"Limor","non-dropping-particle":"","parse-names":false,"suffix":""},{"dropping-particle":"","family":"Raveh-Barak","given":"Hadas","non-dropping-particle":"","parse-names":false,"suffix":""},{"dropping-particle":"","family":"Falik-Zaccai","given":"Tzipora C.","non-dropping-particle":"","parse-names":false,"suffix":""},{"dropping-particle":"","family":"Elpeleg","given":"Orly","non-dropping-particle":"","parse-names":false,"suffix":""},{"dropping-particle":"","family":"Mandel","given":"Hanna","non-dropping-particle":"","parse-names":false,"suffix":""},{"dropping-particle":"","family":"Chang","given":"Zee-Fen","non-dropping-particle":"","parse-names":false,"suffix":""}],"container-title":"Proceedings of the National Academy of Sciences","id":"ITEM-1","issue":"2","issued":{"date-parts":[["2019","1","8"]]},"page":"566-574","title":"Two separate functions of NME3 critical for cell survival underlie a neurodegenerative disorder","type":"article-journal","volume":"116"},"uris":["http://www.mendeley.com/documents/?uuid=96217a27-cb1d-431e-bd06-6222fbaba292"]}],"mendeley":{"formattedCitation":"[19]","plainTextFormattedCitation":"[19]","previouslyFormattedCitation":"[19]"},"properties":{"noteIndex":0},"schema":"https://github.com/citation-style-language/schema/raw/master/csl-citation.json"}</w:instrText>
      </w:r>
      <w:r w:rsidRPr="002E26D2">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homozygous mutation of NME3 is associated with fatal mitochondrial neurodegenerative disorder, where the mitochondrial fusion is impaired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{"citationItems":[{"id":"ITEM-1","itemData":{"DOI":"10.1073/pnas.1818629116","ISSN":"0027-8424","PMID":"30587587","abstract":"It is known that nutrient starvation stimulates mitochondrial fusion for cell survival. In this study, a homozygous mutation in the NME3 gene, which encodes an NDP kinase, was identified in a fatal neurodegenerative disorder. Cells derived from the patient were deficient of NME3 and intolerant to glucose starvation. Patient cells were used to demonstrate that NME3 rescued cell survival by two separate functions, namely stimulation of mitochondrial fusion and NDP kinase activity. Since mitochondrial dynamics and energy efficiency are important for neuronal development, our data suggest a link between two functions of NME3 and a fatal neuronal disorder.","author":[{"dropping-particle":"","family":"Chen","given":"Chih-Wei","non-dropping-particle":"","parse-names":false,"suffix":""},{"dropping-particle":"","family":"Wang","given":"Hong-Ling","non-dropping-particle":"","parse-names":false,"suffix":""},{"dropping-particle":"","family":"Huang","given":"Ching-Wen","non-dropping-particle":"","parse-names":false,"suffix":""},{"dropping-particle":"","family":"Huang","given":"Chang-Yu","non-dropping-particle":"","parse-names":false,"suffix":""},{"dropping-particle":"","family":"Lim","given":"Wai Keong","non-dropping-particle":"","parse-names":false,"suffix":""},{"dropping-particle":"","family":"Tu","given":"I-Chen","non-dropping-particle":"","parse-names":false,"suffix":""},{"dropping-particle":"","family":"Koorapati","given":"Atmaja","non-dropping-particle":"","parse-names":false,"suffix":""},{"dropping-particle":"","family":"Hsieh","given":"Sung-Tsang","non-dropping-particle":"","parse-names":false,"suffix":""},{"dropping-particle":"","family":"Kan","given":"Hung-Wei","non-dropping-particle":"","parse-names":false,"suffix":""},{"dropping-particle":"","family":"Tzeng","given":"Shiou-Ru","non-dropping-particle":"","parse-names":false,"suffix":""},{"dropping-particle":"","family":"Liao","given":"Jung-Chi","non-dropping-particle":"","parse-names":false,"suffix":""},{"dropping-particle":"","family":"Chong","given":"Weng Man","non-dropping-particle":"","parse-names":false,"suffix":""},{"dropping-particle":"","family":"Naroditzky","given":"Inna","non-dropping-particle":"","parse-names":false,"suffix":""},{"dropping-particle":"","family":"Kidron","given":"Dvora","non-dropping-particle":"","parse-names":false,"suffix":""},{"dropping-particle":"","family":"Eran","given":"Ayelet","non-dropping-particle":"","parse-names":false,"suffix":""},{"dropping-particle":"","family":"Nijim","given":"Yousif","non-dropping-particle":"","parse-names":false,"suffix":""},{"dropping-particle":"","family":"Sela","given":"Ella","non-dropping-particle":"","parse-names":false,"suffix":""},{"dropping-particle":"","family":"Feldman","given":"Hagit Baris","non-dropping-particle":"","parse-names":false,"suffix":""},{"dropping-particle":"","family":"Kalfon","given":"Limor","non-dropping-particle":"","parse-names":false,"suffix":""},{"dropping-particle":"","family":"Raveh-Barak","given":"Hadas","non-dropping-particle":"","parse-names":false,"suffix":""},{"dropping-particle":"","family":"Falik-Zaccai","given":"Tzipora C.","non-dropping-particle":"","parse-names":false,"suffix":""},{"dropping-particle":"","family":"Elpeleg","given":"Orly","non-dropping-particle":"","parse-names":false,"suffix":""},{"dropping-particle":"","family":"Mandel","given":"Hanna","non-dropping-particle":"","parse-names":false,"suffix":""},{"dropping-particle":"","family":"Chang","given":"Zee-Fen","non-dropping-particle":"","parse-names":false,"suffix":""}],"container-title":"Proceedings of the National Academy of Sciences","id":"ITEM-1","issue":"2","issued":{"date-parts":[["2019","1","8"]]},"page":"566-574","title":"Two separate functions of NME3 critical for cell survival underlie a neurodegenerative disorder","type":"article-journal","volume":"116"},"uris":["http://www.mendeley.com/documents/?uuid=96217a27-cb1d-431e-bd06-6222fbaba292"]}],"mendeley":{"formattedCitation":"[19]","plainTextFormattedCitation":"[19]","previouslyFormattedCitation":"[19]"},"properties":{"noteIndex":0},"schema":"https://github.com/citation-style-language/schema/raw/master/csl-citation.json"}</w:instrText>
      </w:r>
      <w:r w:rsidRPr="002E26D2">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[19]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Similarly, downregulation of NME3 increases mitochondrial fragmentation and oxidative stress </w:t>
      </w:r>
      <w:r w:rsidRPr="002E26D2">
        <w:rPr>
          <w:rFonts w:ascii="Times New Roman" w:hAnsi="Times New Roman" w:cs="Times New Roman"/>
          <w:sz w:val="24"/>
          <w:szCs w:val="24"/>
        </w:rPr>
        <w:fldChar w:fldCharType="begin" w:fldLock="1"/>
      </w:r>
      <w:r w:rsidR="00195C5A">
        <w:rPr>
          <w:rFonts w:ascii="Times New Roman" w:hAnsi="Times New Roman" w:cs="Times New Roman"/>
          <w:sz w:val="24"/>
          <w:szCs w:val="24"/>
        </w:rPr>
        <w:instrText>ADDIN CSL_CITATION {"citationItems":[{"id":"ITEM-1","itemData":{"DOI":"10.3390/ijms21145048","ISSN":"1422-0067","PMID":"32708927","abstract":"NME3 is a member of the nucleoside diphosphate kinase (NDPK) family that binds to the mitochondrial outer membrane to stimulate mitochondrial fusion. In this study, we showed that NME3 knockdown delayed DNA repair without reducing the cellular levels of nucleotide triphosphates. Further analyses revealed that NME3 knockdown increased fragmentation of mitochondria, which in turn led to mitochondrial oxidative stress-mediated DNA single-strand breaks (SSBs) in nuclear DNA. Re-expression of wild-type NME3 or inhibition of mitochondrial fission markedly reduced SSBs and facilitated DNA repair in NME3 knockdown cells, while expression of N-terminal deleted mutant defective in mitochondrial binding had no rescue effect. We further showed that disruption of mitochondrial fusion by knockdown of NME4 or MFN1 also caused mitochondrial oxidative stress-mediated genome instability. In conclusion, the contribution of NME3 to redox-regulated genome stability lies in its function in mitochondrial fusion.","author":[{"dropping-particle":"","family":"Chen","given":"Chih-Wei","non-dropping-particle":"","parse-names":false,"suffix":""},{"dropping-particle":"","family":"Tsao","given":"Ning","non-dropping-particle":"","parse-names":false,"suffix":""},{"dropping-particle":"","family":"Zhang","given":"Wei","non-dropping-particle":"","parse-names":false,"suffix":""},{"dropping-particle":"","family":"Chang","given":"Zee-Fen","non-dropping-particle":"","parse-names":false,"suffix":""}],"container-title":"International Journal of Molecular Sciences","id":"ITEM-1","issue":"14","issued":{"date-parts":[["2020","7","17"]]},"page":"5048","title":"NME3 Regulates Mitochondria to Reduce ROS-Mediated Genome Instability","type":"article-journal","volume":"21"},"uris":["http://www.mendeley.com/documents/?uuid=a9465582-edef-472f-9670-6e19573fb8b8"]}],"mendeley":{"formattedCitation":"[20]","plainTextFormattedCitation":"[20]","previouslyFormattedCitation":"[20]"},"properties":{"noteIndex":0},"schema":"https://github.com/citation-style-language/schema/raw/master/csl-citation.json"}</w:instrText>
      </w:r>
      <w:r w:rsidRPr="002E26D2">
        <w:rPr>
          <w:rFonts w:ascii="Times New Roman" w:hAnsi="Times New Roman" w:cs="Times New Roman"/>
          <w:sz w:val="24"/>
          <w:szCs w:val="24"/>
        </w:rPr>
        <w:fldChar w:fldCharType="separate"/>
      </w:r>
      <w:r w:rsidR="00195C5A" w:rsidRPr="00195C5A">
        <w:rPr>
          <w:rFonts w:ascii="Times New Roman" w:hAnsi="Times New Roman" w:cs="Times New Roman"/>
          <w:noProof/>
          <w:sz w:val="24"/>
          <w:szCs w:val="24"/>
        </w:rPr>
        <w:t>[20]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In cancer, downregulation of NME3 is generally associated with poor prognosis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{"citationItems":[{"id":"ITEM-1","itemData":{"DOI":"10.1158/1541-7786.MCR-17-0603","ISSN":"1541-7786","PMID":"29523766","abstract":"Bacterial flagellin is a potent activator of NFκB signaling, inflammation, and host innate immunity, and recent data indicate that flagellin represents a novel antitumor ligand acting through toll-like receptor 5 (TLR5) and the NFκB pathway to induce host immunity and aid in the clearance of tumor xenografts. To identify innate signaling components of TLR5 responsible for these antitumor effects, a loss-of-function high-throughput screen was employed utilizing carcinoma cells expressing a dynamic NFκB bioluminescent reporter stimulated by Salmonella typhimurium expressing flagellin. A live cell screen of a siRNA library targeting 691 known and predicted human kinases to identify novel tumor cell modulators of TLR5-induced NFκB activation uncovered several interesting positive and negative candidate regulators not previously recognized, including nucleoside diphosphate kinase 3 (NME3), characterized as an enhancer of signaling responses to flagellin. Targeted knockdown and overexpression assays confirmed the regulatory contribution of NME3 to TLR5-mediated NFκB signaling, mechanistically downstream of MyD88. Furthermore, Kaplan–Meier survival analysis showed that NME3 expression correlated highly with TLR5 expression in breast, lung, ovarian, and gastric cancers, and furthermore, high-level expression of NME3 increased overall survival for patients with breast, lung, and ovarian cancer, but the opposite in gastric cancer. Together, these data identify a previously unrecognized proinflammatory role for NME3 in signaling downstream of TLR5 that may potentiate cancer immunotherapies.","author":[{"dropping-particle":"","family":"Flentie","given":"Kelly","non-dropping-particle":"","parse-names":false,"suffix":""},{"dropping-particle":"","family":"Gonzalez","given":"Caleb","non-dropping-particle":"","parse-names":false,"suffix":""},{"dropping-particle":"","family":"Kocher","given":"Brandon","non-dropping-particle":"","parse-names":false,"suffix":""},{"dropping-particle":"","family":"Wang","given":"Yue","non-dropping-particle":"","parse-names":false,"suffix":""},{"dropping-particle":"","family":"Zhu","given":"Hongtu","non-dropping-particle":"","parse-names":false,"suffix":""},{"dropping-particle":"","family":"Marasa","given":"Jayne","non-dropping-particle":"","parse-names":false,"suffix":""},{"dropping-particle":"","family":"Piwnica-Worms","given":"David","non-dropping-particle":"","parse-names":false,"suffix":""}],"container-title":"Molecular Cancer Research","id":"ITEM-1","issue":"6","issued":{"date-parts":[["2018","6","1"]]},"page":"986-999","title":"Nucleoside Diphosphate Kinase-3 ( NME3 ) Enhances TLR5-Induced NF κ B Activation","type":"article-journal","volume":"16"},"uris":["http://www.mendeley.com/documents/?uuid=053f68d3-ff74-4e73-a3dd-54bea10a46e0"]}],"mendeley":{"formattedCitation":"[93]","plainTextFormattedCitation":"[93]","previouslyFormattedCitation":"[93]"},"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096B7A7B" w14:textId="3356855F"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NME4 is the only member of the human NME family to display a N-terminal </w:t>
      </w:r>
      <w:r w:rsidR="00AA0ACF" w:rsidRPr="002E26D2">
        <w:rPr>
          <w:rFonts w:ascii="Times New Roman" w:hAnsi="Times New Roman" w:cs="Times New Roman"/>
          <w:sz w:val="24"/>
          <w:szCs w:val="24"/>
        </w:rPr>
        <w:t>MTS</w:t>
      </w:r>
      <w:r w:rsidRPr="002E26D2">
        <w:rPr>
          <w:rFonts w:ascii="Times New Roman" w:hAnsi="Times New Roman" w:cs="Times New Roman"/>
          <w:sz w:val="24"/>
          <w:szCs w:val="24"/>
        </w:rPr>
        <w:t xml:space="preserve">. This typical sequence helps the protein’s entry to the mitochondria, and is cleaved after protein import. The shorter, mature NME4 binds cardiolipins of the MIM, and is either facing the IMS or the matrix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{"citationItems":[{"id":"ITEM-1","itemData":{"DOI":"10.1074/jbc.M803132200","ISSN":"00219258","abstract":"Nucleoside diphosphate kinase (NDPK/Nm23), responsible for intracellular di- and triphosphonucleoside homeostasis, plays multiple roles in cellular energetics, signaling, proliferation, differentiation and tumor invasion. The only human NDPK with a mitochondrial targeting sequence is NDPK-D, the NME4 gene product, which is a peripheral protein of mitochondrial membranes. Subfractionation of rat liver and HEK 293 cell mitochondria revealed that NDPK-D is essentially bound to the inner membrane. Surface plasmon resonance analysis of the interaction using recombinant NDPK-D and model liposomes showed that NDPK-D interacts electrostatically with anionic phospholipids, with highest affinity observed for cardiolipin. Mutation of the central arginine (Arg-90) in a surface-exposed basic RRK motif unique to NDPK-D strongly reduced interaction with anionic phospholipids. Due to its symmetrical hexameric structure, NDPK-D was able to cross-link anionic phospholipid-containing liposomes, suggesting that NDPK-D could promote intermembrane contacts. Latency assays with isolated mitochondria and antibody binding to mitoplasts indicated a dual orientation for NDPK-D. In HeLa cells, stable expression of wild type but not of the R90D mutant led to membrane-bound enzyme in vivo. Respiration was significantly stimulated by the NDPK substrate TDP in mitochondria containing wild-type NDPK-D, but not in those expressing the R90D mutant, which is catalytically equally active. This indicates local ADP regeneration in the mitochondrial intermembrane space and a tight functional coupling of NDPK-D with oxidative phosphorylation that depends on its membrane-bound state. © 2008 by The American Society for Biochemistry and Molecular Biology, Inc.","author":[{"dropping-particle":"","family":"Tokarska-Schlattner","given":"Malgorzata","non-dropping-particle":"","parse-names":false,"suffix":""},{"dropping-particle":"","family":"Boissan","given":"Mathieu","non-dropping-particle":"","parse-names":false,"suffix":""},{"dropping-particle":"","family":"Munier","given":"Annie","non-dropping-particle":"","parse-names":false,"suffix":""},{"dropping-particle":"","family":"Borot","given":"Caroline","non-dropping-particle":"","parse-names":false,"suffix":""},{"dropping-particle":"","family":"Mailleau","given":"Christiane","non-dropping-particle":"","parse-names":false,"suffix":""},{"dropping-particle":"","family":"Speer","given":"Oliver","non-dropping-particle":"","parse-names":false,"suffix":""},{"dropping-particle":"","family":"Schlattner","given":"Uwe","non-dropping-particle":"","parse-names":false,"suffix":""},{"dropping-particle":"","family":"Lacombe","given":"Marie-Lise","non-dropping-particle":"","parse-names":false,"suffix":""}],"container-title":"Journal of Biological Chemistry","id":"ITEM-1","issue":"38","issued":{"date-parts":[["2008","9","19"]]},"page":"26198-26207","title":"The Nucleoside Diphosphate Kinase D (NM23-H4) Binds the Inner Mitochondrial Membrane with High Affinity to Cardiolipin and Couples Nucleotide Transfer with Respiration","type":"article-journal","volume":"283"},"uris":["http://www.mendeley.com/documents/?uuid=7aeaf41c-4e80-495d-a071-2a968eb7e6c2"]}],"mendeley":{"formattedCitation":"[94]","plainTextFormattedCitation":"[94]","previouslyFormattedCitation":"[94]"},"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NME4 was shown to interact with OPA1 in the IMS, thus affecting mitochondrial fusion and dynamics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{"citationItems":[{"id":"ITEM-1","itemData":{"DOI":"10.1126/science.1253768","ISSN":"0036-8075","PMID":"24970086","abstract":"Cell membranes are very flexible and easily molded to shape; however, to physically pinch off a membrane vesicle from a membrane tube still requires power. A type of molecular machine known as dynamin is involved in this sort of membrane remodeling. Dynamins use guanosine triphosphate (GTP) rather than the more commonly used cellular energy source adenosine triphosphate to work. Boissan et al. now show that two separate dynamins found in the cytoplasm or the mitochondria both use the same sort of enzyme—nucleoside diphosphate kinases—to provide GTP at just the right time and the right place to power membrane fission.","author":[{"dropping-particle":"","family":"Boissan","given":"Mathieu","non-dropping-particle":"","parse-names":false,"suffix":""},{"dropping-particle":"","family":"Montagnac","given":"Guillaume","non-dropping-particle":"","parse-names":false,"suffix":""},{"dropping-particle":"","family":"Shen","given":"Qinfang","non-dropping-particle":"","parse-names":false,"suffix":""},{"dropping-particle":"","family":"Griparic","given":"Lorena","non-dropping-particle":"","parse-names":false,"suffix":""},{"dropping-particle":"","family":"Guitton","given":"Jérôme","non-dropping-particle":"","parse-names":false,"suffix":""},{"dropping-particle":"","family":"Romao","given":"Maryse","non-dropping-particle":"","parse-names":false,"suffix":""},{"dropping-particle":"","family":"Sauvonnet","given":"Nathalie","non-dropping-particle":"","parse-names":false,"suffix":""},{"dropping-particle":"","family":"Lagache","given":"Thibault","non-dropping-particle":"","parse-names":false,"suffix":""},{"dropping-particle":"","family":"Lascu","given":"Ioan","non-dropping-particle":"","parse-names":false,"suffix":""},{"dropping-particle":"","family":"Raposo","given":"Graça","non-dropping-particle":"","parse-names":false,"suffix":""},{"dropping-particle":"","family":"Desbourdes","given":"Céline","non-dropping-particle":"","parse-names":false,"suffix":""},{"dropping-particle":"","family":"Schlattner","given":"Uwe","non-dropping-particle":"","parse-names":false,"suffix":""},{"dropping-particle":"","family":"Lacombe","given":"Marie-Lise","non-dropping-particle":"","parse-names":false,"suffix":""},{"dropping-particle":"","family":"Polo","given":"Simona","non-dropping-particle":"","parse-names":false,"suffix":""},{"dropping-particle":"","family":"Bliek","given":"Alexander M.","non-dropping-particle":"van der","parse-names":false,"suffix":""},{"dropping-particle":"","family":"Roux","given":"Aurélien","non-dropping-particle":"","parse-names":false,"suffix":""},{"dropping-particle":"","family":"Chavrier","given":"Philippe","non-dropping-particle":"","parse-names":false,"suffix":""}],"container-title":"Science","id":"ITEM-1","issue":"6191","issued":{"date-parts":[["2014","6","27"]]},"page":"1510-1515","title":"Nucleoside diphosphate kinases fuel dynamin superfamily proteins with GTP for membrane remodeling","type":"article-journal","volume":"344"},"uris":["http://www.mendeley.com/documents/?uuid=5df83e63-a512-48cd-8919-ba80ea9075cf"]},{"id":"ITEM-2","itemData":{"DOI":"10.1038/s41374-017-0004-5","ISSN":"0023-6837","abstract":"Mitochondrial nucleoside diphosphate kinase (NDPK-D; synonyms: NME4, NM23-H4) represents the major mitochondrial NDP kinase. The homohexameric complex emerged as a protein with multiple functions in bioenergetics and phospholipid signaling. It occurs at different but precise mitochondrial locations and can affect among other mitochondrial shapes and dynamics, as well as the specific elimination of defective mitochondria or cells via mitophagy or apoptosis. With these various functions in cell homeostasis, NDPK-D/NME4 adds to the group of so-called moonlighting (or gene sharing) proteins.","author":[{"dropping-particle":"","family":"Lacombe","given":"Marie-Lise","non-dropping-particle":"","parse-names":false,"suffix":""},{"dropping-particle":"","family":"Tokarska-Schlattner","given":"Malgorzata","non-dropping-particle":"","parse-names":false,"suffix":""},{"dropping-particle":"","family":"Boissan","given":"Mathieu","non-dropping-particle":"","parse-names":false,"suffix":""},{"dropping-particle":"","family":"Schlattner","given":"Uwe","non-dropping-particle":"","parse-names":false,"suffix":""}],"container-title":"Laboratory Investigation","id":"ITEM-2","issue":"5","issued":{"date-parts":[["2018","5","28"]]},"page":"582-588","title":"The mitochondrial nucleoside diphosphate kinase (NDPK-D/NME4), a moonlighting protein for cell homeostasis","type":"article-journal","volume":"98"},"uris":["http://www.mendeley.com/documents/?uuid=4b8172eb-5948-4422-a0de-3c009d16cb2c"]}],"mendeley":{"formattedCitation":"[5,18]","plainTextFormattedCitation":"[5,18]","previouslyFormattedCitation":"[5,18]"},"properties":{"noteIndex":0},"schema":"https://github.com/citation-style-language/schema/raw/master/csl-citation.json"}</w:instrText>
      </w:r>
      <w:r w:rsidRPr="002E26D2">
        <w:rPr>
          <w:rFonts w:ascii="Times New Roman" w:hAnsi="Times New Roman" w:cs="Times New Roman"/>
          <w:sz w:val="24"/>
          <w:szCs w:val="24"/>
        </w:rPr>
        <w:fldChar w:fldCharType="separate"/>
      </w:r>
      <w:r w:rsidR="00936168" w:rsidRPr="00936168">
        <w:rPr>
          <w:rFonts w:ascii="Times New Roman" w:hAnsi="Times New Roman" w:cs="Times New Roman"/>
          <w:noProof/>
          <w:sz w:val="24"/>
          <w:szCs w:val="24"/>
        </w:rPr>
        <w:t>[5,18]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It was also shown to transfer the cardiolipin between MIM and MOM, thus triggering apoptosis or mitophagy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{"citationItems":[{"id":"ITEM-1","itemData":{"DOI":"10.1074/jbc.M112.408633","ISSN":"00219258","abstract":"The nucleoside diphosphate kinase Nm23-H4/NDPK-D forms symmetrical hexameric complexes in the mitochondrial intermembrane space with phosphotransfer activity using mitochondrial ATP to regenerate nucleoside triphosphates. We demonstrate the complex formation between Nm23-H4 and mitochondrial GTPase OPA1 in rat liver, suggesting its involvement in local and direct GTP delivery. Similar to OPA1, Nm23-H4 is further known to strongly bind in vitro to anionic phospholipids, mainly cardiolipin, and in vivo to the inner mitochondrial membrane. We show here that such protein-lipid complexes inhibit nucleoside diphosphate kinase activity but are necessary for another function of Nm23-H4, selective intermembrane lipid transfer. Mitochondrial lipid distribution was analyzed by liquid chromatography-mass spectrometry using HeLa cells expressing either wild-type Nm23-H4 or a membrane binding-deficient mutant at a site predicted based on molecular modeling to be crucial for cardiolipin binding and transfer mechanism. We found that wild type, but not the mutant enzyme, selectively increased the content of cardiolipin in the outer mitochondrial membrane, but the distribution of other more abundant phospholipids ( e.g. phosphatidylcholine) remained unchanged. HeLa cells expressing the wild-type enzyme showed increased accumulation of Bax in mitochondria and were sensitized to rotenone-induced apoptosis as revealed by stimulated release of cytochrome c into the cytosol, elevated caspase 3/7 activity, and increased annexin V binding. Based on these data and molecular modeling, we propose that Nm23-H4 acts as a lipid-dependent mitochondrial switch with dual function in phosphotransfer serving local GTP supply and cardiolipin transfer for apoptotic signaling and putative other functions. © 2013 by The American Society for Biochemistry and Molecular Biology, Inc.","author":[{"dropping-particle":"","family":"Schlattner","given":"Uwe","non-dropping-particle":"","parse-names":false,"suffix":""},{"dropping-particle":"","family":"Tokarska-Schlattner","given":"Malgorzata","non-dropping-particle":"","parse-names":false,"suffix":""},{"dropping-particle":"","family":"Ramirez","given":"Sacnicte","non-dropping-particle":"","parse-names":false,"suffix":""},{"dropping-particle":"","family":"Tyurina","given":"Yulia Y.","non-dropping-particle":"","parse-names":false,"suffix":""},{"dropping-particle":"","family":"Amoscato","given":"Andrew A.","non-dropping-particle":"","parse-names":false,"suffix":""},{"dropping-particle":"","family":"Mohammadyani","given":"Dariush","non-dropping-particle":"","parse-names":false,"suffix":""},{"dropping-particle":"","family":"Huang","given":"Zhentai","non-dropping-particle":"","parse-names":false,"suffix":""},{"dropping-particle":"","family":"Jiang","given":"Jianfei","non-dropping-particle":"","parse-names":false,"suffix":""},{"dropping-particle":"","family":"Yanamala","given":"Naveena","non-dropping-particle":"","parse-names":false,"suffix":""},{"dropping-particle":"","family":"Seffouh","given":"Amal","non-dropping-particle":"","parse-names":false,"suffix":""},{"dropping-particle":"","family":"Boissan","given":"Mathieu","non-dropping-particle":"","parse-names":false,"suffix":""},{"dropping-particle":"","family":"Epand","given":"Raquel F.","non-dropping-particle":"","parse-names":false,"suffix":""},{"dropping-particle":"","family":"Epand","given":"Richard M.","non-dropping-particle":"","parse-names":false,"suffix":""},{"dropping-particle":"","family":"Klein-Seetharaman","given":"Judith","non-dropping-particle":"","parse-names":false,"suffix":""},{"dropping-particle":"","family":"Lacombe","given":"Marie-Lise","non-dropping-particle":"","parse-names":false,"suffix":""},{"dropping-particle":"","family":"Kagan","given":"Valerian E.","non-dropping-particle":"","parse-names":false,"suffix":""}],"container-title":"Journal of Biological Chemistry","id":"ITEM-1","issue":"1","issued":{"date-parts":[["2013","1","4"]]},"page":"111-121","title":"Dual Function of Mitochondrial Nm23-H4 Protein in Phosphotransfer and Intermembrane Lipid Transfer","type":"article-journal","volume":"288"},"uris":["http://www.mendeley.com/documents/?uuid=c3b9aa8c-b39b-4b3c-ae5b-690550195785"]},{"id":"ITEM-2","itemData":{"DOI":"10.1038/cdd.2015.160","ISBN":"3347651421","ISSN":"1350-9047","abstract":"Mitophagy is critical for cell homeostasis. Externalization of the inner mitochondrial membrane phospholipid, cardiolipin (CL), to the surface of the outer mitochondrial membrane (OMM) was identified as a mitophageal signal recognized by the microtubule-associated protein 1 light chain 3. However, the CL-translocating machinery remains unknown. Here we demonstrate that a hexameric intermembrane space protein, NDPK-D (or NM23-H4), binds CL and facilitates its redistribution to the OMM. We found that mitophagy induced by a protonophoric uncoupler, carbonyl cyanide m-chlorophenylhydrazone (CCCP), caused externalization of CL to the surface of mitochondria in murine lung epithelial MLE-12 cells and human cervical adenocarcinoma HeLa cells. RNAi knockdown of endogenous NDPK-D decreased CCCP-induced CL externalization and mitochondrial degradation. A R90D NDPK-D mutant that does not bind CL was inactive in promoting mitophagy. Similarly, rotenone and 6-hydroxydopamine triggered mitophagy in SH-SY5Y cells was also suppressed by knocking down of NDPK-D. In situ proximity ligation assay (PLA) showed that mitophagy-inducing CL-transfer activity of NDPK-D is closely associated with the dynamin-like GTPase OPA1, implicating fission-fusion dynamics in mitophagy regulation.","author":[{"dropping-particle":"","family":"Kagan","given":"V E","non-dropping-particle":"","parse-names":false,"suffix":""},{"dropping-particle":"","family":"Jiang","given":"J","non-dropping-particle":"","parse-names":false,"suffix":""},{"dropping-particle":"","family":"Huang","given":"Z","non-dropping-particle":"","parse-names":false,"suffix":""},{"dropping-particle":"","family":"Tyurina","given":"Y Y","non-dropping-particle":"","parse-names":false,"suffix":""},{"dropping-particle":"","family":"Desbourdes","given":"C","non-dropping-particle":"","parse-names":false,"suffix":""},{"dropping-particle":"","family":"Cottet-Rousselle","given":"C","non-dropping-particle":"","parse-names":false,"suffix":""},{"dropping-particle":"","family":"Dar","given":"H H","non-dropping-particle":"","parse-names":false,"suffix":""},{"dropping-particle":"","family":"Verma","given":"M","non-dropping-particle":"","parse-names":false,"suffix":""},{"dropping-particle":"","family":"Tyurin","given":"V A","non-dropping-particle":"","parse-names":false,"suffix":""},{"dropping-particle":"","family":"Kapralov","given":"A A","non-dropping-particle":"","parse-names":false,"suffix":""},{"dropping-particle":"","family":"Cheikhi","given":"A","non-dropping-particle":"","parse-names":false,"suffix":""},{"dropping-particle":"","family":"Mao","given":"G","non-dropping-particle":"","parse-names":false,"suffix":""},{"dropping-particle":"","family":"Stolz","given":"D","non-dropping-particle":"","parse-names":false,"suffix":""},{"dropping-particle":"","family":"Croix","given":"C M","non-dropping-particle":"St.","parse-names":false,"suffix":""},{"dropping-particle":"","family":"Watkins","given":"S","non-dropping-particle":"","parse-names":false,"suffix":""},{"dropping-particle":"","family":"Shen","given":"Z","non-dropping-particle":"","parse-names":false,"suffix":""},{"dropping-particle":"","family":"Li","given":"Y","non-dropping-particle":"","parse-names":false,"suffix":""},{"dropping-particle":"","family":"Greenberg","given":"M L","non-dropping-particle":"","parse-names":false,"suffix":""},{"dropping-particle":"","family":"Tokarska-Schlattner","given":"M","non-dropping-particle":"","parse-names":false,"suffix":""},{"dropping-particle":"","family":"Boissan","given":"M","non-dropping-particle":"","parse-names":false,"suffix":""},{"dropping-particle":"","family":"Lacombe","given":"M-L","non-dropping-particle":"","parse-names":false,"suffix":""},{"dropping-particle":"","family":"Epand","given":"R M","non-dropping-particle":"","parse-names":false,"suffix":""},{"dropping-particle":"","family":"Chu","given":"C T","non-dropping-particle":"","parse-names":false,"suffix":""},{"dropping-particle":"","family":"Mallampalli","given":"R K","non-dropping-particle":"","parse-names":false,"suffix":""},{"dropping-particle":"","family":"Bayır","given":"H","non-dropping-particle":"","parse-names":false,"suffix":""},{"dropping-particle":"","family":"Schlattner","given":"U","non-dropping-particle":"","parse-names":false,"suffix":""}],"container-title":"Cell Death &amp; Differentiation","id":"ITEM-2","issue":"7","issued":{"date-parts":[["2016","7","8"]]},"page":"1140-1151","title":"NDPK-D (NM23-H4)-mediated externalization of cardiolipin enables elimination of depolarized mitochondria by mitophagy","type":"article-journal","volume":"23"},"uris":["http://www.mendeley.com/documents/?uuid=66d2ba43-3fe2-3dbf-991a-347a161a5455"]}],"mendeley":{"formattedCitation":"[95,96]","plainTextFormattedCitation":"[95,96]","previouslyFormattedCitation":"[95,96]"},"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[95,96]</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More recently, NME4 was demonstrated as a </w:t>
      </w:r>
      <w:r w:rsidRPr="002E26D2">
        <w:rPr>
          <w:rFonts w:ascii="Times New Roman" w:hAnsi="Times New Roman" w:cs="Times New Roman"/>
          <w:sz w:val="24"/>
          <w:szCs w:val="24"/>
        </w:rPr>
        <w:lastRenderedPageBreak/>
        <w:t>novel metastasis suppressor gene, w</w:t>
      </w:r>
      <w:r w:rsidR="00C44198">
        <w:rPr>
          <w:rFonts w:ascii="Times New Roman" w:hAnsi="Times New Roman" w:cs="Times New Roman"/>
          <w:sz w:val="24"/>
          <w:szCs w:val="24"/>
        </w:rPr>
        <w:t>h</w:t>
      </w:r>
      <w:r w:rsidRPr="002E26D2">
        <w:rPr>
          <w:rFonts w:ascii="Times New Roman" w:hAnsi="Times New Roman" w:cs="Times New Roman"/>
          <w:sz w:val="24"/>
          <w:szCs w:val="24"/>
        </w:rPr>
        <w:t xml:space="preserve">ere the NME4 mutations or the NME4 depletion increased epithelial-mesenchymal transition, but also migratory and invasive potential of human cells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{"citationItems":[{"id":"ITEM-1","itemData":{"DOI":"10.1186/s12915-021-01155-5","ISSN":"1741-7007","PMID":"34674701","abstract":"Background: Mitochondrial nucleoside diphosphate kinase (NDPK-D, NME4, NM23-H4) is a multifunctional enzyme mainly localized in the intermembrane space, bound to the inner membrane. Results: We constructed loss-of-function mutants of NDPK-D, lacking either NDP kinase activity or membrane interaction and expressed mutants or wild-type protein in cancer cells. In a complementary approach, we performed depletion of NDPK-D by RNA interference. Both loss-of-function mutations and NDPK-D depletion promoted epithelial-mesenchymal transition and increased migratory and invasive potential. Immunocompromised mice developed more metastases when injected with cells expressing mutant NDPK-D as compared to wild-type. This metastatic reprogramming is a consequence of mitochondrial alterations, including fragmentation and loss of mitochondria, a metabolic switch from respiration to glycolysis, increased ROS generation, and further metabolic changes in mitochondria, all of which can trigger pro-metastatic protein expression and signaling cascades. In human cancer, NME4 expression is negatively associated with markers of epithelial-mesenchymal transition and tumor aggressiveness and a good prognosis factor for beneficial clinical outcome. Conclusions: These data demonstrate NME4 as a novel metastasis suppressor gene, the first localizing to mitochondria, pointing to a role of mitochondria in metastatic dissemination.","author":[{"dropping-particle":"","family":"Lacombe","given":"Marie-Lise","non-dropping-particle":"","parse-names":false,"suffix":""},{"dropping-particle":"","family":"Lamarche","given":"Frederic","non-dropping-particle":"","parse-names":false,"suffix":""},{"dropping-particle":"","family":"Wever","given":"Olivier","non-dropping-particle":"De","parse-names":false,"suffix":""},{"dropping-particle":"","family":"Padilla-Benavides","given":"Teresita","non-dropping-particle":"","parse-names":false,"suffix":""},{"dropping-particle":"","family":"Carlson","given":"Alyssa","non-dropping-particle":"","parse-names":false,"suffix":""},{"dropping-particle":"","family":"Khan","given":"Imran","non-dropping-particle":"","parse-names":false,"suffix":""},{"dropping-particle":"","family":"Huna","given":"Anda","non-dropping-particle":"","parse-names":false,"suffix":""},{"dropping-particle":"","family":"Vacher","given":"Sophie","non-dropping-particle":"","parse-names":false,"suffix":""},{"dropping-particle":"","family":"Calmel","given":"Claire","non-dropping-particle":"","parse-names":false,"suffix":""},{"dropping-particle":"","family":"Desbourdes","given":"Céline","non-dropping-particle":"","parse-names":false,"suffix":""},{"dropping-particle":"","family":"Cottet-Rousselle","given":"Cécile","non-dropping-particle":"","parse-names":false,"suffix":""},{"dropping-particle":"","family":"Hininger-Favier","given":"Isabelle","non-dropping-particle":"","parse-names":false,"suffix":""},{"dropping-particle":"","family":"Attia","given":"Stéphane","non-dropping-particle":"","parse-names":false,"suffix":""},{"dropping-particle":"","family":"Nawrocki-Raby","given":"Béatrice","non-dropping-particle":"","parse-names":false,"suffix":""},{"dropping-particle":"","family":"Raingeaud","given":"Joël","non-dropping-particle":"","parse-names":false,"suffix":""},{"dropping-particle":"","family":"Machon","given":"Christelle","non-dropping-particle":"","parse-names":false,"suffix":""},{"dropping-particle":"","family":"Guitton","given":"Jérôme","non-dropping-particle":"","parse-names":false,"suffix":""},{"dropping-particle":"","family":"Gall","given":"Morgane","non-dropping-particle":"Le","parse-names":false,"suffix":""},{"dropping-particle":"","family":"Clary","given":"Guilhem","non-dropping-particle":"","parse-names":false,"suffix":""},{"dropping-particle":"","family":"Broussard","given":"Cedric","non-dropping-particle":"","parse-names":false,"suffix":""},{"dropping-particle":"","family":"Chafey","given":"Philippe","non-dropping-particle":"","parse-names":false,"suffix":""},{"dropping-particle":"","family":"Thérond","given":"Patrice","non-dropping-particle":"","parse-names":false,"suffix":""},{"dropping-particle":"","family":"Bernard","given":"David","non-dropping-particle":"","parse-names":false,"suffix":""},{"dropping-particle":"","family":"Fontaine","given":"Eric","non-dropping-particle":"","parse-names":false,"suffix":""},{"dropping-particle":"","family":"Tokarska-Schlattner","given":"Malgorzata","non-dropping-particle":"","parse-names":false,"suffix":""},{"dropping-particle":"","family":"Steeg","given":"Patricia","non-dropping-particle":"","parse-names":false,"suffix":""},{"dropping-particle":"","family":"Bièche","given":"Ivan","non-dropping-particle":"","parse-names":false,"suffix":""},{"dropping-particle":"","family":"Schlattner","given":"Uwe","non-dropping-particle":"","parse-names":false,"suffix":""},{"dropping-particle":"","family":"Boissan","given":"Mathieu","non-dropping-particle":"","parse-names":false,"suffix":""}],"container-title":"BMC Biology","id":"ITEM-1","issue":"1","issued":{"date-parts":[["2021","12","21"]]},"page":"228","publisher":"BioMed Central","title":"The mitochondrially-localized nucleoside diphosphate kinase D (NME4) is a novel metastasis suppressor","type":"article-journal","volume":"19"},"uris":["http://www.mendeley.com/documents/?uuid=e809cd37-2f5d-4217-a775-cb788b046c5f"]}],"mendeley":{"formattedCitation":"[97]","plainTextFormattedCitation":"[97]","previouslyFormattedCitation":"[97]"},"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In cancer, high NME4 expression in generally associated with good prognosis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{"citationItems":[{"id":"ITEM-1","itemData":{"DOI":"10.1186/s12915-021-01155-5","ISSN":"1741-7007","PMID":"34674701","abstract":"Background: Mitochondrial nucleoside diphosphate kinase (NDPK-D, NME4, NM23-H4) is a multifunctional enzyme mainly localized in the intermembrane space, bound to the inner membrane. Results: We constructed loss-of-function mutants of NDPK-D, lacking either NDP kinase activity or membrane interaction and expressed mutants or wild-type protein in cancer cells. In a complementary approach, we performed depletion of NDPK-D by RNA interference. Both loss-of-function mutations and NDPK-D depletion promoted epithelial-mesenchymal transition and increased migratory and invasive potential. Immunocompromised mice developed more metastases when injected with cells expressing mutant NDPK-D as compared to wild-type. This metastatic reprogramming is a consequence of mitochondrial alterations, including fragmentation and loss of mitochondria, a metabolic switch from respiration to glycolysis, increased ROS generation, and further metabolic changes in mitochondria, all of which can trigger pro-metastatic protein expression and signaling cascades. In human cancer, NME4 expression is negatively associated with markers of epithelial-mesenchymal transition and tumor aggressiveness and a good prognosis factor for beneficial clinical outcome. Conclusions: These data demonstrate NME4 as a novel metastasis suppressor gene, the first localizing to mitochondria, pointing to a role of mitochondria in metastatic dissemination.","author":[{"dropping-particle":"","family":"Lacombe","given":"Marie-Lise","non-dropping-particle":"","parse-names":false,"suffix":""},{"dropping-particle":"","family":"Lamarche","given":"Frederic","non-dropping-particle":"","parse-names":false,"suffix":""},{"dropping-particle":"","family":"Wever","given":"Olivier","non-dropping-particle":"De","parse-names":false,"suffix":""},{"dropping-particle":"","family":"Padilla-Benavides","given":"Teresita","non-dropping-particle":"","parse-names":false,"suffix":""},{"dropping-particle":"","family":"Carlson","given":"Alyssa","non-dropping-particle":"","parse-names":false,"suffix":""},{"dropping-particle":"","family":"Khan","given":"Imran","non-dropping-particle":"","parse-names":false,"suffix":""},{"dropping-particle":"","family":"Huna","given":"Anda","non-dropping-particle":"","parse-names":false,"suffix":""},{"dropping-particle":"","family":"Vacher","given":"Sophie","non-dropping-particle":"","parse-names":false,"suffix":""},{"dropping-particle":"","family":"Calmel","given":"Claire","non-dropping-particle":"","parse-names":false,"suffix":""},{"dropping-particle":"","family":"Desbourdes","given":"Céline","non-dropping-particle":"","parse-names":false,"suffix":""},{"dropping-particle":"","family":"Cottet-Rousselle","given":"Cécile","non-dropping-particle":"","parse-names":false,"suffix":""},{"dropping-particle":"","family":"Hininger-Favier","given":"Isabelle","non-dropping-particle":"","parse-names":false,"suffix":""},{"dropping-particle":"","family":"Attia","given":"Stéphane","non-dropping-particle":"","parse-names":false,"suffix":""},{"dropping-particle":"","family":"Nawrocki-Raby","given":"Béatrice","non-dropping-particle":"","parse-names":false,"suffix":""},{"dropping-particle":"","family":"Raingeaud","given":"Joël","non-dropping-particle":"","parse-names":false,"suffix":""},{"dropping-particle":"","family":"Machon","given":"Christelle","non-dropping-particle":"","parse-names":false,"suffix":""},{"dropping-particle":"","family":"Guitton","given":"Jérôme","non-dropping-particle":"","parse-names":false,"suffix":""},{"dropping-particle":"","family":"Gall","given":"Morgane","non-dropping-particle":"Le","parse-names":false,"suffix":""},{"dropping-particle":"","family":"Clary","given":"Guilhem","non-dropping-particle":"","parse-names":false,"suffix":""},{"dropping-particle":"","family":"Broussard","given":"Cedric","non-dropping-particle":"","parse-names":false,"suffix":""},{"dropping-particle":"","family":"Chafey","given":"Philippe","non-dropping-particle":"","parse-names":false,"suffix":""},{"dropping-particle":"","family":"Thérond","given":"Patrice","non-dropping-particle":"","parse-names":false,"suffix":""},{"dropping-particle":"","family":"Bernard","given":"David","non-dropping-particle":"","parse-names":false,"suffix":""},{"dropping-particle":"","family":"Fontaine","given":"Eric","non-dropping-particle":"","parse-names":false,"suffix":""},{"dropping-particle":"","family":"Tokarska-Schlattner","given":"Malgorzata","non-dropping-particle":"","parse-names":false,"suffix":""},{"dropping-particle":"","family":"Steeg","given":"Patricia","non-dropping-particle":"","parse-names":false,"suffix":""},{"dropping-particle":"","family":"Bièche","given":"Ivan","non-dropping-particle":"","parse-names":false,"suffix":""},{"dropping-particle":"","family":"Schlattner","given":"Uwe","non-dropping-particle":"","parse-names":false,"suffix":""},{"dropping-particle":"","family":"Boissan","given":"Mathieu","non-dropping-particle":"","parse-names":false,"suffix":""}],"container-title":"BMC Biology","id":"ITEM-1","issue":"1","issued":{"date-parts":[["2021","12","21"]]},"page":"228","publisher":"BioMed Central","title":"The mitochondrially-localized nucleoside diphosphate kinase D (NME4) is a novel metastasis suppressor","type":"article-journal","volume":"19"},"uris":["http://www.mendeley.com/documents/?uuid=e809cd37-2f5d-4217-a775-cb788b046c5f"]}],"mendeley":{"formattedCitation":"[97]","plainTextFormattedCitation":"[97]","previouslyFormattedCitation":"[97]"},"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7B466EB0" w14:textId="6253254E"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To this date Group II members </w:t>
      </w:r>
      <w:r w:rsidR="00444439">
        <w:rPr>
          <w:rFonts w:ascii="Times New Roman" w:hAnsi="Times New Roman" w:cs="Times New Roman"/>
          <w:sz w:val="24"/>
          <w:szCs w:val="24"/>
        </w:rPr>
        <w:t>are</w:t>
      </w:r>
      <w:r w:rsidRPr="002E26D2">
        <w:rPr>
          <w:rFonts w:ascii="Times New Roman" w:hAnsi="Times New Roman" w:cs="Times New Roman"/>
          <w:sz w:val="24"/>
          <w:szCs w:val="24"/>
        </w:rPr>
        <w:t xml:space="preserve"> scarcely studied and thus poorly described. The human NME5 expression seems to be tissue dependent, as it </w:t>
      </w:r>
      <w:r w:rsidR="00552484" w:rsidRPr="002E26D2">
        <w:rPr>
          <w:rFonts w:ascii="Times New Roman" w:hAnsi="Times New Roman" w:cs="Times New Roman"/>
          <w:sz w:val="24"/>
          <w:szCs w:val="24"/>
        </w:rPr>
        <w:t>was</w:t>
      </w:r>
      <w:r w:rsidRPr="002E26D2">
        <w:rPr>
          <w:rFonts w:ascii="Times New Roman" w:hAnsi="Times New Roman" w:cs="Times New Roman"/>
          <w:sz w:val="24"/>
          <w:szCs w:val="24"/>
        </w:rPr>
        <w:t xml:space="preserve"> almost exclusively found in testis </w:t>
      </w:r>
      <w:r w:rsidRPr="002E26D2">
        <w:rPr>
          <w:rFonts w:ascii="Times New Roman" w:hAnsi="Times New Roman" w:cs="Times New Roman"/>
          <w:sz w:val="24"/>
          <w:szCs w:val="24"/>
        </w:rPr>
        <w:fldChar w:fldCharType="begin" w:fldLock="1"/>
      </w:r>
      <w:r w:rsidR="00936168">
        <w:rPr>
          <w:rFonts w:ascii="Times New Roman" w:hAnsi="Times New Roman" w:cs="Times New Roman"/>
          <w:sz w:val="24"/>
          <w:szCs w:val="24"/>
        </w:rPr>
        <w:instrText>ADDIN CSL_CITATION {"citationItems":[{"id":"ITEM-1","itemData":{"DOI":"10.1016/S0014-5793(98)00996-X","ISSN":"00145793","PMID":"9742940","abstract":"We have identified a cDNA encoding a 212 amino acid protein (Nm23-H5) with 27-31% identity to the human members of the nm23/nucleoside diphosphate (NDP) kinase gene family. The nm23-H5 gene is located on chromosome 5q23-31 and is transcribed as one main transcript of 1.1 kb which is highly and specifically expressed in testis, in the spermatogonia and early spermatocytes. Nm23-H5 possesses most of the residues conserved among NDP kinases plus an additional COOH-terminus end of 55 amino acids unique to this protein. However, under usual assay conditions, Nm23-H5 expressed in Escherichia coli did not exhibit NDP kinase activity. These results suggest that Nm23-H5 is specifically involved in early stages of spermatogenesis.","author":[{"dropping-particle":"","family":"Munier","given":"Annie","non-dropping-particle":"","parse-names":false,"suffix":""},{"dropping-particle":"","family":"Feral","given":"Chloé","non-dropping-particle":"","parse-names":false,"suffix":""},{"dropping-particle":"","family":"Milon","given":"Laurence","non-dropping-particle":"","parse-names":false,"suffix":""},{"dropping-particle":"","family":"Pinon","given":"Véronique Phung-Ba","non-dropping-particle":"","parse-names":false,"suffix":""},{"dropping-particle":"","family":"Gyapay","given":"Gabor","non-dropping-particle":"","parse-names":false,"suffix":""},{"dropping-particle":"","family":"Capeau","given":"Jacqueline","non-dropping-particle":"","parse-names":false,"suffix":""},{"dropping-particle":"","family":"Guellaen","given":"Georges","non-dropping-particle":"","parse-names":false,"suffix":""},{"dropping-particle":"","family":"Lacombe","given":"Marie-Lise","non-dropping-particle":"","parse-names":false,"suffix":""}],"container-title":"FEBS Letters","id":"ITEM-1","issue":"3","issued":{"date-parts":[["1998","9","4"]]},"page":"289-294","title":"A new human nm23 homologue ( nm23 -H5) specifically expressed in testis germinal cells","type":"article-journal","volume":"434"},"uris":["http://www.mendeley.com/documents/?uuid=69c68b35-41d3-47e6-85ad-4e3c73d8ab88"]}],"mendeley":{"formattedCitation":"[11]","plainTextFormattedCitation":"[11]","previouslyFormattedCitation":"[11]"},"properties":{"noteIndex":0},"schema":"https://github.com/citation-style-language/schema/raw/master/csl-citation.json"}</w:instrText>
      </w:r>
      <w:r w:rsidRPr="002E26D2">
        <w:rPr>
          <w:rFonts w:ascii="Times New Roman" w:hAnsi="Times New Roman" w:cs="Times New Roman"/>
          <w:sz w:val="24"/>
          <w:szCs w:val="24"/>
        </w:rPr>
        <w:fldChar w:fldCharType="separate"/>
      </w:r>
      <w:r w:rsidR="00263086" w:rsidRPr="00263086">
        <w:rPr>
          <w:rFonts w:ascii="Times New Roman" w:hAnsi="Times New Roman" w:cs="Times New Roman"/>
          <w:noProof/>
          <w:sz w:val="24"/>
          <w:szCs w:val="24"/>
        </w:rPr>
        <w:t>[11]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protein display</w:t>
      </w:r>
      <w:r w:rsidR="00424FD6" w:rsidRPr="002E26D2">
        <w:rPr>
          <w:rFonts w:ascii="Times New Roman" w:hAnsi="Times New Roman" w:cs="Times New Roman"/>
          <w:sz w:val="24"/>
          <w:szCs w:val="24"/>
        </w:rPr>
        <w:t>s</w:t>
      </w:r>
      <w:r w:rsidRPr="002E26D2">
        <w:rPr>
          <w:rFonts w:ascii="Times New Roman" w:hAnsi="Times New Roman" w:cs="Times New Roman"/>
          <w:sz w:val="24"/>
          <w:szCs w:val="24"/>
        </w:rPr>
        <w:t xml:space="preserve"> a NDPK domain and a DPY-30 domain of generally unknown function. Its NDPK domain conserved most of the residues important for enzymatic activity. However, NME5 </w:t>
      </w:r>
      <w:r w:rsidR="00552484" w:rsidRPr="002E26D2">
        <w:rPr>
          <w:rFonts w:ascii="Times New Roman" w:hAnsi="Times New Roman" w:cs="Times New Roman"/>
          <w:sz w:val="24"/>
          <w:szCs w:val="24"/>
        </w:rPr>
        <w:t>is lacking</w:t>
      </w:r>
      <w:r w:rsidRPr="002E26D2">
        <w:rPr>
          <w:rFonts w:ascii="Times New Roman" w:hAnsi="Times New Roman" w:cs="Times New Roman"/>
          <w:sz w:val="24"/>
          <w:szCs w:val="24"/>
        </w:rPr>
        <w:t xml:space="preserve"> measurable NDPK activity probably due to a three amino acid insertion in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as compared to NME1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{"citationItems":[{"id":"ITEM-1","itemData":{"DOI":"10.1023/a:1005584929050","ISSN":"0145-479X","PMID":"11768308","abstract":"Biochemical experiments over the past 40 years have shown that nucleoside diphosphate (NDP) kinase activity, which catalyzes phosphoryl transfer from a nucleoside triphosphate to a nucleoside diphosphate, is ubiquitously found in organisms from bacteria to human. Over the past 10 years, eight human genes of the nm23/NDP kinase family have been discovered that can be separated into two groups based on analysis of their sequences. In addition to catalysis, which may not be exhibited by all isoforms, evidence for regulatory roles has come recently from the discovery of the genes nm23 and awd, which encode NDP kinases and are involved in tumor metastasis and Drosophila development, respectively. Current work shows that the human NDP kinase genes are differentially expressed in tissues and that their products are targeted to different subcellular locations. This suggests that Nm23/NDP kinases possess different, but specific, functions within the cell, depending on their localization. The roles of NDP kinases in metabolic pathways and nucleic acid synthesis are discussed.","author":[{"dropping-particle":"","family":"Lacombe","given":"M L","non-dropping-particle":"","parse-names":false,"suffix":""},{"dropping-particle":"","family":"Milon","given":"Laurence","non-dropping-particle":"","parse-names":false,"suffix":""},{"dropping-particle":"","family":"Munier","given":"Annie","non-dropping-particle":"","parse-names":false,"suffix":""},{"dropping-particle":"","family":"Mehus","given":"James G","non-dropping-particle":"","parse-names":false,"suffix":""},{"dropping-particle":"","family":"Lambeth","given":"David O","non-dropping-particle":"","parse-names":false,"suffix":""}],"container-title":"Journal of bioenergetics and biomembranes","id":"ITEM-1","issue":"3","issued":{"date-parts":[["2000","6"]]},"page":"247-58","title":"The human Nm23/nucleoside diphosphate kinases.","type":"article-journal","volume":"32"},"uris":["http://www.mendeley.com/documents/?uuid=f9ae4260-d5d4-476b-84a1-1984f7d6d1ac"]}],"mendeley":{"formattedCitation":"[98]","plainTextFormattedCitation":"[98]","previouslyFormattedCitation":"[98]"},"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Lately, the protein was associated with motile cilia function, when a homozygous mutation of NME5 was found as the cause of primary ciliary dyskinesia in human patients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{"citationItems":[{"id":"ITEM-1","itemData":{"DOI":"10.1111/cge.13742","ISSN":"1399-0004","PMID":"32185794","abstract":"Primary ciliary dyskinesia (PCD) is a genetically heterogeneous disorder characterized by defects in the function or structure of motitle cilia. In most cases, causative variants result in axonemal dynein arm anomalies, however, PCD due to radial spoke (RS) and central pair (CP) of microtubules has been rarely reported. To identify the molecular basis of PCD characterized by RS/CP defects, we performed whole exome sequencing in PCD patients with RS/CP defects. We identified a homozygous nonsense variant (c.572G&gt;A; p.Trp191*) in NME5, which encodes a protein component of the RS neck, in one PCD patient with situs solitus. Morpholino knockdown of nme5 in zebrafish embryos resulted in motile cilia defects with phenotypes compatible with ciliopathy. This is the first study to show NME5 as a PCD-causative gene in humans. Our findings indicate that NME5 screening should be considered for PCD patients with RS/CP defects.","author":[{"dropping-particle":"","family":"Cho","given":"Eun Hye","non-dropping-particle":"","parse-names":false,"suffix":""},{"dropping-particle":"","family":"Huh","given":"Hee Jae","non-dropping-particle":"","parse-names":false,"suffix":""},{"dropping-particle":"","family":"Jeong","given":"Inyoung","non-dropping-particle":"","parse-names":false,"suffix":""},{"dropping-particle":"","family":"Lee","given":"Nam Yong","non-dropping-particle":"","parse-names":false,"suffix":""},{"dropping-particle":"","family":"Koh","given":"Won‐Jung","non-dropping-particle":"","parse-names":false,"suffix":""},{"dropping-particle":"","family":"Park","given":"Hae‐Chul","non-dropping-particle":"","parse-names":false,"suffix":""},{"dropping-particle":"","family":"Ki","given":"Chang‐Seok","non-dropping-particle":"","parse-names":false,"suffix":""}],"container-title":"Clinical genetics","id":"ITEM-1","issue":"1","issued":{"date-parts":[["2020","7","25"]]},"page":"64-68","publisher":"Clin Genet","title":"A nonsense variant in NME5 causes human primary ciliary dyskinesia with radial spoke defects.","type":"article-journal","volume":"98"},"uris":["http://www.mendeley.com/documents/?uuid=ff3c1af2-e5f9-37f6-8f14-c4dc84df2252"]}],"mendeley":{"formattedCitation":"[99]","plainTextFormattedCitation":"[99]","previouslyFormattedCitation":"[99]"},"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58114402" w14:textId="32825105"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NME7 displays one DM10 domain in the N-terminal, followed by two NDPK domains. As described for NME5, both NDPK domains of NME7 show a three amino acid insertion in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compared to NME1. The protein is devoid of NDPK activity </w:t>
      </w:r>
      <w:r w:rsidRPr="002E26D2">
        <w:rPr>
          <w:rFonts w:ascii="Times New Roman" w:hAnsi="Times New Roman" w:cs="Times New Roman"/>
          <w:sz w:val="24"/>
          <w:szCs w:val="24"/>
        </w:rPr>
        <w:fldChar w:fldCharType="begin" w:fldLock="1"/>
      </w:r>
      <w:r w:rsidR="00F85225">
        <w:rPr>
          <w:rFonts w:ascii="Times New Roman" w:hAnsi="Times New Roman" w:cs="Times New Roman"/>
          <w:sz w:val="24"/>
          <w:szCs w:val="24"/>
        </w:rPr>
        <w:instrText>ADDIN CSL_CITATION {"citationItems":[{"id":"ITEM-1","itemData":{"DOI":"10.1021/bi0515974","ISBN":"6176321972","ISSN":"0006-2960","PMID":"16313181","abstract":"Nucleoside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P.","non-dropping-particle":"","parse-names":false,"suffix":""}],"container-title":"Biochemistry","id":"ITEM-1","issue":"48","issued":{"date-parts":[["2005","12","1"]]},"page":"15774-15786","title":"Characterization of the 3‘ → 5‘ Exonuclease Activity Found in Human Nucleoside Diphosphate Kinase 1 (NDK1) and Several of Its Homologues","type":"article-journal","volume":"44"},"uris":["http://www.mendeley.com/documents/?uuid=d08e4b91-7cb9-4360-83cb-d2ba4f733d59"]}],"mendeley":{"formattedCitation":"[6]","plainTextFormattedCitation":"[6]","previouslyFormattedCitation":"[6]"},"properties":{"noteIndex":0},"schema":"https://github.com/citation-style-language/schema/raw/master/csl-citation.json"}</w:instrText>
      </w:r>
      <w:r w:rsidRPr="002E26D2">
        <w:rPr>
          <w:rFonts w:ascii="Times New Roman" w:hAnsi="Times New Roman" w:cs="Times New Roman"/>
          <w:sz w:val="24"/>
          <w:szCs w:val="24"/>
        </w:rPr>
        <w:fldChar w:fldCharType="separate"/>
      </w:r>
      <w:r w:rsidR="003A7CED" w:rsidRPr="003A7CED">
        <w:rPr>
          <w:rFonts w:ascii="Times New Roman" w:hAnsi="Times New Roman" w:cs="Times New Roman"/>
          <w:noProof/>
          <w:sz w:val="24"/>
          <w:szCs w:val="24"/>
        </w:rPr>
        <w:t>[6]</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Recently, two impressive cryo-electron microscopy studies resolving structures of the ciliary doublet of microtubules revealed the presence of NME7</w:t>
      </w:r>
      <w:r w:rsidR="0091214E">
        <w:rPr>
          <w:rFonts w:ascii="Times New Roman" w:hAnsi="Times New Roman" w:cs="Times New Roman"/>
          <w:sz w:val="24"/>
          <w:szCs w:val="24"/>
        </w:rPr>
        <w:t xml:space="preserve"> (bovine)</w:t>
      </w:r>
      <w:r w:rsidRPr="002E26D2">
        <w:rPr>
          <w:rFonts w:ascii="Times New Roman" w:hAnsi="Times New Roman" w:cs="Times New Roman"/>
          <w:sz w:val="24"/>
          <w:szCs w:val="24"/>
        </w:rPr>
        <w:t xml:space="preserve"> and its homologue FAP67</w:t>
      </w:r>
      <w:r w:rsidR="0091214E">
        <w:rPr>
          <w:rFonts w:ascii="Times New Roman" w:hAnsi="Times New Roman" w:cs="Times New Roman"/>
          <w:sz w:val="24"/>
          <w:szCs w:val="24"/>
        </w:rPr>
        <w:t xml:space="preserve"> (</w:t>
      </w:r>
      <w:r w:rsidR="00B86A42" w:rsidRPr="004A05BC">
        <w:rPr>
          <w:rFonts w:ascii="Times New Roman" w:hAnsi="Times New Roman" w:cs="Times New Roman"/>
          <w:i/>
          <w:iCs/>
          <w:sz w:val="24"/>
          <w:szCs w:val="24"/>
        </w:rPr>
        <w:t>Chlamydomonas reinhardtii</w:t>
      </w:r>
      <w:r w:rsidR="0091214E">
        <w:rPr>
          <w:rFonts w:ascii="Times New Roman" w:hAnsi="Times New Roman" w:cs="Times New Roman"/>
          <w:sz w:val="24"/>
          <w:szCs w:val="24"/>
        </w:rPr>
        <w:t>)</w:t>
      </w:r>
      <w:r w:rsidRPr="002E26D2">
        <w:rPr>
          <w:rFonts w:ascii="Times New Roman" w:hAnsi="Times New Roman" w:cs="Times New Roman"/>
          <w:sz w:val="24"/>
          <w:szCs w:val="24"/>
        </w:rPr>
        <w:t xml:space="preserve"> within the microtubule. The protein interacts with microtubules through its DM10 domain, leaving the NDPK domains accessible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{"citationItems":[{"id":"ITEM-1","itemData":{"DOI":"10.1016/j.cell.2021.10.007","ISSN":"00928674","PMID":"34715025","abstract":"Dynein-decorated doublet microtubules (DMTs) are critical components of the oscillatory molecular machine of cilia, the axoneme, and have luminal surfaces patterned periodically by microtubule inner proteins (MIPs). Here we present an atomic model of the 48-nm repeat of a mammalian DMT, derived from a cryoelectron microscopy (cryo-EM) map of the complex isolated from bovine respiratory cilia. The structure uncovers principles of doublet microtubule organization and features specific to vertebrate cilia, including previously unknown MIPs, a luminal bundle of tektin filaments, and a pentameric dynein-docking complex. We identify a mechanism for bridging 48- to 24-nm periodicity across the microtubule wall and show that loss of the proteins involved causes defective ciliary motility and laterality abnormalities in zebrafish and mice. Our structure identifies candidate genes for diagnosis of ciliopathies and provides a framework to understand their functions in driving ciliary motility.","author":[{"dropping-particle":"","family":"Gui","given":"Miao","non-dropping-particle":"","parse-names":false,"suffix":""},{"dropping-particle":"","family":"Farley","given":"Hannah","non-dropping-particle":"","parse-names":false,"suffix":""},{"dropping-particle":"","family":"Anujan","given":"Priyanka","non-dropping-particle":"","parse-names":false,"suffix":""},{"dropping-particle":"","family":"Anderson","given":"Jacob R.","non-dropping-particle":"","parse-names":false,"suffix":""},{"dropping-particle":"","family":"Maxwell","given":"Dale W.","non-dropping-particle":"","parse-names":false,"suffix":""},{"dropping-particle":"","family":"Whitchurch","given":"Jonathan B.","non-dropping-particle":"","parse-names":false,"suffix":""},{"dropping-particle":"","family":"Botsch","given":"J. Josephine","non-dropping-particle":"","parse-names":false,"suffix":""},{"dropping-particle":"","family":"Qiu","given":"Tao","non-dropping-particle":"","parse-names":false,"suffix":""},{"dropping-particle":"","family":"Meleppattu","given":"Shimi","non-dropping-particle":"","parse-names":false,"suffix":""},{"dropping-particle":"","family":"Singh","given":"Sandeep K.","non-dropping-particle":"","parse-names":false,"suffix":""},{"dropping-particle":"","family":"Zhang","given":"Qi","non-dropping-particle":"","parse-names":false,"suffix":""},{"dropping-particle":"","family":"Thompson","given":"James","non-dropping-particle":"","parse-names":false,"suffix":""},{"dropping-particle":"","family":"Lucas","given":"Jane S.","non-dropping-particle":"","parse-names":false,"suffix":""},{"dropping-particle":"","family":"Bingle","given":"Colin D.","non-dropping-particle":"","parse-names":false,"suffix":""},{"dropping-particle":"","family":"Norris","given":"Dominic P.","non-dropping-particle":"","parse-names":false,"suffix":""},{"dropping-particle":"","family":"Roy","given":"Sudipto","non-dropping-particle":"","parse-names":false,"suffix":""},{"dropping-particle":"","family":"Brown","given":"Alan","non-dropping-particle":"","parse-names":false,"suffix":""}],"container-title":"Cell","id":"ITEM-1","issue":"23","issued":{"date-parts":[["2021","11","11"]]},"page":"5791-5806","publisher":"Cell Press","title":"De novo identification of mammalian ciliary motility proteins using cryo-EM","type":"article-journal","volume":"184"},"uris":["http://www.mendeley.com/documents/?uuid=fcc8718b-81d2-3cb8-b787-527aea6436ec"]},{"id":"ITEM-2","itemData":{"DOI":"10.1016/j.cell.2019.09.030","ISSN":"00928674","PMID":"31668805","abstract":"The axoneme of motile cilia is the largest macromolecular machine of eukaryotic cells. In humans, impaired axoneme function causes a range of ciliopathies. Axoneme assembly, structure, and motility require a radially arranged set of doublet microtubules, each decorated in repeating patterns with non-tubulin components. We use single-particle cryo-electron microscopy to visualize and build an atomic model of the repeating structure of a native axonemal doublet microtubule, which reveals the identities, positions, repeat lengths, and interactions of 38 associated proteins, including 33 microtubule inner proteins (MIPs). The structure demonstrates how these proteins establish the unique architecture of doublet microtubules, maintain coherent periodicities along the axoneme, and stabilize the microtubules against the repeated mechanical stress induced by ciliary motility. Our work elucidates the architectural principles that underpin the assembly of this large, repetitive eukaryotic structure and provides a molecular basis for understanding the etiology of human ciliopathies.","author":[{"dropping-particle":"","family":"Ma","given":"Meisheng","non-dropping-particle":"","parse-names":false,"suffix":""},{"dropping-particle":"","family":"Stoyanova","given":"Mihaela","non-dropping-particle":"","parse-names":false,"suffix":""},{"dropping-particle":"","family":"Rademacher","given":"Griffin","non-dropping-particle":"","parse-names":false,"suffix":""},{"dropping-particle":"","family":"Dutcher","given":"Susan K.","non-dropping-particle":"","parse-names":false,"suffix":""},{"dropping-particle":"","family":"Brown","given":"Alan","non-dropping-particle":"","parse-names":false,"suffix":""},{"dropping-particle":"","family":"Zhang","given":"Rui","non-dropping-particle":"","parse-names":false,"suffix":""}],"container-title":"Cell","id":"ITEM-2","issue":"4","issued":{"date-parts":[["2019","10","24"]]},"page":"909-922","publisher":"Cell Press","title":"Structure of the Decorated Ciliary Doublet Microtubule","type":"article-journal","volume":"179"},"uris":["http://www.mendeley.com/documents/?uuid=904662fa-3009-36a5-bb68-85dc71e73d80"]}],"mendeley":{"formattedCitation":"[22,100]","plainTextFormattedCitation":"[22,100]","previouslyFormattedCitation":"[22,100]"},"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[22,100]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296AD420" w14:textId="18644E64"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NME8 and NME9 are very similar since NME9 arose through duplication of NME8 </w:t>
      </w:r>
      <w:r w:rsidR="00424FD6" w:rsidRPr="002E26D2">
        <w:rPr>
          <w:rFonts w:ascii="Times New Roman" w:hAnsi="Times New Roman" w:cs="Times New Roman"/>
          <w:sz w:val="24"/>
          <w:szCs w:val="24"/>
        </w:rPr>
        <w:t xml:space="preserve">gene </w:t>
      </w:r>
      <w:r w:rsidRPr="002E26D2">
        <w:rPr>
          <w:rFonts w:ascii="Times New Roman" w:hAnsi="Times New Roman" w:cs="Times New Roman"/>
          <w:sz w:val="24"/>
          <w:szCs w:val="24"/>
        </w:rPr>
        <w:t xml:space="preserve">around the appearance of mammals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2E26D2">
        <w:rPr>
          <w:rFonts w:ascii="Times New Roman" w:hAnsi="Times New Roman" w:cs="Times New Roman"/>
          <w:sz w:val="24"/>
          <w:szCs w:val="24"/>
        </w:rPr>
        <w:fldChar w:fldCharType="separate"/>
      </w:r>
      <w:r w:rsidRPr="002E26D2">
        <w:rPr>
          <w:rFonts w:ascii="Times New Roman" w:hAnsi="Times New Roman" w:cs="Times New Roman"/>
          <w:noProof/>
          <w:sz w:val="24"/>
          <w:szCs w:val="24"/>
        </w:rPr>
        <w:t>[1]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They possess a thioredoxin domain and one or several NDPK domains. NME8 was shown to be involved in cilia motility, as NME5 and NME7. Mutation of NME8 </w:t>
      </w:r>
      <w:r w:rsidR="00424FD6" w:rsidRPr="002E26D2">
        <w:rPr>
          <w:rFonts w:ascii="Times New Roman" w:hAnsi="Times New Roman" w:cs="Times New Roman"/>
          <w:sz w:val="24"/>
          <w:szCs w:val="24"/>
        </w:rPr>
        <w:t>was</w:t>
      </w:r>
      <w:r w:rsidRPr="002E26D2">
        <w:rPr>
          <w:rFonts w:ascii="Times New Roman" w:hAnsi="Times New Roman" w:cs="Times New Roman"/>
          <w:sz w:val="24"/>
          <w:szCs w:val="24"/>
        </w:rPr>
        <w:t xml:space="preserve"> correlated with primary ciliary dyskinesia, left–right asymmetry randomization, and male infertility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{"citationItems":[{"id":"ITEM-1","itemData":{"DOI":"10.1073/pnas.0611405104","ISSN":"0027-8424","PMID":"17360648","abstract":"Thioredoxins belong to a large family of enzymatic proteins that function as general protein disulfide reductases, therefore participating in several cellular processes via redox-mediated reactions. So far, none of the 18 members of this family has been involved in human pathology. Here we identified TXNDC3 , which encodes a thioredoxin–nucleoside diphosphate kinase, as a gene implicated in primary ciliary dyskinesia (PCD), a genetic condition characterized by chronic respiratory tract infections, left–right asymmetry randomization, and male infertility. We show that the disease, which segregates as a recessive trait, results from the unusual combination of the following two transallelic defects: a nonsense mutation and a common intronic variant found in 1% of control chromosomes. This variant affects the ratio of two physiological TXNDC3 transcripts: the full-length isoform and a novel isoform, TXNDC3d7 , carrying an in-frame deletion of exon 7. In vivo and in vitro expression data unveiled the physiological importance of TXNDC3d7 (whose expression was reduced in the patient) and the corresponding protein that was shown to bind microtubules. PCD is known to result from defects of the axoneme, an organelle common to respiratory cilia, embryonic nodal cilia, and sperm flagella, containing dynein arms, with, to date, the implication of genes encoding dynein proteins. Our findings, which identify a another class of molecules involved in PCD, disclose the key role of TXNDC3 in ciliary function; they also point to an unusual mechanism underlying a Mendelian disorder, which is an SNP-induced modification of the ratio of two physiological isoforms generated by alternative splicing.","author":[{"dropping-particle":"","family":"Duriez","given":"Bénédicte","non-dropping-particle":"","parse-names":false,"suffix":""},{"dropping-particle":"","family":"Duquesnoy","given":"Philippe","non-dropping-particle":"","parse-names":false,"suffix":""},{"dropping-particle":"","family":"Escudier","given":"Estelle","non-dropping-particle":"","parse-names":false,"suffix":""},{"dropping-particle":"","family":"Bridoux","given":"Anne-Marie","non-dropping-particle":"","parse-names":false,"suffix":""},{"dropping-particle":"","family":"Escalier","given":"Denise","non-dropping-particle":"","parse-names":false,"suffix":""},{"dropping-particle":"","family":"Rayet","given":"Isabelle","non-dropping-particle":"","parse-names":false,"suffix":""},{"dropping-particle":"","family":"Marcos","given":"Elisabeth","non-dropping-particle":"","parse-names":false,"suffix":""},{"dropping-particle":"","family":"Vojtek","given":"Anne-Marie","non-dropping-particle":"","parse-names":false,"suffix":""},{"dropping-particle":"","family":"Bercher","given":"Jean-François","non-dropping-particle":"","parse-names":false,"suffix":""},{"dropping-particle":"","family":"Amselem","given":"Serge","non-dropping-particle":"","parse-names":false,"suffix":""}],"container-title":"Proceedings of the National Academy of Sciences","id":"ITEM-1","issue":"9","issued":{"date-parts":[["2007","2","27"]]},"page":"3336-3341","title":"A common variant in combination with a nonsense mutation in a member of the thioredoxin family causes primary ciliary dyskinesia","type":"article-journal","volume":"104"},"uris":["http://www.mendeley.com/documents/?uuid=57fb80a6-48b8-49cf-a004-2e74269a0d21"]}],"mendeley":{"formattedCitation":"[101]","plainTextFormattedCitation":"[101]","previouslyFormattedCitation":"[101]"},"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[101]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r w:rsidR="00756CD1">
        <w:rPr>
          <w:rFonts w:ascii="Times New Roman" w:hAnsi="Times New Roman" w:cs="Times New Roman"/>
          <w:sz w:val="24"/>
          <w:szCs w:val="24"/>
        </w:rPr>
        <w:t xml:space="preserve">NME9 was shown to associate with microtubule structures in lung and testis tissues </w:t>
      </w:r>
      <w:r w:rsidR="00756CD1">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{"citationItems":[{"id":"ITEM-1","itemData":{"DOI":"10.1074/jbc.M300369200","ISSN":"0021-9258","PMID":"12569107","abstract":"We describe here the cloning and characterization of a novel member of the thioredoxin family, thioredoxin-like protein 2 (Txl-2). The Txl-2 open reading frame codes for a protein of 330 amino acids consisting of two distinct domains: an N-terminal domain typical of thioredoxins and a C-terminal domain belonging to the nucleoside-diphosphate kinase family, separated by a small interface domain. The Txl-2 gene spans approximately 28 kb, is organized into 11 exons, and maps at locus 3q22.3-q23. A splicing variant lacking exon 5 (Delta 5Txl-2) has also been isolated. By quantitative real time PCR we demonstrate that Txl-2 mRNA is ubiquitously expressed, with testis and lung having the highest levels of expression. Unexpectedly, light and electron microscopy analyses show that the protein is associated with microtubular structures such as lung airway epithelium cilia and the manchette and axoneme of spermatids. Using in vitro translated proteins, we demonstrate that full-length Txl-2 weakly associates with microtubules. In contrast, Delta 5Txl-2 specifically binds with very high affinity brain microtubule preparations containing microtubule-binding proteins. Importantly, Delta 5Txl-2 also binds to pure microtubules, proving that it possesses intrinsic microtubule binding capability. Taken together, Delta 5Txl-2 is the first thioredoxin reported to bind microtubules and might therefore be a novel regulator of microtubule physiology.","author":[{"dropping-particle":"","family":"Sadek","given":"Christine M.","non-dropping-particle":"","parse-names":false,"suffix":""},{"dropping-particle":"","family":"Jiménez","given":"Alberto","non-dropping-particle":"","parse-names":false,"suffix":""},{"dropping-particle":"","family":"Damdimopoulos","given":"Anastasios E.","non-dropping-particle":"","parse-names":false,"suffix":""},{"dropping-particle":"","family":"Kieselbach","given":"Thomas","non-dropping-particle":"","parse-names":false,"suffix":""},{"dropping-particle":"","family":"Nord","given":"Magnus","non-dropping-particle":"","parse-names":false,"suffix":""},{"dropping-particle":"","family":"Gustafsson","given":"Jan-Ake","non-dropping-particle":"","parse-names":false,"suffix":""},{"dropping-particle":"","family":"Spyrou","given":"Giannis","non-dropping-particle":"","parse-names":false,"suffix":""},{"dropping-particle":"","family":"Davis","given":"Elaine C.","non-dropping-particle":"","parse-names":false,"suffix":""},{"dropping-particle":"","family":"Oko","given":"Richard","non-dropping-particle":"","parse-names":false,"suffix":""},{"dropping-particle":"","family":"Hoorn","given":"Frans A.","non-dropping-particle":"van der","parse-names":false,"suffix":""},{"dropping-particle":"","family":"Miranda-Vizuete","given":"Antonio","non-dropping-particle":"","parse-names":false,"suffix":""}],"container-title":"The Journal of biological chemistry","id":"ITEM-1","issue":"15","issued":{"date-parts":[["2003","4","11"]]},"page":"13133-42","publisher":"PMC Canada manuscript submission","title":"Characterization of human thioredoxin-like 2: A novel microtubule-binding thioredoxin expressed predominantly in the cilia of lung airway epithelium and spermatid manchette and axoneme.","type":"article-journal","volume":"278"},"uris":["http://www.mendeley.com/documents/?uuid=40ecff52-ed60-3cb5-8de1-fb474b6fed03"]}],"mendeley":{"formattedCitation":"[102]","plainTextFormattedCitation":"[102]","previouslyFormattedCitation":"[102]"},"properties":{"noteIndex":0},"schema":"https://github.com/citation-style-language/schema/raw/master/csl-citation.json"}</w:instrText>
      </w:r>
      <w:r w:rsidR="00756CD1">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[102]</w:t>
      </w:r>
      <w:r w:rsidR="00756CD1">
        <w:rPr>
          <w:rFonts w:ascii="Times New Roman" w:hAnsi="Times New Roman" w:cs="Times New Roman"/>
          <w:sz w:val="24"/>
          <w:szCs w:val="24"/>
        </w:rPr>
        <w:fldChar w:fldCharType="end"/>
      </w:r>
      <w:r w:rsidR="00756CD1">
        <w:rPr>
          <w:rFonts w:ascii="Times New Roman" w:hAnsi="Times New Roman" w:cs="Times New Roman"/>
          <w:sz w:val="24"/>
          <w:szCs w:val="24"/>
        </w:rPr>
        <w:t xml:space="preserve">. </w:t>
      </w:r>
      <w:r w:rsidR="0090212F">
        <w:rPr>
          <w:rFonts w:ascii="Times New Roman" w:hAnsi="Times New Roman" w:cs="Times New Roman"/>
          <w:sz w:val="24"/>
          <w:szCs w:val="24"/>
        </w:rPr>
        <w:t>Its</w:t>
      </w:r>
      <w:r w:rsidRPr="002E26D2">
        <w:rPr>
          <w:rFonts w:ascii="Times New Roman" w:hAnsi="Times New Roman" w:cs="Times New Roman"/>
          <w:sz w:val="24"/>
          <w:szCs w:val="24"/>
        </w:rPr>
        <w:t xml:space="preserve"> expression was recently associated with poor outcome in a specific type of lymphoma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{"citationItems":[{"id":"ITEM-1","itemData":{"DOI":"10.1155/2021/8026941","ISSN":"1942-0994","PMID":"33603952","abstract":"DLBCL is the most common type of non-Hodgkin lymphoma with a substantial group of patients suffering a poor prognosis. Therefore more specific markers are required for better understanding of disease biology and treatment. This study demonstrates that testis-specific antioxidant enzymes TXNDC2, TXNDC3, and TXNDC6 alongside oxidative stress marker 8-OHdG are expressed in both testicular and systemic DLBCL, and their presence or absence has correlations with clinical risk factors such as the number of extranodal effusion, the appearance of B-symptoms, and treatment response. Biopsy samples were collected from 28 systemic and 21 testicular male DLBCL patients. The samples were histostained with TXNDC2, TXNDC3, TXNDC6, and 8-OHdG, then graded by a hematopathologist blinded to clinical data. Immunoelectron microscopy was used as a second method to confirm the reliability of the acquired immunohistochemistry data. The absence of nuclear TXNDC2 expression in testicular DLBCL cells correlated with worse primary treatment response, cytoplasmic TXNDC3 expression in testicular and systemic DLBCL associated with lower frequency of B-symptoms, and TXNDC6 expression in cytoplasm in systemic DLBCL had a clinical significance with higher LD levels suggesting a role in the biological nature of these lymphomas. Overall, TXNDC3 cytoplasmic expression is correlated with a more positive outcome in both testicular and systemic DLBCL, while TXNDC6 cytoplasmic expression is associated with a negative outcome in systemic DLBCL.","author":[{"dropping-particle":"","family":"Chan","given":"Mikko C.","non-dropping-particle":"","parse-names":false,"suffix":""},{"dropping-particle":"","family":"Savela","given":"Janette","non-dropping-particle":"","parse-names":false,"suffix":""},{"dropping-particle":"","family":"Ollikainen","given":"Riina K.","non-dropping-particle":"","parse-names":false,"suffix":""},{"dropping-particle":"","family":"Teppo","given":"Hanna-Riikka","non-dropping-particle":"","parse-names":false,"suffix":""},{"dropping-particle":"","family":"Miinalainen","given":"Ilkka","non-dropping-particle":"","parse-names":false,"suffix":""},{"dropping-particle":"","family":"Pirinen","given":"Risto","non-dropping-particle":"","parse-names":false,"suffix":""},{"dropping-particle":"","family":"Kari","given":"Esa J. M.","non-dropping-particle":"","parse-names":false,"suffix":""},{"dropping-particle":"","family":"Kuitunen","given":"Hanne","non-dropping-particle":"","parse-names":false,"suffix":""},{"dropping-particle":"","family":"Turpeenniemi-Hujanen","given":"Taina","non-dropping-particle":"","parse-names":false,"suffix":""},{"dropping-particle":"","family":"Kuittinen","given":"Outi","non-dropping-particle":"","parse-names":false,"suffix":""},{"dropping-particle":"","family":"Kuusisto","given":"Milla E. L.","non-dropping-particle":"","parse-names":false,"suffix":""}],"container-title":"Oxidative medicine and cellular longevity","editor":[{"dropping-particle":"","family":"Mosca","given":"Luciana","non-dropping-particle":"","parse-names":false,"suffix":""}],"id":"ITEM-1","issued":{"date-parts":[["2021","2","1"]]},"page":"8026941","publisher":"Hindawi Limited","title":"Testis-Specific Thioredoxins TXNDC2, TXNDC3, and TXNDC6 Are Expressed in Both Testicular and Systemic DLBCL and Correlate with Clinical Disease Presentation.","type":"article-journal","volume":"2021"},"uris":["http://www.mendeley.com/documents/?uuid=6de577b7-82a0-3c14-8b92-0ec9a31eb2c2"]}],"mendeley":{"formattedCitation":"[103]","plainTextFormattedCitation":"[103]","previouslyFormattedCitation":"[103]"},"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[103]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02588979" w14:textId="28B8E58A" w:rsidR="00936E29" w:rsidRDefault="00936E29">
      <w:pPr>
        <w:rPr>
          <w:rFonts w:ascii="Times New Roman" w:hAnsi="Times New Roman" w:cs="Times New Roman"/>
          <w:b/>
          <w:sz w:val="24"/>
          <w:szCs w:val="24"/>
        </w:rPr>
      </w:pPr>
      <w:r>
        <w:rPr>
          <w:rFonts w:ascii="Times New Roman" w:hAnsi="Times New Roman" w:cs="Times New Roman"/>
          <w:b/>
          <w:sz w:val="24"/>
          <w:szCs w:val="24"/>
        </w:rPr>
        <w:br w:type="page"/>
      </w:r>
    </w:p>
    <w:p w14:paraId="199EA321" w14:textId="4DA9BC2B" w:rsidR="00AC4DFA" w:rsidRPr="00F836CB" w:rsidRDefault="003A674F" w:rsidP="004927BB">
      <w:pPr>
        <w:pStyle w:val="Heading2"/>
        <w:spacing w:line="360" w:lineRule="auto"/>
        <w:rPr>
          <w:rFonts w:cs="Times New Roman"/>
          <w:szCs w:val="28"/>
        </w:rPr>
      </w:pPr>
      <w:bookmarkStart w:id="50" w:name="_Toc117153832"/>
      <w:r w:rsidRPr="00F836CB">
        <w:rPr>
          <w:rFonts w:cs="Times New Roman"/>
          <w:szCs w:val="28"/>
        </w:rPr>
        <w:lastRenderedPageBreak/>
        <w:t>Human</w:t>
      </w:r>
      <w:r w:rsidR="00AC4DFA" w:rsidRPr="00F836CB">
        <w:rPr>
          <w:rFonts w:cs="Times New Roman"/>
          <w:szCs w:val="28"/>
        </w:rPr>
        <w:t xml:space="preserve"> NME6 </w:t>
      </w:r>
      <w:r w:rsidRPr="00F836CB">
        <w:rPr>
          <w:rFonts w:cs="Times New Roman"/>
          <w:szCs w:val="28"/>
        </w:rPr>
        <w:t>protein</w:t>
      </w:r>
      <w:bookmarkEnd w:id="50"/>
    </w:p>
    <w:p w14:paraId="75E4D6FE" w14:textId="26DAA926"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Similar to other Group II members, very few studies addressed NME6. The human gene/protein was first described in 1999 by two independent research groups. Mehus et al</w:t>
      </w:r>
      <w:r w:rsidR="008642CC">
        <w:rPr>
          <w:rFonts w:ascii="Times New Roman" w:hAnsi="Times New Roman" w:cs="Times New Roman"/>
          <w:sz w:val="24"/>
          <w:szCs w:val="24"/>
        </w:rPr>
        <w:t>.</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1C3E62">
        <w:rPr>
          <w:rFonts w:ascii="Times New Roman" w:hAnsi="Times New Roman" w:cs="Times New Roman"/>
          <w:sz w:val="24"/>
          <w:szCs w:val="24"/>
        </w:rPr>
        <w:instrText>ADDIN CSL_CITATION {"citationItems":[{"id":"ITEM-1","itemData":{"DOI":"10.1007/s004390050987","ISSN":"0340-6717","PMID":"10453732","abstract":"The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Genetics","id":"ITEM-1","issue":"6","issued":{"date-parts":[["1999","7","16"]]},"page":"454-459","title":"NME6: a new member of the nm23 /nucleoside diphosphate kinase gene family located on human chromosome 3p21.3","type":"article-journal","volume":"104"},"uris":["http://www.mendeley.com/documents/?uuid=1d07d158-8520-4451-a56d-a4c8f7d9a373"]}],"mendeley":{"formattedCitation":"[28]","plainTextFormattedCitation":"[28]","previouslyFormattedCitation":"[28]"},"properties":{"noteIndex":0},"schema":"https://github.com/citation-style-language/schema/raw/master/csl-citation.json"}</w:instrText>
      </w:r>
      <w:r w:rsidRPr="002E26D2">
        <w:rPr>
          <w:rFonts w:ascii="Times New Roman" w:hAnsi="Times New Roman" w:cs="Times New Roman"/>
          <w:sz w:val="24"/>
          <w:szCs w:val="24"/>
        </w:rPr>
        <w:fldChar w:fldCharType="separate"/>
      </w:r>
      <w:r w:rsidR="001C3E62" w:rsidRPr="001C3E62">
        <w:rPr>
          <w:rFonts w:ascii="Times New Roman" w:hAnsi="Times New Roman" w:cs="Times New Roman"/>
          <w:noProof/>
          <w:sz w:val="24"/>
          <w:szCs w:val="24"/>
        </w:rPr>
        <w:t>[28]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described the human NME6 gene located on the chromosome 3p21.3. They predicted a protein product of 186 amino acids, with a molecular mass of 21.142 kDa and a calculated </w:t>
      </w:r>
      <w:r w:rsidR="00690546" w:rsidRPr="002E26D2">
        <w:rPr>
          <w:rFonts w:ascii="Times New Roman" w:hAnsi="Times New Roman" w:cs="Times New Roman"/>
          <w:sz w:val="24"/>
          <w:szCs w:val="24"/>
        </w:rPr>
        <w:t>isoelectric point</w:t>
      </w:r>
      <w:r w:rsidRPr="002E26D2">
        <w:rPr>
          <w:rFonts w:ascii="Times New Roman" w:hAnsi="Times New Roman" w:cs="Times New Roman"/>
          <w:sz w:val="24"/>
          <w:szCs w:val="24"/>
        </w:rPr>
        <w:t xml:space="preserve"> of 8.5. By comparing the protein with NME1, the authors reported additional sequences at the N-termin</w:t>
      </w:r>
      <w:r w:rsidR="00DA7508">
        <w:rPr>
          <w:rFonts w:ascii="Times New Roman" w:hAnsi="Times New Roman" w:cs="Times New Roman"/>
          <w:sz w:val="24"/>
          <w:szCs w:val="24"/>
        </w:rPr>
        <w:t>us</w:t>
      </w:r>
      <w:r w:rsidRPr="002E26D2">
        <w:rPr>
          <w:rFonts w:ascii="Times New Roman" w:hAnsi="Times New Roman" w:cs="Times New Roman"/>
          <w:sz w:val="24"/>
          <w:szCs w:val="24"/>
        </w:rPr>
        <w:t xml:space="preserve"> (7 aa) and at the C-termin</w:t>
      </w:r>
      <w:r w:rsidR="00DA7508">
        <w:rPr>
          <w:rFonts w:ascii="Times New Roman" w:hAnsi="Times New Roman" w:cs="Times New Roman"/>
          <w:sz w:val="24"/>
          <w:szCs w:val="24"/>
        </w:rPr>
        <w:t>us</w:t>
      </w:r>
      <w:r w:rsidRPr="002E26D2">
        <w:rPr>
          <w:rFonts w:ascii="Times New Roman" w:hAnsi="Times New Roman" w:cs="Times New Roman"/>
          <w:sz w:val="24"/>
          <w:szCs w:val="24"/>
        </w:rPr>
        <w:t xml:space="preserve"> (22 aa) of NME6, an extra amino acid at the position L30 and a </w:t>
      </w:r>
      <w:r w:rsidR="008471E5">
        <w:rPr>
          <w:rFonts w:ascii="Times New Roman" w:hAnsi="Times New Roman" w:cs="Times New Roman"/>
          <w:sz w:val="24"/>
          <w:szCs w:val="24"/>
        </w:rPr>
        <w:t>3</w:t>
      </w:r>
      <w:r w:rsidRPr="002E26D2">
        <w:rPr>
          <w:rFonts w:ascii="Times New Roman" w:hAnsi="Times New Roman" w:cs="Times New Roman"/>
          <w:sz w:val="24"/>
          <w:szCs w:val="24"/>
        </w:rPr>
        <w:t xml:space="preserve"> amino acid insertion in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By semiquantitative RT-PCR followed by northern blot analysis, the group revealed that NME6 is expressed in every tissue studied, with a mRNA abundance considered as moderately low. They pinpointed that NME6 conserved all of the amino acids essential for enzymatic structure and activity, but mentioned that they were unable to measure NDPK activity from the recombinant protein</w:t>
      </w:r>
      <w:r w:rsidR="00DA7508">
        <w:rPr>
          <w:rFonts w:ascii="Times New Roman" w:hAnsi="Times New Roman" w:cs="Times New Roman"/>
          <w:sz w:val="24"/>
          <w:szCs w:val="24"/>
        </w:rPr>
        <w:t xml:space="preserve"> they produced</w:t>
      </w:r>
      <w:r w:rsidRPr="002E26D2">
        <w:rPr>
          <w:rFonts w:ascii="Times New Roman" w:hAnsi="Times New Roman" w:cs="Times New Roman"/>
          <w:sz w:val="24"/>
          <w:szCs w:val="24"/>
        </w:rPr>
        <w:t>. Tsuiki et al</w:t>
      </w:r>
      <w:r w:rsidR="008471E5">
        <w:rPr>
          <w:rFonts w:ascii="Times New Roman" w:hAnsi="Times New Roman" w:cs="Times New Roman"/>
          <w:sz w:val="24"/>
          <w:szCs w:val="24"/>
        </w:rPr>
        <w:t>.</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3B2CF6">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2E26D2">
        <w:rPr>
          <w:rFonts w:ascii="Times New Roman" w:hAnsi="Times New Roman" w:cs="Times New Roman"/>
          <w:sz w:val="24"/>
          <w:szCs w:val="24"/>
        </w:rPr>
        <w:fldChar w:fldCharType="separate"/>
      </w:r>
      <w:r w:rsidR="00F85225" w:rsidRPr="00F85225">
        <w:rPr>
          <w:rFonts w:ascii="Times New Roman" w:hAnsi="Times New Roman" w:cs="Times New Roman"/>
          <w:noProof/>
          <w:sz w:val="24"/>
          <w:szCs w:val="24"/>
        </w:rPr>
        <w:t>[8]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described the same gene found on the chromosome location 3p21.3. They predicted an NME6 protein of 194 aa, with 8 extra amino acid on </w:t>
      </w:r>
      <w:r w:rsidR="00DA7508">
        <w:rPr>
          <w:rFonts w:ascii="Times New Roman" w:hAnsi="Times New Roman" w:cs="Times New Roman"/>
          <w:sz w:val="24"/>
          <w:szCs w:val="24"/>
        </w:rPr>
        <w:t xml:space="preserve">the </w:t>
      </w:r>
      <w:r w:rsidRPr="002E26D2">
        <w:rPr>
          <w:rFonts w:ascii="Times New Roman" w:hAnsi="Times New Roman" w:cs="Times New Roman"/>
          <w:sz w:val="24"/>
          <w:szCs w:val="24"/>
        </w:rPr>
        <w:t>N-termin</w:t>
      </w:r>
      <w:r w:rsidR="00DA7508">
        <w:rPr>
          <w:rFonts w:ascii="Times New Roman" w:hAnsi="Times New Roman" w:cs="Times New Roman"/>
          <w:sz w:val="24"/>
          <w:szCs w:val="24"/>
        </w:rPr>
        <w:t>us</w:t>
      </w:r>
      <w:r w:rsidRPr="002E26D2">
        <w:rPr>
          <w:rFonts w:ascii="Times New Roman" w:hAnsi="Times New Roman" w:cs="Times New Roman"/>
          <w:sz w:val="24"/>
          <w:szCs w:val="24"/>
        </w:rPr>
        <w:t xml:space="preserve"> compared to the protein described by Mehus et al. By northern blot analysis, they showed that NME6 expression levels vary depending on human tissue or cell line studied, with the highest mRNA levels found in placenta, heart and skeletal muscles. A </w:t>
      </w:r>
      <w:r w:rsidR="00DD48B4">
        <w:rPr>
          <w:rFonts w:ascii="Times New Roman" w:hAnsi="Times New Roman" w:cs="Times New Roman"/>
          <w:sz w:val="24"/>
          <w:szCs w:val="24"/>
        </w:rPr>
        <w:t>W</w:t>
      </w:r>
      <w:r w:rsidRPr="002E26D2">
        <w:rPr>
          <w:rFonts w:ascii="Times New Roman" w:hAnsi="Times New Roman" w:cs="Times New Roman"/>
          <w:sz w:val="24"/>
          <w:szCs w:val="24"/>
        </w:rPr>
        <w:t>estern blot analysis of human cell lines revealed a single band when probed with NME6 antibody, with expression levels that can vary from one cell line to another. They tried to uncover the NDPK activity of their recombinant GST-NME6 by following a radioactive γ-phosphate along the NDPK ping-pong process. They described that GST-NME6 is able of autophosphorylation (</w:t>
      </w:r>
      <w:r w:rsidR="00196F5A">
        <w:rPr>
          <w:rFonts w:ascii="Times New Roman" w:hAnsi="Times New Roman" w:cs="Times New Roman"/>
          <w:sz w:val="24"/>
          <w:szCs w:val="24"/>
        </w:rPr>
        <w:t>“</w:t>
      </w:r>
      <w:r w:rsidRPr="002E26D2">
        <w:rPr>
          <w:rFonts w:ascii="Times New Roman" w:hAnsi="Times New Roman" w:cs="Times New Roman"/>
          <w:sz w:val="24"/>
          <w:szCs w:val="24"/>
        </w:rPr>
        <w:t>ping</w:t>
      </w:r>
      <w:r w:rsidR="00196F5A">
        <w:rPr>
          <w:rFonts w:ascii="Times New Roman" w:hAnsi="Times New Roman" w:cs="Times New Roman"/>
          <w:sz w:val="24"/>
          <w:szCs w:val="24"/>
        </w:rPr>
        <w:t>”</w:t>
      </w:r>
      <w:r w:rsidRPr="002E26D2">
        <w:rPr>
          <w:rFonts w:ascii="Times New Roman" w:hAnsi="Times New Roman" w:cs="Times New Roman"/>
          <w:sz w:val="24"/>
          <w:szCs w:val="24"/>
        </w:rPr>
        <w:t xml:space="preserve">), i.e. to transfer the γ-phosphate from an NTP to the main histidine of the NME6’s catalytic site. However, this autophosphorylation was very low, 30 time lower than the positive control GST-NME1. They further studied the ability of </w:t>
      </w:r>
      <w:r w:rsidR="008471E5">
        <w:rPr>
          <w:rFonts w:ascii="Times New Roman" w:hAnsi="Times New Roman" w:cs="Times New Roman"/>
          <w:sz w:val="24"/>
          <w:szCs w:val="24"/>
        </w:rPr>
        <w:t xml:space="preserve">the </w:t>
      </w:r>
      <w:r w:rsidRPr="002E26D2">
        <w:rPr>
          <w:rFonts w:ascii="Times New Roman" w:hAnsi="Times New Roman" w:cs="Times New Roman"/>
          <w:sz w:val="24"/>
          <w:szCs w:val="24"/>
        </w:rPr>
        <w:t>phosphorylated GST-NMEs to transfer their phosphate to a “cold” NDP (</w:t>
      </w:r>
      <w:r w:rsidR="008471E5">
        <w:rPr>
          <w:rFonts w:ascii="Times New Roman" w:hAnsi="Times New Roman" w:cs="Times New Roman"/>
          <w:sz w:val="24"/>
          <w:szCs w:val="24"/>
        </w:rPr>
        <w:t>“</w:t>
      </w:r>
      <w:r w:rsidRPr="002E26D2">
        <w:rPr>
          <w:rFonts w:ascii="Times New Roman" w:hAnsi="Times New Roman" w:cs="Times New Roman"/>
          <w:sz w:val="24"/>
          <w:szCs w:val="24"/>
        </w:rPr>
        <w:t>pong</w:t>
      </w:r>
      <w:r w:rsidR="008471E5">
        <w:rPr>
          <w:rFonts w:ascii="Times New Roman" w:hAnsi="Times New Roman" w:cs="Times New Roman"/>
          <w:sz w:val="24"/>
          <w:szCs w:val="24"/>
        </w:rPr>
        <w:t>”</w:t>
      </w:r>
      <w:r w:rsidRPr="002E26D2">
        <w:rPr>
          <w:rFonts w:ascii="Times New Roman" w:hAnsi="Times New Roman" w:cs="Times New Roman"/>
          <w:sz w:val="24"/>
          <w:szCs w:val="24"/>
        </w:rPr>
        <w:t xml:space="preserve">). They showed that both recombinant GST-NME6 and GST-NME1 were able to transfer their radioactive phosphate to NDP. By this unusual method, they argued that the human NME6 protein could display some NDPK activity. By immunocytochemistry and cell fractionation, they co-localized NME6 with mitochondria. Further, they showed that NME6 overexpression led to SAOS2 cells growth suppression, together with apparition of multinucleated cells due to mitosis failure. Later in 2005, Yoon </w:t>
      </w:r>
      <w:r w:rsidR="008471E5">
        <w:rPr>
          <w:rFonts w:ascii="Times New Roman" w:hAnsi="Times New Roman" w:cs="Times New Roman"/>
          <w:sz w:val="24"/>
          <w:szCs w:val="24"/>
        </w:rPr>
        <w:t>et al.</w:t>
      </w:r>
      <w:r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F85225">
        <w:rPr>
          <w:rFonts w:ascii="Times New Roman" w:hAnsi="Times New Roman" w:cs="Times New Roman"/>
          <w:sz w:val="24"/>
          <w:szCs w:val="24"/>
        </w:rPr>
        <w:instrText>ADDIN CSL_CITATION {"citationItems":[{"id":"ITEM-1","itemData":{"DOI":"10.1021/bi0515974","ISBN":"6176321972","ISSN":"0006-2960","PMID":"16313181","abstract":"Nucleoside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P.","non-dropping-particle":"","parse-names":false,"suffix":""}],"container-title":"Biochemistry","id":"ITEM-1","issue":"48","issued":{"date-parts":[["2005","12","1"]]},"page":"15774-15786","title":"Characterization of the 3‘ → 5‘ Exonuclease Activity Found in Human Nucleoside Diphosphate Kinase 1 (NDK1) and Several of Its Homologues","type":"article-journal","volume":"44"},"uris":["http://www.mendeley.com/documents/?uuid=d08e4b91-7cb9-4360-83cb-d2ba4f733d59"]}],"mendeley":{"formattedCitation":"[6]","plainTextFormattedCitation":"[6]","previouslyFormattedCitation":"[6]"},"properties":{"noteIndex":0},"schema":"https://github.com/citation-style-language/schema/raw/master/csl-citation.json"}</w:instrText>
      </w:r>
      <w:r w:rsidRPr="002E26D2">
        <w:rPr>
          <w:rFonts w:ascii="Times New Roman" w:hAnsi="Times New Roman" w:cs="Times New Roman"/>
          <w:sz w:val="24"/>
          <w:szCs w:val="24"/>
        </w:rPr>
        <w:fldChar w:fldCharType="separate"/>
      </w:r>
      <w:r w:rsidR="003A7CED" w:rsidRPr="003A7CED">
        <w:rPr>
          <w:rFonts w:ascii="Times New Roman" w:hAnsi="Times New Roman" w:cs="Times New Roman"/>
          <w:noProof/>
          <w:sz w:val="24"/>
          <w:szCs w:val="24"/>
        </w:rPr>
        <w:t>[6]</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aimed to describe</w:t>
      </w:r>
      <w:r w:rsidR="00980874" w:rsidRPr="002E26D2">
        <w:rPr>
          <w:rFonts w:ascii="Times New Roman" w:hAnsi="Times New Roman" w:cs="Times New Roman"/>
          <w:sz w:val="24"/>
          <w:szCs w:val="24"/>
        </w:rPr>
        <w:t xml:space="preserve"> the</w:t>
      </w:r>
      <w:r w:rsidRPr="002E26D2">
        <w:rPr>
          <w:rFonts w:ascii="Times New Roman" w:hAnsi="Times New Roman" w:cs="Times New Roman"/>
          <w:sz w:val="24"/>
          <w:szCs w:val="24"/>
        </w:rPr>
        <w:t xml:space="preserve"> enzymatic properties of human NME proteins (NME1 to NME8). In this attempt, they produced and analyzed a recombinant His-tagged NME6 protein of 194 aa. By studying the transfer of radioactive γ-phosphate from NTP to NME’s, they showed that NME6 was not able to autophosphorylate </w:t>
      </w:r>
      <w:r w:rsidRPr="002E26D2">
        <w:rPr>
          <w:rFonts w:ascii="Times New Roman" w:hAnsi="Times New Roman" w:cs="Times New Roman"/>
          <w:sz w:val="24"/>
          <w:szCs w:val="24"/>
        </w:rPr>
        <w:lastRenderedPageBreak/>
        <w:t>(</w:t>
      </w:r>
      <w:r w:rsidR="00196F5A">
        <w:rPr>
          <w:rFonts w:ascii="Times New Roman" w:hAnsi="Times New Roman" w:cs="Times New Roman"/>
          <w:sz w:val="24"/>
          <w:szCs w:val="24"/>
        </w:rPr>
        <w:t>“</w:t>
      </w:r>
      <w:r w:rsidRPr="002E26D2">
        <w:rPr>
          <w:rFonts w:ascii="Times New Roman" w:hAnsi="Times New Roman" w:cs="Times New Roman"/>
          <w:sz w:val="24"/>
          <w:szCs w:val="24"/>
        </w:rPr>
        <w:t>ping</w:t>
      </w:r>
      <w:r w:rsidR="00196F5A">
        <w:rPr>
          <w:rFonts w:ascii="Times New Roman" w:hAnsi="Times New Roman" w:cs="Times New Roman"/>
          <w:sz w:val="24"/>
          <w:szCs w:val="24"/>
        </w:rPr>
        <w:t>”</w:t>
      </w:r>
      <w:r w:rsidRPr="002E26D2">
        <w:rPr>
          <w:rFonts w:ascii="Times New Roman" w:hAnsi="Times New Roman" w:cs="Times New Roman"/>
          <w:sz w:val="24"/>
          <w:szCs w:val="24"/>
        </w:rPr>
        <w:t xml:space="preserve">). Similarly, the classical NDPK activity assay they performed revealed a lack of NDPK activity for NME6, while it was detectable for NME1, NME2 and NME4. Authors also studied the ability of NME’s to bind and cleave DNA through a 3’ 5’ exonuclease activity. While they found it for NME1, NME5, NME7 and NME8, such activity was absent from NME6 recombinant proteins. Altogether, the three main sources of information for the human NME6 protein </w:t>
      </w:r>
      <w:r w:rsidR="00B0294D" w:rsidRPr="002E26D2">
        <w:rPr>
          <w:rFonts w:ascii="Times New Roman" w:hAnsi="Times New Roman" w:cs="Times New Roman"/>
          <w:sz w:val="24"/>
          <w:szCs w:val="24"/>
        </w:rPr>
        <w:t>led</w:t>
      </w:r>
      <w:r w:rsidRPr="002E26D2">
        <w:rPr>
          <w:rFonts w:ascii="Times New Roman" w:hAnsi="Times New Roman" w:cs="Times New Roman"/>
          <w:sz w:val="24"/>
          <w:szCs w:val="24"/>
        </w:rPr>
        <w:t xml:space="preserve"> to contradictory results that are summarize</w:t>
      </w:r>
      <w:r w:rsidR="00B0294D">
        <w:rPr>
          <w:rFonts w:ascii="Times New Roman" w:hAnsi="Times New Roman" w:cs="Times New Roman"/>
          <w:sz w:val="24"/>
          <w:szCs w:val="24"/>
        </w:rPr>
        <w:t>d</w:t>
      </w:r>
      <w:r w:rsidRPr="002E26D2">
        <w:rPr>
          <w:rFonts w:ascii="Times New Roman" w:hAnsi="Times New Roman" w:cs="Times New Roman"/>
          <w:sz w:val="24"/>
          <w:szCs w:val="24"/>
        </w:rPr>
        <w:t xml:space="preserve"> in</w:t>
      </w:r>
      <w:r w:rsidR="005D2776" w:rsidRPr="002E26D2">
        <w:rPr>
          <w:rFonts w:ascii="Times New Roman" w:hAnsi="Times New Roman" w:cs="Times New Roman"/>
          <w:sz w:val="24"/>
          <w:szCs w:val="24"/>
        </w:rPr>
        <w:t xml:space="preserve"> </w:t>
      </w:r>
      <w:r w:rsidR="001A17BF" w:rsidRPr="002E26D2">
        <w:rPr>
          <w:rFonts w:ascii="Times New Roman" w:hAnsi="Times New Roman" w:cs="Times New Roman"/>
          <w:sz w:val="24"/>
          <w:szCs w:val="24"/>
        </w:rPr>
        <w:fldChar w:fldCharType="begin"/>
      </w:r>
      <w:r w:rsidR="001A17BF" w:rsidRPr="002E26D2">
        <w:rPr>
          <w:rFonts w:ascii="Times New Roman" w:hAnsi="Times New Roman" w:cs="Times New Roman"/>
          <w:sz w:val="24"/>
          <w:szCs w:val="24"/>
        </w:rPr>
        <w:instrText xml:space="preserve"> REF _Ref106008555 \h </w:instrText>
      </w:r>
      <w:r w:rsidR="002E26D2" w:rsidRPr="002E26D2">
        <w:rPr>
          <w:rFonts w:ascii="Times New Roman" w:hAnsi="Times New Roman" w:cs="Times New Roman"/>
          <w:sz w:val="24"/>
          <w:szCs w:val="24"/>
        </w:rPr>
        <w:instrText xml:space="preserve"> \* MERGEFORMAT </w:instrText>
      </w:r>
      <w:r w:rsidR="001A17BF" w:rsidRPr="002E26D2">
        <w:rPr>
          <w:rFonts w:ascii="Times New Roman" w:hAnsi="Times New Roman" w:cs="Times New Roman"/>
          <w:sz w:val="24"/>
          <w:szCs w:val="24"/>
        </w:rPr>
      </w:r>
      <w:r w:rsidR="001A17BF"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w:t>
      </w:r>
      <w:r w:rsidR="001A17BF"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11DD75D5" w14:textId="42BF92D7" w:rsidR="00AC1B79" w:rsidRPr="002E26D2" w:rsidRDefault="00AC1B79" w:rsidP="004927BB">
      <w:pPr>
        <w:pStyle w:val="Caption"/>
        <w:keepNext/>
        <w:spacing w:line="360" w:lineRule="auto"/>
        <w:rPr>
          <w:rFonts w:ascii="Times New Roman" w:hAnsi="Times New Roman" w:cs="Times New Roman"/>
          <w:sz w:val="24"/>
          <w:szCs w:val="24"/>
        </w:rPr>
      </w:pPr>
      <w:bookmarkStart w:id="51" w:name="_Ref106008555"/>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w:t>
      </w:r>
      <w:r w:rsidRPr="002E26D2">
        <w:rPr>
          <w:rFonts w:ascii="Times New Roman" w:hAnsi="Times New Roman" w:cs="Times New Roman"/>
          <w:sz w:val="24"/>
          <w:szCs w:val="24"/>
        </w:rPr>
        <w:fldChar w:fldCharType="end"/>
      </w:r>
      <w:bookmarkEnd w:id="51"/>
      <w:r w:rsidRPr="002E26D2">
        <w:rPr>
          <w:rFonts w:ascii="Times New Roman" w:hAnsi="Times New Roman" w:cs="Times New Roman"/>
          <w:sz w:val="24"/>
          <w:szCs w:val="24"/>
        </w:rPr>
        <w:t xml:space="preserve"> : Information summary from the three major publication</w:t>
      </w:r>
      <w:r w:rsidR="008471E5">
        <w:rPr>
          <w:rFonts w:ascii="Times New Roman" w:hAnsi="Times New Roman" w:cs="Times New Roman"/>
          <w:sz w:val="24"/>
          <w:szCs w:val="24"/>
        </w:rPr>
        <w:t>s</w:t>
      </w:r>
      <w:r w:rsidRPr="002E26D2">
        <w:rPr>
          <w:rFonts w:ascii="Times New Roman" w:hAnsi="Times New Roman" w:cs="Times New Roman"/>
          <w:sz w:val="24"/>
          <w:szCs w:val="24"/>
        </w:rPr>
        <w:t xml:space="preserve"> describing </w:t>
      </w:r>
      <w:r w:rsidR="008471E5">
        <w:rPr>
          <w:rFonts w:ascii="Times New Roman" w:hAnsi="Times New Roman" w:cs="Times New Roman"/>
          <w:sz w:val="24"/>
          <w:szCs w:val="24"/>
        </w:rPr>
        <w:t xml:space="preserve">the </w:t>
      </w:r>
      <w:r w:rsidRPr="002E26D2">
        <w:rPr>
          <w:rFonts w:ascii="Times New Roman" w:hAnsi="Times New Roman" w:cs="Times New Roman"/>
          <w:sz w:val="24"/>
          <w:szCs w:val="24"/>
        </w:rPr>
        <w:t>human NME6 protein</w:t>
      </w:r>
    </w:p>
    <w:tbl>
      <w:tblPr>
        <w:tblStyle w:val="TableGrid"/>
        <w:tblW w:w="0" w:type="auto"/>
        <w:tblLook w:val="04A0" w:firstRow="1" w:lastRow="0" w:firstColumn="1" w:lastColumn="0" w:noHBand="0" w:noVBand="1"/>
      </w:tblPr>
      <w:tblGrid>
        <w:gridCol w:w="3114"/>
        <w:gridCol w:w="1984"/>
        <w:gridCol w:w="2268"/>
        <w:gridCol w:w="1650"/>
      </w:tblGrid>
      <w:tr w:rsidR="00AC4DFA" w:rsidRPr="002E26D2" w14:paraId="71BEA548" w14:textId="77777777" w:rsidTr="001314D9">
        <w:tc>
          <w:tcPr>
            <w:tcW w:w="3114" w:type="dxa"/>
          </w:tcPr>
          <w:p w14:paraId="6718D358" w14:textId="206C30D1" w:rsidR="00AC4DFA" w:rsidRPr="002E26D2" w:rsidRDefault="00AC4DFA" w:rsidP="004927BB">
            <w:pPr>
              <w:spacing w:line="360" w:lineRule="auto"/>
              <w:jc w:val="both"/>
              <w:rPr>
                <w:rFonts w:ascii="Times New Roman" w:hAnsi="Times New Roman" w:cs="Times New Roman"/>
                <w:sz w:val="24"/>
                <w:szCs w:val="24"/>
              </w:rPr>
            </w:pPr>
          </w:p>
        </w:tc>
        <w:tc>
          <w:tcPr>
            <w:tcW w:w="1984" w:type="dxa"/>
          </w:tcPr>
          <w:p w14:paraId="3E70C796" w14:textId="70555BC7" w:rsidR="00AC4DFA" w:rsidRPr="002E26D2" w:rsidRDefault="00AC4DFA" w:rsidP="006431E5">
            <w:pPr>
              <w:spacing w:line="360" w:lineRule="auto"/>
              <w:jc w:val="center"/>
              <w:rPr>
                <w:rFonts w:ascii="Times New Roman" w:hAnsi="Times New Roman" w:cs="Times New Roman"/>
                <w:b/>
                <w:sz w:val="24"/>
                <w:szCs w:val="24"/>
              </w:rPr>
            </w:pPr>
            <w:r w:rsidRPr="002E26D2">
              <w:rPr>
                <w:rFonts w:ascii="Times New Roman" w:hAnsi="Times New Roman" w:cs="Times New Roman"/>
                <w:b/>
                <w:sz w:val="24"/>
                <w:szCs w:val="24"/>
              </w:rPr>
              <w:t xml:space="preserve">Mehus 1999 </w:t>
            </w:r>
            <w:r w:rsidRPr="002E26D2">
              <w:rPr>
                <w:rFonts w:ascii="Times New Roman" w:hAnsi="Times New Roman" w:cs="Times New Roman"/>
                <w:b/>
                <w:sz w:val="24"/>
                <w:szCs w:val="24"/>
              </w:rPr>
              <w:fldChar w:fldCharType="begin" w:fldLock="1"/>
            </w:r>
            <w:r w:rsidR="001C3E62">
              <w:rPr>
                <w:rFonts w:ascii="Times New Roman" w:hAnsi="Times New Roman" w:cs="Times New Roman"/>
                <w:b/>
                <w:sz w:val="24"/>
                <w:szCs w:val="24"/>
              </w:rPr>
              <w:instrText>ADDIN CSL_CITATION {"citationItems":[{"id":"ITEM-1","itemData":{"DOI":"10.1007/s004390050987","ISSN":"0340-6717","PMID":"10453732","abstract":"The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Genetics","id":"ITEM-1","issue":"6","issued":{"date-parts":[["1999","7","16"]]},"page":"454-459","title":"NME6: a new member of the nm23 /nucleoside diphosphate kinase gene family located on human chromosome 3p21.3","type":"article-journal","volume":"104"},"uris":["http://www.mendeley.com/documents/?uuid=1d07d158-8520-4451-a56d-a4c8f7d9a373"]}],"mendeley":{"formattedCitation":"[28]","plainTextFormattedCitation":"[28]","previouslyFormattedCitation":"[28]"},"properties":{"noteIndex":0},"schema":"https://github.com/citation-style-language/schema/raw/master/csl-citation.json"}</w:instrText>
            </w:r>
            <w:r w:rsidRPr="002E26D2">
              <w:rPr>
                <w:rFonts w:ascii="Times New Roman" w:hAnsi="Times New Roman" w:cs="Times New Roman"/>
                <w:b/>
                <w:sz w:val="24"/>
                <w:szCs w:val="24"/>
              </w:rPr>
              <w:fldChar w:fldCharType="separate"/>
            </w:r>
            <w:r w:rsidR="001C3E62" w:rsidRPr="001C3E62">
              <w:rPr>
                <w:rFonts w:ascii="Times New Roman" w:hAnsi="Times New Roman" w:cs="Times New Roman"/>
                <w:noProof/>
                <w:sz w:val="24"/>
                <w:szCs w:val="24"/>
              </w:rPr>
              <w:t>[28]</w:t>
            </w:r>
            <w:r w:rsidRPr="002E26D2">
              <w:rPr>
                <w:rFonts w:ascii="Times New Roman" w:hAnsi="Times New Roman" w:cs="Times New Roman"/>
                <w:b/>
                <w:sz w:val="24"/>
                <w:szCs w:val="24"/>
              </w:rPr>
              <w:fldChar w:fldCharType="end"/>
            </w:r>
          </w:p>
        </w:tc>
        <w:tc>
          <w:tcPr>
            <w:tcW w:w="2268" w:type="dxa"/>
          </w:tcPr>
          <w:p w14:paraId="07A59F8F" w14:textId="2F04B30F" w:rsidR="00AC4DFA" w:rsidRPr="002E26D2" w:rsidRDefault="00AC4DFA" w:rsidP="006431E5">
            <w:pPr>
              <w:spacing w:line="360" w:lineRule="auto"/>
              <w:jc w:val="center"/>
              <w:rPr>
                <w:rFonts w:ascii="Times New Roman" w:hAnsi="Times New Roman" w:cs="Times New Roman"/>
                <w:b/>
                <w:sz w:val="24"/>
                <w:szCs w:val="24"/>
              </w:rPr>
            </w:pPr>
            <w:r w:rsidRPr="002E26D2">
              <w:rPr>
                <w:rFonts w:ascii="Times New Roman" w:hAnsi="Times New Roman" w:cs="Times New Roman"/>
                <w:b/>
                <w:sz w:val="24"/>
                <w:szCs w:val="24"/>
              </w:rPr>
              <w:t xml:space="preserve">Tsuiki 1999 </w:t>
            </w:r>
            <w:r w:rsidRPr="002E26D2">
              <w:rPr>
                <w:rFonts w:ascii="Times New Roman" w:hAnsi="Times New Roman" w:cs="Times New Roman"/>
                <w:b/>
                <w:sz w:val="24"/>
                <w:szCs w:val="24"/>
              </w:rPr>
              <w:fldChar w:fldCharType="begin" w:fldLock="1"/>
            </w:r>
            <w:r w:rsidR="003B2CF6">
              <w:rPr>
                <w:rFonts w:ascii="Times New Roman" w:hAnsi="Times New Roman" w:cs="Times New Roman"/>
                <w:b/>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2E26D2">
              <w:rPr>
                <w:rFonts w:ascii="Times New Roman" w:hAnsi="Times New Roman" w:cs="Times New Roman"/>
                <w:b/>
                <w:sz w:val="24"/>
                <w:szCs w:val="24"/>
              </w:rPr>
              <w:fldChar w:fldCharType="separate"/>
            </w:r>
            <w:r w:rsidR="00F85225" w:rsidRPr="00F85225">
              <w:rPr>
                <w:rFonts w:ascii="Times New Roman" w:hAnsi="Times New Roman" w:cs="Times New Roman"/>
                <w:noProof/>
                <w:sz w:val="24"/>
                <w:szCs w:val="24"/>
              </w:rPr>
              <w:t>[8]</w:t>
            </w:r>
            <w:r w:rsidRPr="002E26D2">
              <w:rPr>
                <w:rFonts w:ascii="Times New Roman" w:hAnsi="Times New Roman" w:cs="Times New Roman"/>
                <w:b/>
                <w:sz w:val="24"/>
                <w:szCs w:val="24"/>
              </w:rPr>
              <w:fldChar w:fldCharType="end"/>
            </w:r>
          </w:p>
        </w:tc>
        <w:tc>
          <w:tcPr>
            <w:tcW w:w="1650" w:type="dxa"/>
          </w:tcPr>
          <w:p w14:paraId="77E6F129" w14:textId="5F30A4B2" w:rsidR="00AC4DFA" w:rsidRPr="002E26D2" w:rsidRDefault="00AC4DFA" w:rsidP="006431E5">
            <w:pPr>
              <w:spacing w:line="360" w:lineRule="auto"/>
              <w:jc w:val="center"/>
              <w:rPr>
                <w:rFonts w:ascii="Times New Roman" w:hAnsi="Times New Roman" w:cs="Times New Roman"/>
                <w:b/>
                <w:sz w:val="24"/>
                <w:szCs w:val="24"/>
              </w:rPr>
            </w:pPr>
            <w:r w:rsidRPr="002E26D2">
              <w:rPr>
                <w:rFonts w:ascii="Times New Roman" w:hAnsi="Times New Roman" w:cs="Times New Roman"/>
                <w:b/>
                <w:sz w:val="24"/>
                <w:szCs w:val="24"/>
              </w:rPr>
              <w:t xml:space="preserve">Yoon 2005 </w:t>
            </w:r>
            <w:r w:rsidRPr="002E26D2">
              <w:rPr>
                <w:rFonts w:ascii="Times New Roman" w:hAnsi="Times New Roman" w:cs="Times New Roman"/>
                <w:b/>
                <w:sz w:val="24"/>
                <w:szCs w:val="24"/>
              </w:rPr>
              <w:fldChar w:fldCharType="begin" w:fldLock="1"/>
            </w:r>
            <w:r w:rsidR="00F85225">
              <w:rPr>
                <w:rFonts w:ascii="Times New Roman" w:hAnsi="Times New Roman" w:cs="Times New Roman"/>
                <w:b/>
                <w:sz w:val="24"/>
                <w:szCs w:val="24"/>
              </w:rPr>
              <w:instrText>ADDIN CSL_CITATION {"citationItems":[{"id":"ITEM-1","itemData":{"DOI":"10.1021/bi0515974","ISBN":"6176321972","ISSN":"0006-2960","PMID":"16313181","abstract":"Nucleoside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P.","non-dropping-particle":"","parse-names":false,"suffix":""}],"container-title":"Biochemistry","id":"ITEM-1","issue":"48","issued":{"date-parts":[["2005","12","1"]]},"page":"15774-15786","title":"Characterization of the 3‘ → 5‘ Exonuclease Activity Found in Human Nucleoside Diphosphate Kinase 1 (NDK1) and Several of Its Homologues","type":"article-journal","volume":"44"},"uris":["http://www.mendeley.com/documents/?uuid=d08e4b91-7cb9-4360-83cb-d2ba4f733d59"]}],"mendeley":{"formattedCitation":"[6]","plainTextFormattedCitation":"[6]","previouslyFormattedCitation":"[6]"},"properties":{"noteIndex":0},"schema":"https://github.com/citation-style-language/schema/raw/master/csl-citation.json"}</w:instrText>
            </w:r>
            <w:r w:rsidRPr="002E26D2">
              <w:rPr>
                <w:rFonts w:ascii="Times New Roman" w:hAnsi="Times New Roman" w:cs="Times New Roman"/>
                <w:b/>
                <w:sz w:val="24"/>
                <w:szCs w:val="24"/>
              </w:rPr>
              <w:fldChar w:fldCharType="separate"/>
            </w:r>
            <w:r w:rsidR="003A7CED" w:rsidRPr="003A7CED">
              <w:rPr>
                <w:rFonts w:ascii="Times New Roman" w:hAnsi="Times New Roman" w:cs="Times New Roman"/>
                <w:noProof/>
                <w:sz w:val="24"/>
                <w:szCs w:val="24"/>
              </w:rPr>
              <w:t>[6]</w:t>
            </w:r>
            <w:r w:rsidRPr="002E26D2">
              <w:rPr>
                <w:rFonts w:ascii="Times New Roman" w:hAnsi="Times New Roman" w:cs="Times New Roman"/>
                <w:b/>
                <w:sz w:val="24"/>
                <w:szCs w:val="24"/>
              </w:rPr>
              <w:fldChar w:fldCharType="end"/>
            </w:r>
          </w:p>
        </w:tc>
      </w:tr>
      <w:tr w:rsidR="00AC4DFA" w:rsidRPr="002E26D2" w14:paraId="42ACD15A" w14:textId="77777777" w:rsidTr="001314D9">
        <w:tc>
          <w:tcPr>
            <w:tcW w:w="3114" w:type="dxa"/>
          </w:tcPr>
          <w:p w14:paraId="39D7B0DF" w14:textId="77777777" w:rsidR="00AC4DFA" w:rsidRPr="002E26D2" w:rsidRDefault="00AC4DFA"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 xml:space="preserve">NME6 length </w:t>
            </w:r>
          </w:p>
        </w:tc>
        <w:tc>
          <w:tcPr>
            <w:tcW w:w="1984" w:type="dxa"/>
          </w:tcPr>
          <w:p w14:paraId="22A91C47"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186 aa</w:t>
            </w:r>
          </w:p>
        </w:tc>
        <w:tc>
          <w:tcPr>
            <w:tcW w:w="2268" w:type="dxa"/>
          </w:tcPr>
          <w:p w14:paraId="4CAE8B49"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194 aa</w:t>
            </w:r>
          </w:p>
        </w:tc>
        <w:tc>
          <w:tcPr>
            <w:tcW w:w="1650" w:type="dxa"/>
          </w:tcPr>
          <w:p w14:paraId="5F2251E6"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194 aa</w:t>
            </w:r>
          </w:p>
        </w:tc>
      </w:tr>
      <w:tr w:rsidR="00AC4DFA" w:rsidRPr="002E26D2" w14:paraId="6A5D579E" w14:textId="77777777" w:rsidTr="001314D9">
        <w:tc>
          <w:tcPr>
            <w:tcW w:w="3114" w:type="dxa"/>
          </w:tcPr>
          <w:p w14:paraId="7AE839A4" w14:textId="6254CBFD" w:rsidR="00AC4DFA" w:rsidRPr="002E26D2" w:rsidRDefault="00AC4DFA"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 xml:space="preserve">NME6 mRNA </w:t>
            </w:r>
            <w:r w:rsidR="008471E5">
              <w:rPr>
                <w:rFonts w:ascii="Times New Roman" w:hAnsi="Times New Roman" w:cs="Times New Roman"/>
                <w:b/>
                <w:sz w:val="24"/>
                <w:szCs w:val="24"/>
              </w:rPr>
              <w:t>e</w:t>
            </w:r>
            <w:r w:rsidRPr="002E26D2">
              <w:rPr>
                <w:rFonts w:ascii="Times New Roman" w:hAnsi="Times New Roman" w:cs="Times New Roman"/>
                <w:b/>
                <w:sz w:val="24"/>
                <w:szCs w:val="24"/>
              </w:rPr>
              <w:t>xpression</w:t>
            </w:r>
          </w:p>
        </w:tc>
        <w:tc>
          <w:tcPr>
            <w:tcW w:w="1984" w:type="dxa"/>
          </w:tcPr>
          <w:p w14:paraId="39F84183"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Ubiquitous</w:t>
            </w:r>
          </w:p>
        </w:tc>
        <w:tc>
          <w:tcPr>
            <w:tcW w:w="2268" w:type="dxa"/>
          </w:tcPr>
          <w:p w14:paraId="03F61F07"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Tissue specific</w:t>
            </w:r>
          </w:p>
        </w:tc>
        <w:tc>
          <w:tcPr>
            <w:tcW w:w="1650" w:type="dxa"/>
          </w:tcPr>
          <w:p w14:paraId="1410FA41"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r>
      <w:tr w:rsidR="00AC4DFA" w:rsidRPr="002E26D2" w14:paraId="410D91AA" w14:textId="77777777" w:rsidTr="001314D9">
        <w:tc>
          <w:tcPr>
            <w:tcW w:w="3114" w:type="dxa"/>
          </w:tcPr>
          <w:p w14:paraId="19F73798" w14:textId="77777777" w:rsidR="00AC4DFA" w:rsidRPr="002E26D2" w:rsidRDefault="00AC4DFA"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Localization</w:t>
            </w:r>
          </w:p>
        </w:tc>
        <w:tc>
          <w:tcPr>
            <w:tcW w:w="1984" w:type="dxa"/>
          </w:tcPr>
          <w:p w14:paraId="3C1C8AFA"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c>
          <w:tcPr>
            <w:tcW w:w="2268" w:type="dxa"/>
          </w:tcPr>
          <w:p w14:paraId="2E0C5A9C"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Mitochondria</w:t>
            </w:r>
          </w:p>
        </w:tc>
        <w:tc>
          <w:tcPr>
            <w:tcW w:w="1650" w:type="dxa"/>
          </w:tcPr>
          <w:p w14:paraId="2AFCD895"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r>
      <w:tr w:rsidR="00AC4DFA" w:rsidRPr="002E26D2" w14:paraId="3F32C7D3" w14:textId="77777777" w:rsidTr="001314D9">
        <w:tc>
          <w:tcPr>
            <w:tcW w:w="3114" w:type="dxa"/>
          </w:tcPr>
          <w:p w14:paraId="4099EFD0" w14:textId="77777777" w:rsidR="00AC4DFA" w:rsidRPr="002E26D2" w:rsidRDefault="00AC4DFA"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Autophosphorylation (Ping)</w:t>
            </w:r>
          </w:p>
        </w:tc>
        <w:tc>
          <w:tcPr>
            <w:tcW w:w="1984" w:type="dxa"/>
          </w:tcPr>
          <w:p w14:paraId="6C91DC38"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c>
          <w:tcPr>
            <w:tcW w:w="2268" w:type="dxa"/>
          </w:tcPr>
          <w:p w14:paraId="32BA527F"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Yes (but weak)</w:t>
            </w:r>
          </w:p>
        </w:tc>
        <w:tc>
          <w:tcPr>
            <w:tcW w:w="1650" w:type="dxa"/>
          </w:tcPr>
          <w:p w14:paraId="30FB993F"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No</w:t>
            </w:r>
          </w:p>
        </w:tc>
      </w:tr>
      <w:tr w:rsidR="00AC4DFA" w:rsidRPr="002E26D2" w14:paraId="4EC04D0B" w14:textId="77777777" w:rsidTr="001314D9">
        <w:tc>
          <w:tcPr>
            <w:tcW w:w="3114" w:type="dxa"/>
          </w:tcPr>
          <w:p w14:paraId="1A28BD80" w14:textId="77777777" w:rsidR="00AC4DFA" w:rsidRPr="002E26D2" w:rsidRDefault="00AC4DFA"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Phosphate transfer (Pong)</w:t>
            </w:r>
          </w:p>
        </w:tc>
        <w:tc>
          <w:tcPr>
            <w:tcW w:w="1984" w:type="dxa"/>
          </w:tcPr>
          <w:p w14:paraId="27FA94CB"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c>
          <w:tcPr>
            <w:tcW w:w="2268" w:type="dxa"/>
          </w:tcPr>
          <w:p w14:paraId="532AF98D"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Yes</w:t>
            </w:r>
          </w:p>
        </w:tc>
        <w:tc>
          <w:tcPr>
            <w:tcW w:w="1650" w:type="dxa"/>
          </w:tcPr>
          <w:p w14:paraId="32B46CD7"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r>
      <w:tr w:rsidR="00AC4DFA" w:rsidRPr="002E26D2" w14:paraId="0652B32C" w14:textId="77777777" w:rsidTr="001314D9">
        <w:tc>
          <w:tcPr>
            <w:tcW w:w="3114" w:type="dxa"/>
          </w:tcPr>
          <w:p w14:paraId="42589023" w14:textId="77777777" w:rsidR="00AC4DFA" w:rsidRPr="002E26D2" w:rsidRDefault="00AC4DFA"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NDPK activity</w:t>
            </w:r>
          </w:p>
        </w:tc>
        <w:tc>
          <w:tcPr>
            <w:tcW w:w="1984" w:type="dxa"/>
          </w:tcPr>
          <w:p w14:paraId="5A9E7331"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No</w:t>
            </w:r>
          </w:p>
        </w:tc>
        <w:tc>
          <w:tcPr>
            <w:tcW w:w="2268" w:type="dxa"/>
          </w:tcPr>
          <w:p w14:paraId="0BB60EE6"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Probable</w:t>
            </w:r>
          </w:p>
        </w:tc>
        <w:tc>
          <w:tcPr>
            <w:tcW w:w="1650" w:type="dxa"/>
          </w:tcPr>
          <w:p w14:paraId="626636D7"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No</w:t>
            </w:r>
          </w:p>
        </w:tc>
      </w:tr>
      <w:tr w:rsidR="00AC4DFA" w:rsidRPr="002E26D2" w14:paraId="22C7CD2C" w14:textId="77777777" w:rsidTr="001314D9">
        <w:tc>
          <w:tcPr>
            <w:tcW w:w="3114" w:type="dxa"/>
          </w:tcPr>
          <w:p w14:paraId="2DB04307" w14:textId="77777777" w:rsidR="00AC4DFA" w:rsidRPr="002E26D2" w:rsidRDefault="00AC4DFA"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3’ 5’ exonuclease activity</w:t>
            </w:r>
          </w:p>
        </w:tc>
        <w:tc>
          <w:tcPr>
            <w:tcW w:w="1984" w:type="dxa"/>
          </w:tcPr>
          <w:p w14:paraId="5E08252E"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c>
          <w:tcPr>
            <w:tcW w:w="2268" w:type="dxa"/>
          </w:tcPr>
          <w:p w14:paraId="7987340B"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c>
          <w:tcPr>
            <w:tcW w:w="1650" w:type="dxa"/>
          </w:tcPr>
          <w:p w14:paraId="52E47E22"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No</w:t>
            </w:r>
          </w:p>
        </w:tc>
      </w:tr>
      <w:tr w:rsidR="00AC4DFA" w:rsidRPr="002E26D2" w14:paraId="0DACA42D" w14:textId="77777777" w:rsidTr="001314D9">
        <w:tc>
          <w:tcPr>
            <w:tcW w:w="3114" w:type="dxa"/>
          </w:tcPr>
          <w:p w14:paraId="6616DD42" w14:textId="77777777" w:rsidR="00AC4DFA" w:rsidRPr="002E26D2" w:rsidRDefault="00AC4DFA"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Biological role</w:t>
            </w:r>
          </w:p>
        </w:tc>
        <w:tc>
          <w:tcPr>
            <w:tcW w:w="1984" w:type="dxa"/>
          </w:tcPr>
          <w:p w14:paraId="163329BC"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c>
          <w:tcPr>
            <w:tcW w:w="2268" w:type="dxa"/>
          </w:tcPr>
          <w:p w14:paraId="43D4D555"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Growth suppression</w:t>
            </w:r>
          </w:p>
        </w:tc>
        <w:tc>
          <w:tcPr>
            <w:tcW w:w="1650" w:type="dxa"/>
          </w:tcPr>
          <w:p w14:paraId="5708F505" w14:textId="77777777" w:rsidR="00AC4DFA" w:rsidRPr="002E26D2" w:rsidRDefault="00AC4DFA" w:rsidP="00196F5A">
            <w:pPr>
              <w:spacing w:line="360" w:lineRule="auto"/>
              <w:jc w:val="center"/>
              <w:rPr>
                <w:rFonts w:ascii="Times New Roman" w:hAnsi="Times New Roman" w:cs="Times New Roman"/>
                <w:sz w:val="24"/>
                <w:szCs w:val="24"/>
              </w:rPr>
            </w:pPr>
            <w:r w:rsidRPr="002E26D2">
              <w:rPr>
                <w:rFonts w:ascii="Times New Roman" w:hAnsi="Times New Roman" w:cs="Times New Roman"/>
                <w:sz w:val="24"/>
                <w:szCs w:val="24"/>
              </w:rPr>
              <w:t>/</w:t>
            </w:r>
          </w:p>
        </w:tc>
      </w:tr>
    </w:tbl>
    <w:p w14:paraId="518A88A3" w14:textId="77777777" w:rsidR="00936E29" w:rsidRDefault="00936E29" w:rsidP="004927BB">
      <w:pPr>
        <w:spacing w:line="360" w:lineRule="auto"/>
        <w:jc w:val="both"/>
        <w:rPr>
          <w:rFonts w:ascii="Times New Roman" w:hAnsi="Times New Roman" w:cs="Times New Roman"/>
          <w:sz w:val="24"/>
          <w:szCs w:val="24"/>
        </w:rPr>
      </w:pPr>
    </w:p>
    <w:p w14:paraId="60CE8AE5" w14:textId="6D9265A3"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Nowadays, the Ensembl database</w:t>
      </w:r>
      <w:r w:rsidR="00980874" w:rsidRPr="002E26D2">
        <w:rPr>
          <w:rFonts w:ascii="Times New Roman" w:hAnsi="Times New Roman" w:cs="Times New Roman"/>
          <w:sz w:val="24"/>
          <w:szCs w:val="24"/>
        </w:rPr>
        <w:t xml:space="preserve"> </w:t>
      </w:r>
      <w:r w:rsidR="00980874"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{"citationItems":[{"id":"ITEM-1","itemData":{"DOI":"10.1093/nar/gkab1049","ISBN":"988/6430486","ISSN":"0305-1048","PMID":"34791404","abstract":"Ensembl (https://www.ensembl.org) is unique in its flexible infrastructure for access to genomic data and annotation. It has been designed to efficiently deliver annotation at scale for all eukaryotic life, and it also provides deep comprehensive annotation for key species. Genomes representing a greater diversity of species are increasingly being sequenced. In response, we have focussed our recent efforts on expediting the annotation of new assemblies. Here, we report the release of the greatest annual number of newly annotated genomes in the history of Ensembl via our dedicated Ensembl Rapid Release platform (http://rapid.ensembl.org). We have also developed a new method to generate comparative analyses at scale for these assemblies and, for the first time, we have annotated non-vertebrate eukaryotes. Meanwhile, we continually improve, extend and update the annotation for our high-value reference vertebrate genomes and report the details here. We have a range of specific software tools for specific tasks, such as the Ensembl Variant Effect Predictor (VEP) and the newly developed interface for the Variant Recoder. All Ensembl data, software and tools are freely available for download and are accessible programmatically.","author":[{"dropping-particle":"","family":"Cunningham","given":"Fiona","non-dropping-particle":"","parse-names":false,"suffix":""},{"dropping-particle":"","family":"Allen","given":"James E","non-dropping-particle":"","parse-names":false,"suffix":""},{"dropping-particle":"","family":"Allen","given":"Jamie","non-dropping-particle":"","parse-names":false,"suffix":""},{"dropping-particle":"","family":"Alvarez-Jarreta","given":"Jorge","non-dropping-particle":"","parse-names":false,"suffix":""},{"dropping-particle":"","family":"Amode","given":"M Ridwan","non-dropping-particle":"","parse-names":false,"suffix":""},{"dropping-particle":"","family":"Armean","given":"Irina M","non-dropping-particle":"","parse-names":false,"suffix":""},{"dropping-particle":"","family":"Austine-Orimoloye","given":"Olanrewaju","non-dropping-particle":"","parse-names":false,"suffix":""},{"dropping-particle":"","family":"Azov","given":"Andrey G","non-dropping-particle":"","parse-names":false,"suffix":""},{"dropping-particle":"","family":"Barnes","given":"If","non-dropping-particle":"","parse-names":false,"suffix":""},{"dropping-particle":"","family":"Bennett","given":"Ruth","non-dropping-particle":"","parse-names":false,"suffix":""},{"dropping-particle":"","family":"Berry","given":"Andrew","non-dropping-particle":"","parse-names":false,"suffix":""},{"dropping-particle":"","family":"Bhai","given":"Jyothish","non-dropping-particle":"","parse-names":false,"suffix":""},{"dropping-particle":"","family":"Bignell","given":"Alexandra","non-dropping-particle":"","parse-names":false,"suffix":""},{"dropping-particle":"","family":"Billis","given":"Konstantinos","non-dropping-particle":"","parse-names":false,"suffix":""},{"dropping-particle":"","family":"Boddu","given":"Sanjay","non-dropping-particle":"","parse-names":false,"suffix":""},{"dropping-particle":"","family":"Brooks","given":"Lucy","non-dropping-particle":"","parse-names":false,"suffix":""},{"dropping-particle":"","family":"Charkhchi","given":"Mehrnaz","non-dropping-particle":"","parse-names":false,"suffix":""},{"dropping-particle":"","family":"Cummins","given":"Carla","non-dropping-particle":"","parse-names":false,"suffix":""},{"dropping-particle":"","family":"Rin Fioretto","given":"Luca","non-dropping-particle":"Da","parse-names":false,"suffix":""},{"dropping-particle":"","family":"Davidson","given":"Claire","non-dropping-particle":"","parse-names":false,"suffix":""},{"dropping-particle":"","family":"Dodiya","given":"Kamalkumar","non-dropping-particle":"","parse-names":false,"suffix":""},{"dropping-particle":"","family":"Donaldson","given":"Sarah","non-dropping-particle":"","parse-names":false,"suffix":""},{"dropping-particle":"","family":"Houdaigui","given":"Bilal","non-dropping-particle":"El","parse-names":false,"suffix":""},{"dropping-particle":"","family":"Naboulsi","given":"Tamara","non-dropping-particle":"El","parse-names":false,"suffix":""},{"dropping-particle":"","family":"Fatima","given":"Reham","non-dropping-particle":"","parse-names":false,"suffix":""},{"dropping-particle":"","family":"Giron","given":"Carlos Garcia","non-dropping-particle":"","parse-names":false,"suffix":""},{"dropping-particle":"","family":"Genez","given":"Thiago","non-dropping-particle":"","parse-names":false,"suffix":""},{"dropping-particle":"","family":"Martinez","given":"Jose Gonzalez","non-dropping-particle":"","parse-names":false,"suffix":""},{"dropping-particle":"","family":"Guijarro-Clarke","given":"Cristina","non-dropping-particle":"","parse-names":false,"suffix":""},{"dropping-particle":"","family":"Gymer","given":"Arthur","non-dropping-particle":"","parse-names":false,"suffix":""},{"dropping-particle":"","family":"Hardy","given":"Matthew","non-dropping-particle":"","parse-names":false,"suffix":""},{"dropping-particle":"","family":"Hollis","given":"Zoe","non-dropping-particle":"","parse-names":false,"suffix":""},{"dropping-particle":"","family":"Hourlier","given":"Thibaut","non-dropping-particle":"","parse-names":false,"suffix":""},{"dropping-particle":"","family":"Hunt","given":"Toby","non-dropping-particle":"","parse-names":false,"suffix":""},{"dropping-particle":"","family":"Juettemann","given":"Thomas","non-dropping-particle":"","parse-names":false,"suffix":""},{"dropping-particle":"","family":"Kaikala","given":"Vinay","non-dropping-particle":"","parse-names":false,"suffix":""},{"dropping-particle":"","family":"Kay","given":"Mike","non-dropping-particle":"","parse-names":false,"suffix":""},{"dropping-particle":"","family":"Lavidas","given":"Ilias","non-dropping-particle":"","parse-names":false,"suffix":""},{"dropping-particle":"","family":"Le","given":"Tuan","non-dropping-particle":"","parse-names":false,"suffix":""},{"dropping-particle":"","family":"Lemos","given":"Diana","non-dropping-particle":"","parse-names":false,"suffix":""},{"dropping-particle":"","family":"Marugán","given":"José Carlos","non-dropping-particle":"","parse-names":false,"suffix":""},{"dropping-particle":"","family":"Mohanan","given":"Shamika","non-dropping-particle":"","parse-names":false,"suffix":""},{"dropping-particle":"","family":"Mushtaq","given":"Aleena","non-dropping-particle":"","parse-names":false,"suffix":""},{"dropping-particle":"","family":"Naven","given":"Marc","non-dropping-particle":"","parse-names":false,"suffix":""},{"dropping-particle":"","family":"Ogeh","given":"Denye N","non-dropping-particle":"","parse-names":false,"suffix":""},{"dropping-particle":"","family":"Parker","given":"Anne","non-dropping-particle":"","parse-names":false,"suffix":""},{"dropping-particle":"","family":"Parton","given":"Andrew","non-dropping-particle":"","parse-names":false,"suffix":""},{"dropping-particle":"","family":"Perry","given":"Malcolm","non-dropping-particle":"","parse-names":false,"suffix":""},{"dropping-particle":"","family":"Piližota","given":"Ivana","non-dropping-particle":"","parse-names":false,"suffix":""},{"dropping-particle":"","family":"Prosovetskaia","given":"Irina","non-dropping-particle":"","parse-names":false,"suffix":""},{"dropping-particle":"","family":"Sakthivel","given":"Manoj Pandian","non-dropping-particle":"","parse-names":false,"suffix":""},{"dropping-particle":"","family":"Salam","given":"Ahamed Imran Abdul","non-dropping-particle":"","parse-names":false,"suffix":""},{"dropping-particle":"","family":"Schmitt","given":"Bianca M","non-dropping-particle":"","parse-names":false,"suffix":""},{"dropping-particle":"","family":"Schuilenburg","given":"Helen","non-dropping-particle":"","parse-names":false,"suffix":""},{"dropping-particle":"","family":"Sheppard","given":"Dan","non-dropping-particle":"","parse-names":false,"suffix":""},{"dropping-particle":"","family":"Pérez-Silva","given":"José G","non-dropping-particle":"","parse-names":false,"suffix":""},{"dropping-particle":"","family":"Stark","given":"William","non-dropping-particle":"","parse-names":false,"suffix":""},{"dropping-particle":"","family":"Steed","given":"Emily","non-dropping-particle":"","parse-names":false,"suffix":""},{"dropping-particle":"","family":"Sutinen","given":"Kyösti","non-dropping-particle":"","parse-names":false,"suffix":""},{"dropping-particle":"","family":"Sukumaran","given":"Ranjit","non-dropping-particle":"","parse-names":false,"suffix":""},{"dropping-particle":"","family":"Sumathipala","given":"Dulika","non-dropping-particle":"","parse-names":false,"suffix":""},{"dropping-particle":"","family":"Suner","given":"Marie-Marthe","non-dropping-particle":"","parse-names":false,"suffix":""},{"dropping-particle":"","family":"Szpak","given":"Michal","non-dropping-particle":"","parse-names":false,"suffix":""},{"dropping-particle":"","family":"Thormann","given":"Anja","non-dropping-particle":"","parse-names":false,"suffix":""},{"dropping-particle":"","family":"Tricomi","given":"Francesca Floriana","non-dropping-particle":"","parse-names":false,"suffix":""},{"dropping-particle":"","family":"Urbina-Gómez","given":"David","non-dropping-particle":"","parse-names":false,"suffix":""},{"dropping-particle":"","family":"Veidenberg","given":"Andres","non-dropping-particle":"","parse-names":false,"suffix":""},{"dropping-particle":"","family":"Walsh","given":"Thomas A","non-dropping-particle":"","parse-names":false,"suffix":""},{"dropping-particle":"","family":"Walts","given":"Brandon","non-dropping-particle":"","parse-names":false,"suffix":""},{"dropping-particle":"","family":"Willhoft","given":"Natalie","non-dropping-particle":"","parse-names":false,"suffix":""},{"dropping-particle":"","family":"Winterbottom","given":"Andrea","non-dropping-particle":"","parse-names":false,"suffix":""},{"dropping-particle":"","family":"Wass","given":"Elizabeth","non-dropping-particle":"","parse-names":false,"suffix":""},{"dropping-particle":"","family":"Chakiachvili","given":"Marc","non-dropping-particle":"","parse-names":false,"suffix":""},{"dropping-particle":"","family":"Flint","given":"Bethany","non-dropping-particle":"","parse-names":false,"suffix":""},{"dropping-particle":"","family":"Frankish","given":"Adam","non-dropping-particle":"","parse-names":false,"suffix":""},{"dropping-particle":"","family":"Giorgetti","given":"Stefano","non-dropping-particle":"","parse-names":false,"suffix":""},{"dropping-particle":"","family":"Haggerty","given":"Leanne","non-dropping-particle":"","parse-names":false,"suffix":""},{"dropping-particle":"","family":"Hunt","given":"Sarah E","non-dropping-particle":"","parse-names":false,"suffix":""},{"dropping-particle":"","family":"IIsley","given":"Garth R","non-dropping-particle":"","parse-names":false,"suffix":""},{"dropping-particle":"","family":"Loveland","given":"Jane E","non-dropping-particle":"","parse-names":false,"suffix":""},{"dropping-particle":"","family":"Martin","given":"Fergal J","non-dropping-particle":"","parse-names":false,"suffix":""},{"dropping-particle":"","family":"Moore","given":"Benjamin","non-dropping-particle":"","parse-names":false,"suffix":""},{"dropping-particle":"","family":"Mudge","given":"Jonathan M","non-dropping-particle":"","parse-names":false,"suffix":""},{"dropping-particle":"","family":"Muffato","given":"Matthieu","non-dropping-particle":"","parse-names":false,"suffix":""},{"dropping-particle":"","family":"Perry","given":"Emily","non-dropping-particle":"","parse-names":false,"suffix":""},{"dropping-particle":"","family":"Ruffier","given":"Magali","non-dropping-particle":"","parse-names":false,"suffix":""},{"dropping-particle":"","family":"Tate","given":"John","non-dropping-particle":"","parse-names":false,"suffix":""},{"dropping-particle":"","family":"Thybert","given":"David","non-dropping-particle":"","parse-names":false,"suffix":""},{"dropping-particle":"","family":"Trevanion","given":"Stephen J","non-dropping-particle":"","parse-names":false,"suffix":""},{"dropping-particle":"","family":"Dyer","given":"Sarah","non-dropping-particle":"","parse-names":false,"suffix":""},{"dropping-particle":"","family":"Harrison","given":"Peter W","non-dropping-particle":"","parse-names":false,"suffix":""},{"dropping-particle":"","family":"Howe","given":"Kevin L","non-dropping-particle":"","parse-names":false,"suffix":""},{"dropping-particle":"","family":"Yates","given":"Andrew D","non-dropping-particle":"","parse-names":false,"suffix":""},{"dropping-particle":"","family":"Zerbino","given":"Daniel R","non-dropping-particle":"","parse-names":false,"suffix":""},{"dropping-particle":"","family":"Flicek","given":"Paul","non-dropping-particle":"","parse-names":false,"suffix":""}],"container-title":"Nucleic Acids Research","id":"ITEM-1","issue":"D1","issued":{"date-parts":[["2022","1","7"]]},"page":"D988-D995","publisher":"Oxford Academic","title":"Ensembl 2022","type":"article-journal","volume":"50"},"uris":["http://www.mendeley.com/documents/?uuid=35e3d0c3-f4e0-313b-8460-17ffae3cdfb0"]}],"mendeley":{"formattedCitation":"[104]","plainTextFormattedCitation":"[104]","previouslyFormattedCitation":"[104]"},"properties":{"noteIndex":0},"schema":"https://github.com/citation-style-language/schema/raw/master/csl-citation.json"}</w:instrText>
      </w:r>
      <w:r w:rsidR="00980874"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[104]</w:t>
      </w:r>
      <w:r w:rsidR="0098087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contains several predicted transcripts for the </w:t>
      </w:r>
      <w:r w:rsidR="00687F92" w:rsidRPr="002E26D2">
        <w:rPr>
          <w:rFonts w:ascii="Times New Roman" w:hAnsi="Times New Roman" w:cs="Times New Roman"/>
          <w:sz w:val="24"/>
          <w:szCs w:val="24"/>
        </w:rPr>
        <w:t xml:space="preserve">human </w:t>
      </w:r>
      <w:r w:rsidRPr="002E26D2">
        <w:rPr>
          <w:rFonts w:ascii="Times New Roman" w:hAnsi="Times New Roman" w:cs="Times New Roman"/>
          <w:sz w:val="24"/>
          <w:szCs w:val="24"/>
        </w:rPr>
        <w:t>NME6 gene, coding for different isoforms of the NME6 protein</w:t>
      </w:r>
      <w:r w:rsidR="00E30984" w:rsidRPr="002E26D2">
        <w:rPr>
          <w:rFonts w:ascii="Times New Roman" w:hAnsi="Times New Roman" w:cs="Times New Roman"/>
          <w:sz w:val="24"/>
          <w:szCs w:val="24"/>
        </w:rPr>
        <w:t xml:space="preserve"> (</w:t>
      </w:r>
      <w:r w:rsidR="00A232AE" w:rsidRPr="002E26D2">
        <w:rPr>
          <w:rFonts w:ascii="Times New Roman" w:hAnsi="Times New Roman" w:cs="Times New Roman"/>
          <w:sz w:val="24"/>
          <w:szCs w:val="24"/>
        </w:rPr>
        <w:fldChar w:fldCharType="begin"/>
      </w:r>
      <w:r w:rsidR="00A232AE" w:rsidRPr="002E26D2">
        <w:rPr>
          <w:rFonts w:ascii="Times New Roman" w:hAnsi="Times New Roman" w:cs="Times New Roman"/>
          <w:sz w:val="24"/>
          <w:szCs w:val="24"/>
        </w:rPr>
        <w:instrText xml:space="preserve"> REF _Ref106009276 \h </w:instrText>
      </w:r>
      <w:r w:rsidR="002E26D2" w:rsidRPr="002E26D2">
        <w:rPr>
          <w:rFonts w:ascii="Times New Roman" w:hAnsi="Times New Roman" w:cs="Times New Roman"/>
          <w:sz w:val="24"/>
          <w:szCs w:val="24"/>
        </w:rPr>
        <w:instrText xml:space="preserve"> \* MERGEFORMAT </w:instrText>
      </w:r>
      <w:r w:rsidR="00A232AE" w:rsidRPr="002E26D2">
        <w:rPr>
          <w:rFonts w:ascii="Times New Roman" w:hAnsi="Times New Roman" w:cs="Times New Roman"/>
          <w:sz w:val="24"/>
          <w:szCs w:val="24"/>
        </w:rPr>
      </w:r>
      <w:r w:rsidR="00A232A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14</w:t>
      </w:r>
      <w:r w:rsidR="00A232AE" w:rsidRPr="002E26D2">
        <w:rPr>
          <w:rFonts w:ascii="Times New Roman" w:hAnsi="Times New Roman" w:cs="Times New Roman"/>
          <w:sz w:val="24"/>
          <w:szCs w:val="24"/>
        </w:rPr>
        <w:fldChar w:fldCharType="end"/>
      </w:r>
      <w:r w:rsidR="00E30984" w:rsidRPr="002E26D2">
        <w:rPr>
          <w:rFonts w:ascii="Times New Roman" w:hAnsi="Times New Roman" w:cs="Times New Roman"/>
          <w:sz w:val="24"/>
          <w:szCs w:val="24"/>
        </w:rPr>
        <w:t>)</w:t>
      </w:r>
      <w:r w:rsidRPr="002E26D2">
        <w:rPr>
          <w:rFonts w:ascii="Times New Roman" w:hAnsi="Times New Roman" w:cs="Times New Roman"/>
          <w:sz w:val="24"/>
          <w:szCs w:val="24"/>
        </w:rPr>
        <w:t xml:space="preserve">. NME6 gene contains four start codons in line with the accepted open reading frame. The transcripts following the usual intron splicing theoretically lead to expression of NME6-194, NME6-186, NME6-141 and NME6-88 (named after the aa length of each protein). Alternative splicing is also predicted, and could results in the production of NME6-114 from the first start codon, or NME6-163 and NME6-119 from the second start codon. It is to note that with the exception of NME6-163, all predicted NME6 isoforms are in the same reading frame, thus sharing the amino acid sequences and the stop codon. The alternative splicing predicted for NME6-163 changes the reading frame after splicing, leading to a different protein sequence and a different stop codon used. Other NME6 isoforms are predicted but not represented on </w:t>
      </w:r>
      <w:r w:rsidR="00A232AE" w:rsidRPr="002E26D2">
        <w:rPr>
          <w:rFonts w:ascii="Times New Roman" w:hAnsi="Times New Roman" w:cs="Times New Roman"/>
          <w:sz w:val="24"/>
          <w:szCs w:val="24"/>
        </w:rPr>
        <w:fldChar w:fldCharType="begin"/>
      </w:r>
      <w:r w:rsidR="00A232AE" w:rsidRPr="002E26D2">
        <w:rPr>
          <w:rFonts w:ascii="Times New Roman" w:hAnsi="Times New Roman" w:cs="Times New Roman"/>
          <w:sz w:val="24"/>
          <w:szCs w:val="24"/>
        </w:rPr>
        <w:instrText xml:space="preserve"> REF _Ref106009276 \h </w:instrText>
      </w:r>
      <w:r w:rsidR="002E26D2" w:rsidRPr="002E26D2">
        <w:rPr>
          <w:rFonts w:ascii="Times New Roman" w:hAnsi="Times New Roman" w:cs="Times New Roman"/>
          <w:sz w:val="24"/>
          <w:szCs w:val="24"/>
        </w:rPr>
        <w:instrText xml:space="preserve"> \* MERGEFORMAT </w:instrText>
      </w:r>
      <w:r w:rsidR="00A232AE" w:rsidRPr="002E26D2">
        <w:rPr>
          <w:rFonts w:ascii="Times New Roman" w:hAnsi="Times New Roman" w:cs="Times New Roman"/>
          <w:sz w:val="24"/>
          <w:szCs w:val="24"/>
        </w:rPr>
      </w:r>
      <w:r w:rsidR="00A232A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14</w:t>
      </w:r>
      <w:r w:rsidR="00A232AE" w:rsidRPr="002E26D2">
        <w:rPr>
          <w:rFonts w:ascii="Times New Roman" w:hAnsi="Times New Roman" w:cs="Times New Roman"/>
          <w:sz w:val="24"/>
          <w:szCs w:val="24"/>
        </w:rPr>
        <w:fldChar w:fldCharType="end"/>
      </w:r>
      <w:r w:rsidR="00E30984" w:rsidRPr="002E26D2">
        <w:rPr>
          <w:rFonts w:ascii="Times New Roman" w:hAnsi="Times New Roman" w:cs="Times New Roman"/>
          <w:sz w:val="24"/>
          <w:szCs w:val="24"/>
        </w:rPr>
        <w:t xml:space="preserve">, namely </w:t>
      </w:r>
      <w:r w:rsidRPr="002E26D2">
        <w:rPr>
          <w:rFonts w:ascii="Times New Roman" w:hAnsi="Times New Roman" w:cs="Times New Roman"/>
          <w:sz w:val="24"/>
          <w:szCs w:val="24"/>
        </w:rPr>
        <w:t>NME6-174, NME6-111, NME6-61</w:t>
      </w:r>
      <w:r w:rsidR="00E30984" w:rsidRPr="002E26D2">
        <w:rPr>
          <w:rFonts w:ascii="Times New Roman" w:hAnsi="Times New Roman" w:cs="Times New Roman"/>
          <w:sz w:val="24"/>
          <w:szCs w:val="24"/>
        </w:rPr>
        <w:t>,</w:t>
      </w:r>
      <w:r w:rsidRPr="002E26D2">
        <w:rPr>
          <w:rFonts w:ascii="Times New Roman" w:hAnsi="Times New Roman" w:cs="Times New Roman"/>
          <w:sz w:val="24"/>
          <w:szCs w:val="24"/>
        </w:rPr>
        <w:t xml:space="preserve"> due to </w:t>
      </w:r>
      <w:r w:rsidR="00CE4CFA">
        <w:rPr>
          <w:rFonts w:ascii="Times New Roman" w:hAnsi="Times New Roman" w:cs="Times New Roman"/>
          <w:sz w:val="24"/>
          <w:szCs w:val="24"/>
        </w:rPr>
        <w:t>the</w:t>
      </w:r>
      <w:r w:rsidRPr="002E26D2">
        <w:rPr>
          <w:rFonts w:ascii="Times New Roman" w:hAnsi="Times New Roman" w:cs="Times New Roman"/>
          <w:sz w:val="24"/>
          <w:szCs w:val="24"/>
        </w:rPr>
        <w:t xml:space="preserve"> lack of </w:t>
      </w:r>
      <w:r w:rsidR="000A18E9">
        <w:rPr>
          <w:rFonts w:ascii="Times New Roman" w:hAnsi="Times New Roman" w:cs="Times New Roman"/>
          <w:sz w:val="24"/>
          <w:szCs w:val="24"/>
        </w:rPr>
        <w:t xml:space="preserve">a </w:t>
      </w:r>
      <w:r w:rsidRPr="002E26D2">
        <w:rPr>
          <w:rFonts w:ascii="Times New Roman" w:hAnsi="Times New Roman" w:cs="Times New Roman"/>
          <w:sz w:val="24"/>
          <w:szCs w:val="24"/>
        </w:rPr>
        <w:t xml:space="preserve">predicted stop codon for the mentioned isoforms. Since NME6 </w:t>
      </w:r>
      <w:r w:rsidR="00DD48B4">
        <w:rPr>
          <w:rFonts w:ascii="Times New Roman" w:hAnsi="Times New Roman" w:cs="Times New Roman"/>
          <w:sz w:val="24"/>
          <w:szCs w:val="24"/>
        </w:rPr>
        <w:t>W</w:t>
      </w:r>
      <w:r w:rsidRPr="002E26D2">
        <w:rPr>
          <w:rFonts w:ascii="Times New Roman" w:hAnsi="Times New Roman" w:cs="Times New Roman"/>
          <w:sz w:val="24"/>
          <w:szCs w:val="24"/>
        </w:rPr>
        <w:t xml:space="preserve">estern blots available in the literature and in our early experiments display a single band with a protein size around 20 kDa </w:t>
      </w:r>
      <w:r w:rsidRPr="002E26D2">
        <w:rPr>
          <w:rFonts w:ascii="Times New Roman" w:hAnsi="Times New Roman" w:cs="Times New Roman"/>
          <w:sz w:val="24"/>
          <w:szCs w:val="24"/>
        </w:rPr>
        <w:fldChar w:fldCharType="begin" w:fldLock="1"/>
      </w:r>
      <w:r w:rsidR="003B2CF6">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2E26D2">
        <w:rPr>
          <w:rFonts w:ascii="Times New Roman" w:hAnsi="Times New Roman" w:cs="Times New Roman"/>
          <w:sz w:val="24"/>
          <w:szCs w:val="24"/>
        </w:rPr>
        <w:fldChar w:fldCharType="separate"/>
      </w:r>
      <w:r w:rsidR="00F85225" w:rsidRPr="00F85225">
        <w:rPr>
          <w:rFonts w:ascii="Times New Roman" w:hAnsi="Times New Roman" w:cs="Times New Roman"/>
          <w:noProof/>
          <w:sz w:val="24"/>
          <w:szCs w:val="24"/>
        </w:rPr>
        <w:t>[8]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r w:rsidR="000A18E9">
        <w:rPr>
          <w:rFonts w:ascii="Times New Roman" w:hAnsi="Times New Roman" w:cs="Times New Roman"/>
          <w:sz w:val="24"/>
          <w:szCs w:val="24"/>
        </w:rPr>
        <w:t xml:space="preserve">the isoforms </w:t>
      </w:r>
      <w:r w:rsidRPr="002E26D2">
        <w:rPr>
          <w:rFonts w:ascii="Times New Roman" w:hAnsi="Times New Roman" w:cs="Times New Roman"/>
          <w:sz w:val="24"/>
          <w:szCs w:val="24"/>
        </w:rPr>
        <w:t xml:space="preserve">NME6-194 and </w:t>
      </w:r>
      <w:r w:rsidRPr="002E26D2">
        <w:rPr>
          <w:rFonts w:ascii="Times New Roman" w:hAnsi="Times New Roman" w:cs="Times New Roman"/>
          <w:sz w:val="24"/>
          <w:szCs w:val="24"/>
        </w:rPr>
        <w:lastRenderedPageBreak/>
        <w:t>NME6-186 are the best candidate to be expressed endogenously. Moreover, among the predicted isoforms, only NME6-194, NME6-186, NME6-141 and NME6-114 possess the immunogenic sequence used to produce the highly specific anti-NME6 antibody used in this study.</w:t>
      </w:r>
    </w:p>
    <w:p w14:paraId="3D77BA8B" w14:textId="77777777" w:rsidR="000D46A1"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06EC624B" wp14:editId="358387F3">
            <wp:extent cx="5760000" cy="585015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000" cy="5850153"/>
                    </a:xfrm>
                    <a:prstGeom prst="rect">
                      <a:avLst/>
                    </a:prstGeom>
                    <a:noFill/>
                  </pic:spPr>
                </pic:pic>
              </a:graphicData>
            </a:graphic>
          </wp:inline>
        </w:drawing>
      </w:r>
    </w:p>
    <w:p w14:paraId="6F4301B7" w14:textId="27AAAB92" w:rsidR="00AC4DFA" w:rsidRPr="002E26D2" w:rsidRDefault="000D46A1" w:rsidP="004927BB">
      <w:pPr>
        <w:pStyle w:val="Caption"/>
        <w:spacing w:line="360" w:lineRule="auto"/>
        <w:rPr>
          <w:rFonts w:ascii="Times New Roman" w:hAnsi="Times New Roman" w:cs="Times New Roman"/>
          <w:sz w:val="24"/>
          <w:szCs w:val="24"/>
        </w:rPr>
      </w:pPr>
      <w:bookmarkStart w:id="52" w:name="_Ref10600927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14</w:t>
      </w:r>
      <w:r w:rsidRPr="002E26D2">
        <w:rPr>
          <w:rFonts w:ascii="Times New Roman" w:hAnsi="Times New Roman" w:cs="Times New Roman"/>
          <w:sz w:val="24"/>
          <w:szCs w:val="24"/>
        </w:rPr>
        <w:fldChar w:fldCharType="end"/>
      </w:r>
      <w:bookmarkStart w:id="53" w:name="_Ref105751912"/>
      <w:bookmarkEnd w:id="52"/>
      <w:r w:rsidRPr="002E26D2">
        <w:rPr>
          <w:rFonts w:ascii="Times New Roman" w:hAnsi="Times New Roman" w:cs="Times New Roman"/>
          <w:sz w:val="24"/>
          <w:szCs w:val="24"/>
        </w:rPr>
        <w:t xml:space="preserve"> </w:t>
      </w:r>
      <w:r w:rsidR="00AC4DFA" w:rsidRPr="006A257A">
        <w:rPr>
          <w:rFonts w:ascii="Times New Roman" w:hAnsi="Times New Roman" w:cs="Times New Roman"/>
          <w:sz w:val="24"/>
          <w:szCs w:val="24"/>
          <w:u w:val="single"/>
        </w:rPr>
        <w:t>: Schematic representation of the human NME6 gene and predicted protein isoforms associated.</w:t>
      </w:r>
      <w:r w:rsidR="00AC4DFA" w:rsidRPr="002E26D2">
        <w:rPr>
          <w:rFonts w:ascii="Times New Roman" w:hAnsi="Times New Roman" w:cs="Times New Roman"/>
          <w:sz w:val="24"/>
          <w:szCs w:val="24"/>
        </w:rPr>
        <w:t xml:space="preserve"> </w:t>
      </w:r>
      <w:r w:rsidR="00AC4DFA" w:rsidRPr="002E26D2">
        <w:rPr>
          <w:rFonts w:ascii="Times New Roman" w:hAnsi="Times New Roman" w:cs="Times New Roman"/>
          <w:b/>
          <w:sz w:val="24"/>
          <w:szCs w:val="24"/>
        </w:rPr>
        <w:t>A</w:t>
      </w:r>
      <w:r w:rsidR="00AC4DFA" w:rsidRPr="002E26D2">
        <w:rPr>
          <w:rFonts w:ascii="Times New Roman" w:hAnsi="Times New Roman" w:cs="Times New Roman"/>
          <w:sz w:val="24"/>
          <w:szCs w:val="24"/>
        </w:rPr>
        <w:t xml:space="preserve"> The human NME6 gene structure: four predicted start codons (</w:t>
      </w:r>
      <w:r w:rsidR="00AC4DFA" w:rsidRPr="002E26D2">
        <w:rPr>
          <w:rFonts w:ascii="Times New Roman" w:hAnsi="Times New Roman" w:cs="Times New Roman"/>
          <w:noProof/>
          <w:sz w:val="24"/>
          <w:szCs w:val="24"/>
          <w:lang w:val="hr-HR" w:eastAsia="hr-HR"/>
        </w:rPr>
        <w:drawing>
          <wp:inline distT="0" distB="0" distL="0" distR="0" wp14:anchorId="120351AB" wp14:editId="2460BF2D">
            <wp:extent cx="111176" cy="108000"/>
            <wp:effectExtent l="0" t="0" r="317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1176" cy="108000"/>
                    </a:xfrm>
                    <a:prstGeom prst="rect">
                      <a:avLst/>
                    </a:prstGeom>
                  </pic:spPr>
                </pic:pic>
              </a:graphicData>
            </a:graphic>
          </wp:inline>
        </w:drawing>
      </w:r>
      <w:r w:rsidR="00AC4DFA" w:rsidRPr="002E26D2">
        <w:rPr>
          <w:rFonts w:ascii="Times New Roman" w:hAnsi="Times New Roman" w:cs="Times New Roman"/>
          <w:sz w:val="24"/>
          <w:szCs w:val="24"/>
        </w:rPr>
        <w:t>) combined with classical (^) or alternative (</w:t>
      </w:r>
      <w:r w:rsidR="00AC4DFA" w:rsidRPr="002E26D2">
        <w:rPr>
          <w:rFonts w:ascii="Times New Roman" w:hAnsi="Times New Roman" w:cs="Times New Roman"/>
          <w:noProof/>
          <w:sz w:val="24"/>
          <w:szCs w:val="24"/>
          <w:lang w:val="hr-HR" w:eastAsia="hr-HR"/>
        </w:rPr>
        <w:drawing>
          <wp:inline distT="0" distB="0" distL="0" distR="0" wp14:anchorId="2E92E1B6" wp14:editId="53E9DE14">
            <wp:extent cx="95250" cy="74531"/>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0795" cy="86695"/>
                    </a:xfrm>
                    <a:prstGeom prst="rect">
                      <a:avLst/>
                    </a:prstGeom>
                  </pic:spPr>
                </pic:pic>
              </a:graphicData>
            </a:graphic>
          </wp:inline>
        </w:drawing>
      </w:r>
      <w:r w:rsidR="00AC4DFA" w:rsidRPr="002E26D2">
        <w:rPr>
          <w:rFonts w:ascii="Times New Roman" w:hAnsi="Times New Roman" w:cs="Times New Roman"/>
          <w:sz w:val="24"/>
          <w:szCs w:val="24"/>
        </w:rPr>
        <w:t xml:space="preserve">) splicing lead to the predicted expression of several NME6 isoforms. Exons are represented by colored boxes and enumerated. Numbers above start codons refer to the amino acid length of the predicted NME6 protein isoforms. </w:t>
      </w:r>
      <w:r w:rsidR="00AC4DFA" w:rsidRPr="002E26D2">
        <w:rPr>
          <w:rFonts w:ascii="Times New Roman" w:hAnsi="Times New Roman" w:cs="Times New Roman"/>
          <w:b/>
          <w:sz w:val="24"/>
          <w:szCs w:val="24"/>
        </w:rPr>
        <w:t>B</w:t>
      </w:r>
      <w:r w:rsidR="00AC4DFA" w:rsidRPr="002E26D2">
        <w:rPr>
          <w:rFonts w:ascii="Times New Roman" w:hAnsi="Times New Roman" w:cs="Times New Roman"/>
          <w:sz w:val="24"/>
          <w:szCs w:val="24"/>
        </w:rPr>
        <w:t xml:space="preserve"> Predicted NME6 protein isoforms: Colors are associated to exons presented in A. Isoforms are labelled</w:t>
      </w:r>
      <w:r w:rsidR="00065F19">
        <w:rPr>
          <w:rFonts w:ascii="Times New Roman" w:hAnsi="Times New Roman" w:cs="Times New Roman"/>
          <w:sz w:val="24"/>
          <w:szCs w:val="24"/>
        </w:rPr>
        <w:t xml:space="preserve"> </w:t>
      </w:r>
      <w:r w:rsidR="00065F19">
        <w:rPr>
          <w:rFonts w:ascii="Times New Roman" w:hAnsi="Times New Roman" w:cs="Times New Roman"/>
          <w:sz w:val="24"/>
          <w:szCs w:val="24"/>
        </w:rPr>
        <w:lastRenderedPageBreak/>
        <w:t>on the right</w:t>
      </w:r>
      <w:r w:rsidR="00AC4DFA" w:rsidRPr="002E26D2">
        <w:rPr>
          <w:rFonts w:ascii="Times New Roman" w:hAnsi="Times New Roman" w:cs="Times New Roman"/>
          <w:sz w:val="24"/>
          <w:szCs w:val="24"/>
        </w:rPr>
        <w:t xml:space="preserve"> according to their amino acid length (194aa). The amino acid numeration of NME6-194 is used for all isoforms. The hatched pattern represents a different amino acid sequence as compared to isoform 194. Letters refer to the conserved amino acids deemed essential for enzyme structure and activity. The main histidine of the catalytic site is highlighted in bold and underlined. The immunogenic sequence used to produce the highly specific NME6 antibody used in this study is represented as a black line (anti NME6-HPA). </w:t>
      </w:r>
      <w:r w:rsidR="00AC4DFA" w:rsidRPr="002E26D2">
        <w:rPr>
          <w:rFonts w:ascii="Times New Roman" w:hAnsi="Times New Roman" w:cs="Times New Roman"/>
          <w:b/>
          <w:sz w:val="24"/>
          <w:szCs w:val="24"/>
        </w:rPr>
        <w:t>C</w:t>
      </w:r>
      <w:r w:rsidR="00AC4DFA" w:rsidRPr="002E26D2">
        <w:rPr>
          <w:rFonts w:ascii="Times New Roman" w:hAnsi="Times New Roman" w:cs="Times New Roman"/>
          <w:sz w:val="24"/>
          <w:szCs w:val="24"/>
        </w:rPr>
        <w:t xml:space="preserve"> Amino-acid sequence of the NME6-194 isoform. Colors are associated to exons presented in A. Conserved amino acids deemed essential for enzyme structure and activity are displayed in bold, and the main histidine is underlined.</w:t>
      </w:r>
      <w:bookmarkEnd w:id="53"/>
    </w:p>
    <w:p w14:paraId="78A5B3CD" w14:textId="4AD1889E"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structure of NME6 protein is not resolved to date. Nevertheless, the recent advance in structure prediction based on amino acid sequence and boosted by artificial intelligence generated a high confidence model for the human NME6-186 isoform </w:t>
      </w:r>
      <w:r w:rsidRPr="002E26D2">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{"citationItems":[{"id":"ITEM-1","itemData":{"URL":"https://alphafold.ebi.ac.uk/entry/O75414","accessed":{"date-parts":[["2022","5","20"]]},"id":"ITEM-1","issued":{"date-parts":[["0"]]},"title":"AlphaFold_Human NME6 Protein Predicted Structure","type":"webpage"},"uris":["http://www.mendeley.com/documents/?uuid=0b219426-40e9-33f2-8369-ecda6df6de0d"]},{"id":"ITEM-2","itemData":{"DOI":"10.1038/s41586-021-03819-2","ISSN":"0028-0836","PMID":"34265844","abstract":"Proteins are essential to life, and understanding their structure can facilitate a mechanistic understanding of their function. Through an enormous experimental effort 1–4 , the structures of around 100,000 unique proteins have been determined 5 , but this represents a small fraction of the billions of known protein sequences 6,7 . Structural coverage is bottlenecked by the months to years of painstaking effort required to determine a single protein structure. Accurate computational approaches are needed to address this gap and to enable large-scale structural bioinformatics. Predicting the three-dimensional structure that a protein will adopt based solely on its amino acid sequence—the structure prediction component of the ‘protein folding problem’ 8 —has been an important open research problem for more than 50 years 9 . Despite recent progress 10–14 , existing methods fall far short of atomic accuracy, especially when no homologous structure is available. Here we provide the first computational method that can regularly predict protein structures with atomic accuracy even in cases in which no similar structure is known. We validated an entirely redesigned version of our neural network-based model, AlphaFold, in the challenging 14th Critical Assessment of protein Structure Prediction (CASP14) 15 , demonstrating accuracy competitive with experimental structures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author":[{"dropping-particle":"","family":"Jumper","given":"John","non-dropping-particle":"","parse-names":false,"suffix":""},{"dropping-particle":"","family":"Evans","given":"Richard","non-dropping-particle":"","parse-names":false,"suffix":""},{"dropping-particle":"","family":"Pritzel","given":"Alexander","non-dropping-particle":"","parse-names":false,"suffix":""},{"dropping-particle":"","family":"Green","given":"Tim","non-dropping-particle":"","parse-names":false,"suffix":""},{"dropping-particle":"","family":"Figurnov","given":"Michael","non-dropping-particle":"","parse-names":false,"suffix":""},{"dropping-particle":"","family":"Ronneberger","given":"Olaf","non-dropping-particle":"","parse-names":false,"suffix":""},{"dropping-particle":"","family":"Tunyasuvunakool","given":"Kathryn","non-dropping-particle":"","parse-names":false,"suffix":""},{"dropping-particle":"","family":"Bates","given":"Russ","non-dropping-particle":"","parse-names":false,"suffix":""},{"dropping-particle":"","family":"Žídek","given":"Augustin","non-dropping-particle":"","parse-names":false,"suffix":""},{"dropping-particle":"","family":"Potapenko","given":"Anna","non-dropping-particle":"","parse-names":false,"suffix":""},{"dropping-particle":"","family":"Bridgland","given":"Alex","non-dropping-particle":"","parse-names":false,"suffix":""},{"dropping-particle":"","family":"Meyer","given":"Clemens","non-dropping-particle":"","parse-names":false,"suffix":""},{"dropping-particle":"","family":"Kohl","given":"Simon A. A.","non-dropping-particle":"","parse-names":false,"suffix":""},{"dropping-particle":"","family":"Ballard","given":"Andrew J.","non-dropping-particle":"","parse-names":false,"suffix":""},{"dropping-particle":"","family":"Cowie","given":"Andrew","non-dropping-particle":"","parse-names":false,"suffix":""},{"dropping-particle":"","family":"Romera-Paredes","given":"Bernardino","non-dropping-particle":"","parse-names":false,"suffix":""},{"dropping-particle":"","family":"Nikolov","given":"Stanislav","non-dropping-particle":"","parse-names":false,"suffix":""},{"dropping-particle":"","family":"Jain","given":"Rishub","non-dropping-particle":"","parse-names":false,"suffix":""},{"dropping-particle":"","family":"Adler","given":"Jonas","non-dropping-particle":"","parse-names":false,"suffix":""},{"dropping-particle":"","family":"Back","given":"Trevor","non-dropping-particle":"","parse-names":false,"suffix":""},{"dropping-particle":"","family":"Petersen","given":"Stig","non-dropping-particle":"","parse-names":false,"suffix":""},{"dropping-particle":"","family":"Reiman","given":"David","non-dropping-particle":"","parse-names":false,"suffix":""},{"dropping-particle":"","family":"Clancy","given":"Ellen","non-dropping-particle":"","parse-names":false,"suffix":""},{"dropping-particle":"","family":"Zielinski","given":"Michal","non-dropping-particle":"","parse-names":false,"suffix":""},{"dropping-particle":"","family":"Steinegger","given":"Martin","non-dropping-particle":"","parse-names":false,"suffix":""},{"dropping-particle":"","family":"Pacholska","given":"Michalina","non-dropping-particle":"","parse-names":false,"suffix":""},{"dropping-particle":"","family":"Berghammer","given":"Tamas","non-dropping-particle":"","parse-names":false,"suffix":""},{"dropping-particle":"","family":"Bodenstein","given":"Sebastian","non-dropping-particle":"","parse-names":false,"suffix":""},{"dropping-particle":"","family":"Silver","given":"David","non-dropping-particle":"","parse-names":false,"suffix":""},{"dropping-particle":"","family":"Vinyals","given":"Oriol","non-dropping-particle":"","parse-names":false,"suffix":""},{"dropping-particle":"","family":"Senior","given":"Andrew W.","non-dropping-particle":"","parse-names":false,"suffix":""},{"dropping-particle":"","family":"Kavukcuoglu","given":"Koray","non-dropping-particle":"","parse-names":false,"suffix":""},{"dropping-particle":"","family":"Kohli","given":"Pushmeet","non-dropping-particle":"","parse-names":false,"suffix":""},{"dropping-particle":"","family":"Hassabis","given":"Demis","non-dropping-particle":"","parse-names":false,"suffix":""}],"container-title":"Nature","id":"ITEM-2","issue":"7873","issued":{"date-parts":[["2021","8","26"]]},"page":"583-589","publisher":"Nature Publishing Group","title":"Highly accurate protein structure prediction with AlphaFold","type":"article-journal","volume":"596"},"uris":["http://www.mendeley.com/documents/?uuid=f54c51bb-f20b-3c0f-8423-4c101a8c95e6"]},{"id":"ITEM-3","itemData":{"DOI":"10.1093/NAR/GKAB1061","ISSN":"0305-1048","PMID":"34791371","abstract":"The AlphaFold Protein Structure Database (AlphaFold DB, https://alphafold.ebi.ac.uk) is an openly accessible, extensive database of high-accuracy protein-structure predictions. Powered by AlphaFold v2.0 of DeepMind, it has enabled an unprecedented expansion of the structural coverage of the known protein-sequence space. AlphaFold DB provides programmatic access to and interactive visualization of predicted atomic coordinates, per-residue and pairwise model-confidence estimates and predicted aligned errors. The initial release of AlphaFold DB contains over 360,000 predicted structures across 21 model-organism proteomes, which will soon be expanded to cover most of the (over 100 million) representative sequences from the UniRef90 data set.","author":[{"dropping-particle":"","family":"Varadi","given":"Mihaly","non-dropping-particle":"","parse-names":false,"suffix":""},{"dropping-particle":"","family":"Anyango","given":"Stephen","non-dropping-particle":"","parse-names":false,"suffix":""},{"dropping-particle":"","family":"Deshpande","given":"Mandar","non-dropping-particle":"","parse-names":false,"suffix":""},{"dropping-particle":"","family":"Nair","given":"Sreenath","non-dropping-particle":"","parse-names":false,"suffix":""},{"dropping-particle":"","family":"Natassia","given":"Cindy","non-dropping-particle":"","parse-names":false,"suffix":""},{"dropping-particle":"","family":"Yordanova","given":"Galabina","non-dropping-particle":"","parse-names":false,"suffix":""},{"dropping-particle":"","family":"Yuan","given":"David","non-dropping-particle":"","parse-names":false,"suffix":""},{"dropping-particle":"","family":"Stroe","given":"Oana","non-dropping-particle":"","parse-names":false,"suffix":""},{"dropping-particle":"","family":"Wood","given":"Gemma","non-dropping-particle":"","parse-names":false,"suffix":""},{"dropping-particle":"","family":"Laydon","given":"Agata","non-dropping-particle":"","parse-names":false,"suffix":""},{"dropping-particle":"","family":"Zídek","given":"Augustin","non-dropping-particle":"","parse-names":false,"suffix":""},{"dropping-particle":"","family":"Green","given":"Tim","non-dropping-particle":"","parse-names":false,"suffix":""},{"dropping-particle":"","family":"Tunyasuvunakool","given":"Kathryn","non-dropping-particle":"","parse-names":false,"suffix":""},{"dropping-particle":"","family":"Petersen","given":"Stig","non-dropping-particle":"","parse-names":false,"suffix":""},{"dropping-particle":"","family":"Jumper","given":"John","non-dropping-particle":"","parse-names":false,"suffix":""},{"dropping-particle":"","family":"Clancy","given":"Ellen","non-dropping-particle":"","parse-names":false,"suffix":""},{"dropping-particle":"","family":"Green","given":"Richard","non-dropping-particle":"","parse-names":false,"suffix":""},{"dropping-particle":"","family":"Vora","given":"Ankur","non-dropping-particle":"","parse-names":false,"suffix":""},{"dropping-particle":"","family":"Lutfi","given":"Mira","non-dropping-particle":"","parse-names":false,"suffix":""},{"dropping-particle":"","family":"Figurnov","given":"Michael","non-dropping-particle":"","parse-names":false,"suffix":""},{"dropping-particle":"","family":"Cowie","given":"Andrew","non-dropping-particle":"","parse-names":false,"suffix":""},{"dropping-particle":"","family":"Hobbs","given":"Nicole","non-dropping-particle":"","parse-names":false,"suffix":""},{"dropping-particle":"","family":"Kohli","given":"Pushmeet","non-dropping-particle":"","parse-names":false,"suffix":""},{"dropping-particle":"","family":"Kleywegt","given":"Gerard","non-dropping-particle":"","parse-names":false,"suffix":""},{"dropping-particle":"","family":"Birney","given":"Ewan","non-dropping-particle":"","parse-names":false,"suffix":""},{"dropping-particle":"","family":"Hassabis","given":"Demis","non-dropping-particle":"","parse-names":false,"suffix":""},{"dropping-particle":"","family":"Velankar","given":"Sameer","non-dropping-particle":"","parse-names":false,"suffix":""}],"container-title":"Nucleic Acids Research","id":"ITEM-3","issue":"D1","issued":{"date-parts":[["2022","1","7"]]},"page":"D439-D444","publisher":"Oxford Academic","title":"AlphaFold Protein Structure Database: massively expanding the structural coverage of protein-sequence space with high-accuracy models","type":"article-journal","volume":"50"},"uris":["http://www.mendeley.com/documents/?uuid=f2aa52da-7e7f-335e-aafd-8cd2c3fda25f"]}],"mendeley":{"formattedCitation":"[105–107]","plainTextFormattedCitation":"[105–107]","previouslyFormattedCitation":"[105–107]"},"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[105–107]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When superimposed on human NME1 structure (PDB structure: 2HVD), the NME6 model revealed that the conserved amino acid of the catalytic site shares the same 3D position (</w:t>
      </w:r>
      <w:r w:rsidR="00A232AE" w:rsidRPr="002E26D2">
        <w:rPr>
          <w:rFonts w:ascii="Times New Roman" w:hAnsi="Times New Roman" w:cs="Times New Roman"/>
          <w:sz w:val="24"/>
          <w:szCs w:val="24"/>
        </w:rPr>
        <w:fldChar w:fldCharType="begin"/>
      </w:r>
      <w:r w:rsidR="00A232AE" w:rsidRPr="002E26D2">
        <w:rPr>
          <w:rFonts w:ascii="Times New Roman" w:hAnsi="Times New Roman" w:cs="Times New Roman"/>
          <w:sz w:val="24"/>
          <w:szCs w:val="24"/>
        </w:rPr>
        <w:instrText xml:space="preserve"> REF _Ref106009291 \h </w:instrText>
      </w:r>
      <w:r w:rsidR="002E26D2" w:rsidRPr="002E26D2">
        <w:rPr>
          <w:rFonts w:ascii="Times New Roman" w:hAnsi="Times New Roman" w:cs="Times New Roman"/>
          <w:sz w:val="24"/>
          <w:szCs w:val="24"/>
        </w:rPr>
        <w:instrText xml:space="preserve"> \* MERGEFORMAT </w:instrText>
      </w:r>
      <w:r w:rsidR="00A232AE" w:rsidRPr="002E26D2">
        <w:rPr>
          <w:rFonts w:ascii="Times New Roman" w:hAnsi="Times New Roman" w:cs="Times New Roman"/>
          <w:sz w:val="24"/>
          <w:szCs w:val="24"/>
        </w:rPr>
      </w:r>
      <w:r w:rsidR="00A232A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15</w:t>
      </w:r>
      <w:r w:rsidR="00A232AE"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Moreover, the superimposition pinpointed the presence of two arginines in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of NME6 (R103, R106), oriented towards the protein surface</w:t>
      </w:r>
      <w:r w:rsidR="00E119BC" w:rsidRPr="002E26D2">
        <w:rPr>
          <w:rFonts w:ascii="Times New Roman" w:hAnsi="Times New Roman" w:cs="Times New Roman"/>
          <w:sz w:val="24"/>
          <w:szCs w:val="24"/>
        </w:rPr>
        <w:t xml:space="preserve"> (</w:t>
      </w:r>
      <w:r w:rsidR="00A232AE" w:rsidRPr="002E26D2">
        <w:rPr>
          <w:rFonts w:ascii="Times New Roman" w:hAnsi="Times New Roman" w:cs="Times New Roman"/>
          <w:sz w:val="24"/>
          <w:szCs w:val="24"/>
        </w:rPr>
        <w:fldChar w:fldCharType="begin"/>
      </w:r>
      <w:r w:rsidR="00A232AE" w:rsidRPr="002E26D2">
        <w:rPr>
          <w:rFonts w:ascii="Times New Roman" w:hAnsi="Times New Roman" w:cs="Times New Roman"/>
          <w:sz w:val="24"/>
          <w:szCs w:val="24"/>
        </w:rPr>
        <w:instrText xml:space="preserve"> REF _Ref106009301 \h </w:instrText>
      </w:r>
      <w:r w:rsidR="002E26D2" w:rsidRPr="002E26D2">
        <w:rPr>
          <w:rFonts w:ascii="Times New Roman" w:hAnsi="Times New Roman" w:cs="Times New Roman"/>
          <w:sz w:val="24"/>
          <w:szCs w:val="24"/>
        </w:rPr>
        <w:instrText xml:space="preserve"> \* MERGEFORMAT </w:instrText>
      </w:r>
      <w:r w:rsidR="00A232AE" w:rsidRPr="002E26D2">
        <w:rPr>
          <w:rFonts w:ascii="Times New Roman" w:hAnsi="Times New Roman" w:cs="Times New Roman"/>
          <w:sz w:val="24"/>
          <w:szCs w:val="24"/>
        </w:rPr>
      </w:r>
      <w:r w:rsidR="00A232A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16</w:t>
      </w:r>
      <w:r w:rsidR="00A232AE"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As a result, the </w:t>
      </w:r>
      <w:r w:rsidRPr="002E26D2">
        <w:rPr>
          <w:rFonts w:ascii="Times New Roman" w:hAnsi="Times New Roman" w:cs="Times New Roman"/>
          <w:i/>
          <w:sz w:val="24"/>
          <w:szCs w:val="24"/>
        </w:rPr>
        <w:t>Kpn</w:t>
      </w:r>
      <w:r w:rsidRPr="002E26D2">
        <w:rPr>
          <w:rFonts w:ascii="Times New Roman" w:hAnsi="Times New Roman" w:cs="Times New Roman"/>
          <w:sz w:val="24"/>
          <w:szCs w:val="24"/>
        </w:rPr>
        <w:t xml:space="preserve"> loop turned strongly positively charged as compared to NME1. Another arginine of the α2 helix of NME6 (R71) obstructs the entrance of the catalytic pocket, as compared to the NME1 structure. This predicted NME6 structure represents a great help for studying NME6, but </w:t>
      </w:r>
      <w:r w:rsidR="002F4969">
        <w:rPr>
          <w:rFonts w:ascii="Times New Roman" w:hAnsi="Times New Roman" w:cs="Times New Roman"/>
          <w:sz w:val="24"/>
          <w:szCs w:val="24"/>
        </w:rPr>
        <w:t xml:space="preserve">still, </w:t>
      </w:r>
      <w:r w:rsidRPr="002E26D2">
        <w:rPr>
          <w:rFonts w:ascii="Times New Roman" w:hAnsi="Times New Roman" w:cs="Times New Roman"/>
          <w:sz w:val="24"/>
          <w:szCs w:val="24"/>
        </w:rPr>
        <w:t xml:space="preserve">needs to be considered </w:t>
      </w:r>
      <w:r w:rsidR="002F4969">
        <w:rPr>
          <w:rFonts w:ascii="Times New Roman" w:hAnsi="Times New Roman" w:cs="Times New Roman"/>
          <w:sz w:val="24"/>
          <w:szCs w:val="24"/>
        </w:rPr>
        <w:t>with caution</w:t>
      </w:r>
      <w:r w:rsidRPr="002E26D2">
        <w:rPr>
          <w:rFonts w:ascii="Times New Roman" w:hAnsi="Times New Roman" w:cs="Times New Roman"/>
          <w:sz w:val="24"/>
          <w:szCs w:val="24"/>
        </w:rPr>
        <w:t xml:space="preserve"> </w:t>
      </w:r>
      <w:r w:rsidR="002F4969">
        <w:rPr>
          <w:rFonts w:ascii="Times New Roman" w:hAnsi="Times New Roman" w:cs="Times New Roman"/>
          <w:sz w:val="24"/>
          <w:szCs w:val="24"/>
        </w:rPr>
        <w:t>and proved experimentally.</w:t>
      </w:r>
      <w:r w:rsidRPr="002E26D2">
        <w:rPr>
          <w:rFonts w:ascii="Times New Roman" w:hAnsi="Times New Roman" w:cs="Times New Roman"/>
          <w:sz w:val="24"/>
          <w:szCs w:val="24"/>
        </w:rPr>
        <w:t xml:space="preserve"> </w:t>
      </w:r>
    </w:p>
    <w:p w14:paraId="3EA58061" w14:textId="77777777" w:rsidR="000D46A1"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4DF992BC" wp14:editId="4995C48E">
            <wp:extent cx="3907986" cy="3140015"/>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l="13033" t="19243" r="12306" b="21770"/>
                    <a:stretch/>
                  </pic:blipFill>
                  <pic:spPr bwMode="auto">
                    <a:xfrm>
                      <a:off x="0" y="0"/>
                      <a:ext cx="3958515" cy="3180614"/>
                    </a:xfrm>
                    <a:prstGeom prst="rect">
                      <a:avLst/>
                    </a:prstGeom>
                    <a:noFill/>
                    <a:ln>
                      <a:noFill/>
                    </a:ln>
                    <a:extLst>
                      <a:ext uri="{53640926-AAD7-44D8-BBD7-CCE9431645EC}">
                        <a14:shadowObscured xmlns:a14="http://schemas.microsoft.com/office/drawing/2010/main"/>
                      </a:ext>
                    </a:extLst>
                  </pic:spPr>
                </pic:pic>
              </a:graphicData>
            </a:graphic>
          </wp:inline>
        </w:drawing>
      </w:r>
    </w:p>
    <w:p w14:paraId="12293227" w14:textId="089FE10A" w:rsidR="00AC4DFA" w:rsidRPr="002E26D2" w:rsidRDefault="000D46A1" w:rsidP="004927BB">
      <w:pPr>
        <w:pStyle w:val="Caption"/>
        <w:spacing w:line="360" w:lineRule="auto"/>
        <w:rPr>
          <w:rFonts w:ascii="Times New Roman" w:hAnsi="Times New Roman" w:cs="Times New Roman"/>
          <w:sz w:val="24"/>
          <w:szCs w:val="24"/>
        </w:rPr>
      </w:pPr>
      <w:bookmarkStart w:id="54" w:name="_Ref106009291"/>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15</w:t>
      </w:r>
      <w:r w:rsidRPr="002E26D2">
        <w:rPr>
          <w:rFonts w:ascii="Times New Roman" w:hAnsi="Times New Roman" w:cs="Times New Roman"/>
          <w:sz w:val="24"/>
          <w:szCs w:val="24"/>
        </w:rPr>
        <w:fldChar w:fldCharType="end"/>
      </w:r>
      <w:bookmarkStart w:id="55" w:name="_Ref105752002"/>
      <w:bookmarkEnd w:id="54"/>
      <w:r w:rsidRPr="002E26D2">
        <w:rPr>
          <w:rFonts w:ascii="Times New Roman" w:hAnsi="Times New Roman" w:cs="Times New Roman"/>
          <w:sz w:val="24"/>
          <w:szCs w:val="24"/>
        </w:rPr>
        <w:t xml:space="preserve"> </w:t>
      </w:r>
      <w:r w:rsidR="00AC4DFA" w:rsidRPr="006A257A">
        <w:rPr>
          <w:rFonts w:ascii="Times New Roman" w:hAnsi="Times New Roman" w:cs="Times New Roman"/>
          <w:sz w:val="24"/>
          <w:szCs w:val="24"/>
          <w:u w:val="single"/>
        </w:rPr>
        <w:t>: The NME6 catalytic site.</w:t>
      </w:r>
      <w:r w:rsidR="00AC4DFA" w:rsidRPr="002E26D2">
        <w:rPr>
          <w:rFonts w:ascii="Times New Roman" w:hAnsi="Times New Roman" w:cs="Times New Roman"/>
          <w:sz w:val="24"/>
          <w:szCs w:val="24"/>
        </w:rPr>
        <w:t xml:space="preserve"> Predicted structure of </w:t>
      </w:r>
      <w:r w:rsidR="00C71776">
        <w:rPr>
          <w:rFonts w:ascii="Times New Roman" w:hAnsi="Times New Roman" w:cs="Times New Roman"/>
          <w:sz w:val="24"/>
          <w:szCs w:val="24"/>
        </w:rPr>
        <w:t xml:space="preserve">the </w:t>
      </w:r>
      <w:r w:rsidR="00AC4DFA" w:rsidRPr="002E26D2">
        <w:rPr>
          <w:rFonts w:ascii="Times New Roman" w:hAnsi="Times New Roman" w:cs="Times New Roman"/>
          <w:sz w:val="24"/>
          <w:szCs w:val="24"/>
        </w:rPr>
        <w:t>human NME6-186</w:t>
      </w:r>
      <w:r w:rsidR="00C71776">
        <w:rPr>
          <w:rFonts w:ascii="Times New Roman" w:hAnsi="Times New Roman" w:cs="Times New Roman"/>
          <w:sz w:val="24"/>
          <w:szCs w:val="24"/>
        </w:rPr>
        <w:t xml:space="preserve"> protein</w:t>
      </w:r>
      <w:r w:rsidR="00AC4DFA" w:rsidRPr="002E26D2">
        <w:rPr>
          <w:rFonts w:ascii="Times New Roman" w:hAnsi="Times New Roman" w:cs="Times New Roman"/>
          <w:sz w:val="24"/>
          <w:szCs w:val="24"/>
        </w:rPr>
        <w:t xml:space="preserve"> is represented as cartoon. The conserved amino acids of the catalytic site deemed important for enzyme structure and activity are represented as stick in green. The main histidine H129 is represented in cyan.</w:t>
      </w:r>
      <w:bookmarkEnd w:id="55"/>
      <w:r w:rsidR="00A81C89">
        <w:rPr>
          <w:rFonts w:ascii="Times New Roman" w:hAnsi="Times New Roman" w:cs="Times New Roman"/>
          <w:sz w:val="24"/>
          <w:szCs w:val="24"/>
        </w:rPr>
        <w:t>(NME6 Alpha</w:t>
      </w:r>
      <w:r w:rsidR="00F1030B">
        <w:rPr>
          <w:rFonts w:ascii="Times New Roman" w:hAnsi="Times New Roman" w:cs="Times New Roman"/>
          <w:sz w:val="24"/>
          <w:szCs w:val="24"/>
        </w:rPr>
        <w:t>F</w:t>
      </w:r>
      <w:r w:rsidR="00A81C89">
        <w:rPr>
          <w:rFonts w:ascii="Times New Roman" w:hAnsi="Times New Roman" w:cs="Times New Roman"/>
          <w:sz w:val="24"/>
          <w:szCs w:val="24"/>
        </w:rPr>
        <w:t>old predicted structure AF-O75414-F1)</w:t>
      </w:r>
      <w:r w:rsidR="00A81C89" w:rsidRPr="00A81C89">
        <w:rPr>
          <w:rFonts w:ascii="Times New Roman" w:hAnsi="Times New Roman" w:cs="Times New Roman"/>
          <w:sz w:val="24"/>
          <w:szCs w:val="24"/>
        </w:rPr>
        <w:t xml:space="preserve"> </w:t>
      </w:r>
      <w:r w:rsidR="00A81C89" w:rsidRPr="002E26D2">
        <w:rPr>
          <w:rFonts w:ascii="Times New Roman" w:hAnsi="Times New Roman" w:cs="Times New Roman"/>
          <w:sz w:val="24"/>
          <w:szCs w:val="24"/>
        </w:rPr>
        <w:fldChar w:fldCharType="begin" w:fldLock="1"/>
      </w:r>
      <w:r w:rsidR="00A81C89">
        <w:rPr>
          <w:rFonts w:ascii="Times New Roman" w:hAnsi="Times New Roman" w:cs="Times New Roman"/>
          <w:sz w:val="24"/>
          <w:szCs w:val="24"/>
        </w:rPr>
        <w:instrText>ADDIN CSL_CITATION {"citationItems":[{"id":"ITEM-1","itemData":{"URL":"https://alphafold.ebi.ac.uk/entry/O75414","accessed":{"date-parts":[["2022","5","20"]]},"id":"ITEM-1","issued":{"date-parts":[["0"]]},"title":"AlphaFold_Human NME6 Protein Predicted Structure","type":"webpage"},"uris":["http://www.mendeley.com/documents/?uuid=0b219426-40e9-33f2-8369-ecda6df6de0d"]},{"id":"ITEM-2","itemData":{"DOI":"10.1093/NAR/GKAB1061","ISSN":"0305-1048","PMID":"34791371","abstract":"The AlphaFold Protein Structure Database (AlphaFold DB, https://alphafold.ebi.ac.uk) is an openly accessible, extensive database of high-accuracy protein-structure predictions. Powered by AlphaFold v2.0 of DeepMind, it has enabled an unprecedented expansion of the structural coverage of the known protein-sequence space. AlphaFold DB provides programmatic access to and interactive visualization of predicted atomic coordinates, per-residue and pairwise model-confidence estimates and predicted aligned errors. The initial release of AlphaFold DB contains over 360,000 predicted structures across 21 model-organism proteomes, which will soon be expanded to cover most of the (over 100 million) representative sequences from the UniRef90 data set.","author":[{"dropping-particle":"","family":"Varadi","given":"Mihaly","non-dropping-particle":"","parse-names":false,"suffix":""},{"dropping-particle":"","family":"Anyango","given":"Stephen","non-dropping-particle":"","parse-names":false,"suffix":""},{"dropping-particle":"","family":"Deshpande","given":"Mandar","non-dropping-particle":"","parse-names":false,"suffix":""},{"dropping-particle":"","family":"Nair","given":"Sreenath","non-dropping-particle":"","parse-names":false,"suffix":""},{"dropping-particle":"","family":"Natassia","given":"Cindy","non-dropping-particle":"","parse-names":false,"suffix":""},{"dropping-particle":"","family":"Yordanova","given":"Galabina","non-dropping-particle":"","parse-names":false,"suffix":""},{"dropping-particle":"","family":"Yuan","given":"David","non-dropping-particle":"","parse-names":false,"suffix":""},{"dropping-particle":"","family":"Stroe","given":"Oana","non-dropping-particle":"","parse-names":false,"suffix":""},{"dropping-particle":"","family":"Wood","given":"Gemma","non-dropping-particle":"","parse-names":false,"suffix":""},{"dropping-particle":"","family":"Laydon","given":"Agata","non-dropping-particle":"","parse-names":false,"suffix":""},{"dropping-particle":"","family":"Zídek","given":"Augustin","non-dropping-particle":"","parse-names":false,"suffix":""},{"dropping-particle":"","family":"Green","given":"Tim","non-dropping-particle":"","parse-names":false,"suffix":""},{"dropping-particle":"","family":"Tunyasuvunakool","given":"Kathryn","non-dropping-particle":"","parse-names":false,"suffix":""},{"dropping-particle":"","family":"Petersen","given":"Stig","non-dropping-particle":"","parse-names":false,"suffix":""},{"dropping-particle":"","family":"Jumper","given":"John","non-dropping-particle":"","parse-names":false,"suffix":""},{"dropping-particle":"","family":"Clancy","given":"Ellen","non-dropping-particle":"","parse-names":false,"suffix":""},{"dropping-particle":"","family":"Green","given":"Richard","non-dropping-particle":"","parse-names":false,"suffix":""},{"dropping-particle":"","family":"Vora","given":"Ankur","non-dropping-particle":"","parse-names":false,"suffix":""},{"dropping-particle":"","family":"Lutfi","given":"Mira","non-dropping-particle":"","parse-names":false,"suffix":""},{"dropping-particle":"","family":"Figurnov","given":"Michael","non-dropping-particle":"","parse-names":false,"suffix":""},{"dropping-particle":"","family":"Cowie","given":"Andrew","non-dropping-particle":"","parse-names":false,"suffix":""},{"dropping-particle":"","family":"Hobbs","given":"Nicole","non-dropping-particle":"","parse-names":false,"suffix":""},{"dropping-particle":"","family":"Kohli","given":"Pushmeet","non-dropping-particle":"","parse-names":false,"suffix":""},{"dropping-particle":"","family":"Kleywegt","given":"Gerard","non-dropping-particle":"","parse-names":false,"suffix":""},{"dropping-particle":"","family":"Birney","given":"Ewan","non-dropping-particle":"","parse-names":false,"suffix":""},{"dropping-particle":"","family":"Hassabis","given":"Demis","non-dropping-particle":"","parse-names":false,"suffix":""},{"dropping-particle":"","family":"Velankar","given":"Sameer","non-dropping-particle":"","parse-names":false,"suffix":""}],"container-title":"Nucleic Acids Research","id":"ITEM-2","issue":"D1","issued":{"date-parts":[["2022","1","7"]]},"page":"D439-D444","publisher":"Oxford Academic","title":"AlphaFold Protein Structure Database: massively expanding the structural coverage of protein-sequence space with high-accuracy models","type":"article-journal","volume":"50"},"uris":["http://www.mendeley.com/documents/?uuid=f2aa52da-7e7f-335e-aafd-8cd2c3fda25f"]},{"id":"ITEM-3","itemData":{"DOI":"10.1038/s41586-021-03819-2","ISSN":"0028-0836","PMID":"34265844","abstract":"Proteins are essential to life, and understanding their structure can facilitate a mechanistic understanding of their function. Through an enormous experimental effort 1–4 , the structures of around 100,000 unique proteins have been determined 5 , but this represents a small fraction of the billions of known protein sequences 6,7 . Structural coverage is bottlenecked by the months to years of painstaking effort required to determine a single protein structure. Accurate computational approaches are needed to address this gap and to enable large-scale structural bioinformatics. Predicting the three-dimensional structure that a protein will adopt based solely on its amino acid sequence—the structure prediction component of the ‘protein folding problem’ 8 —has been an important open research problem for more than 50 years 9 . Despite recent progress 10–14 , existing methods fall far short of atomic accuracy, especially when no homologous structure is available. Here we provide the first computational method that can regularly predict protein structures with atomic accuracy even in cases in which no similar structure is known. We validated an entirely redesigned version of our neural network-based model, AlphaFold, in the challenging 14th Critical Assessment of protein Structure Prediction (CASP14) 15 , demonstrating accuracy competitive with experimental structures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author":[{"dropping-particle":"","family":"Jumper","given":"John","non-dropping-particle":"","parse-names":false,"suffix":""},{"dropping-particle":"","family":"Evans","given":"Richard","non-dropping-particle":"","parse-names":false,"suffix":""},{"dropping-particle":"","family":"Pritzel","given":"Alexander","non-dropping-particle":"","parse-names":false,"suffix":""},{"dropping-particle":"","family":"Green","given":"Tim","non-dropping-particle":"","parse-names":false,"suffix":""},{"dropping-particle":"","family":"Figurnov","given":"Michael","non-dropping-particle":"","parse-names":false,"suffix":""},{"dropping-particle":"","family":"Ronneberger","given":"Olaf","non-dropping-particle":"","parse-names":false,"suffix":""},{"dropping-particle":"","family":"Tunyasuvunakool","given":"Kathryn","non-dropping-particle":"","parse-names":false,"suffix":""},{"dropping-particle":"","family":"Bates","given":"Russ","non-dropping-particle":"","parse-names":false,"suffix":""},{"dropping-particle":"","family":"Žídek","given":"Augustin","non-dropping-particle":"","parse-names":false,"suffix":""},{"dropping-particle":"","family":"Potapenko","given":"Anna","non-dropping-particle":"","parse-names":false,"suffix":""},{"dropping-particle":"","family":"Bridgland","given":"Alex","non-dropping-particle":"","parse-names":false,"suffix":""},{"dropping-particle":"","family":"Meyer","given":"Clemens","non-dropping-particle":"","parse-names":false,"suffix":""},{"dropping-particle":"","family":"Kohl","given":"Simon A. A.","non-dropping-particle":"","parse-names":false,"suffix":""},{"dropping-particle":"","family":"Ballard","given":"Andrew J.","non-dropping-particle":"","parse-names":false,"suffix":""},{"dropping-particle":"","family":"Cowie","given":"Andrew","non-dropping-particle":"","parse-names":false,"suffix":""},{"dropping-particle":"","family":"Romera-Paredes","given":"Bernardino","non-dropping-particle":"","parse-names":false,"suffix":""},{"dropping-particle":"","family":"Nikolov","given":"Stanislav","non-dropping-particle":"","parse-names":false,"suffix":""},{"dropping-particle":"","family":"Jain","given":"Rishub","non-dropping-particle":"","parse-names":false,"suffix":""},{"dropping-particle":"","family":"Adler","given":"Jonas","non-dropping-particle":"","parse-names":false,"suffix":""},{"dropping-particle":"","family":"Back","given":"Trevor","non-dropping-particle":"","parse-names":false,"suffix":""},{"dropping-particle":"","family":"Petersen","given":"Stig","non-dropping-particle":"","parse-names":false,"suffix":""},{"dropping-particle":"","family":"Reiman","given":"David","non-dropping-particle":"","parse-names":false,"suffix":""},{"dropping-particle":"","family":"Clancy","given":"Ellen","non-dropping-particle":"","parse-names":false,"suffix":""},{"dropping-particle":"","family":"Zielinski","given":"Michal","non-dropping-particle":"","parse-names":false,"suffix":""},{"dropping-particle":"","family":"Steinegger","given":"Martin","non-dropping-particle":"","parse-names":false,"suffix":""},{"dropping-particle":"","family":"Pacholska","given":"Michalina","non-dropping-particle":"","parse-names":false,"suffix":""},{"dropping-particle":"","family":"Berghammer","given":"Tamas","non-dropping-particle":"","parse-names":false,"suffix":""},{"dropping-particle":"","family":"Bodenstein","given":"Sebastian","non-dropping-particle":"","parse-names":false,"suffix":""},{"dropping-particle":"","family":"Silver","given":"David","non-dropping-particle":"","parse-names":false,"suffix":""},{"dropping-particle":"","family":"Vinyals","given":"Oriol","non-dropping-particle":"","parse-names":false,"suffix":""},{"dropping-particle":"","family":"Senior","given":"Andrew W.","non-dropping-particle":"","parse-names":false,"suffix":""},{"dropping-particle":"","family":"Kavukcuoglu","given":"Koray","non-dropping-particle":"","parse-names":false,"suffix":""},{"dropping-particle":"","family":"Kohli","given":"Pushmeet","non-dropping-particle":"","parse-names":false,"suffix":""},{"dropping-particle":"","family":"Hassabis","given":"Demis","non-dropping-particle":"","parse-names":false,"suffix":""}],"container-title":"Nature","id":"ITEM-3","issue":"7873","issued":{"date-parts":[["2021","8","26"]]},"page":"583-589","publisher":"Nature Publishing Group","title":"Highly accurate protein structure prediction with AlphaFold","type":"article-journal","volume":"596"},"uris":["http://www.mendeley.com/documents/?uuid=f54c51bb-f20b-3c0f-8423-4c101a8c95e6"]}],"mendeley":{"formattedCitation":"[105–107]","plainTextFormattedCitation":"[105–107]","previouslyFormattedCitation":"[105–107]"},"properties":{"noteIndex":0},"schema":"https://github.com/citation-style-language/schema/raw/master/csl-citation.json"}</w:instrText>
      </w:r>
      <w:r w:rsidR="00A81C89" w:rsidRPr="002E26D2">
        <w:rPr>
          <w:rFonts w:ascii="Times New Roman" w:hAnsi="Times New Roman" w:cs="Times New Roman"/>
          <w:sz w:val="24"/>
          <w:szCs w:val="24"/>
        </w:rPr>
        <w:fldChar w:fldCharType="separate"/>
      </w:r>
      <w:r w:rsidR="00A81C89" w:rsidRPr="00517C5E">
        <w:rPr>
          <w:rFonts w:ascii="Times New Roman" w:hAnsi="Times New Roman" w:cs="Times New Roman"/>
          <w:i w:val="0"/>
          <w:noProof/>
          <w:sz w:val="24"/>
          <w:szCs w:val="24"/>
        </w:rPr>
        <w:t>[105–107]</w:t>
      </w:r>
      <w:r w:rsidR="00A81C89" w:rsidRPr="002E26D2">
        <w:rPr>
          <w:rFonts w:ascii="Times New Roman" w:hAnsi="Times New Roman" w:cs="Times New Roman"/>
          <w:sz w:val="24"/>
          <w:szCs w:val="24"/>
        </w:rPr>
        <w:fldChar w:fldCharType="end"/>
      </w:r>
    </w:p>
    <w:p w14:paraId="5175B292" w14:textId="77777777" w:rsidR="00AC4DFA" w:rsidRPr="002E26D2" w:rsidRDefault="00AC4DFA" w:rsidP="004927BB">
      <w:pPr>
        <w:spacing w:line="360" w:lineRule="auto"/>
        <w:jc w:val="both"/>
        <w:rPr>
          <w:rFonts w:ascii="Times New Roman" w:hAnsi="Times New Roman" w:cs="Times New Roman"/>
          <w:sz w:val="24"/>
          <w:szCs w:val="24"/>
        </w:rPr>
      </w:pPr>
    </w:p>
    <w:p w14:paraId="0EA95886" w14:textId="77777777" w:rsidR="000D46A1" w:rsidRPr="002E26D2" w:rsidRDefault="00AC4DFA"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79C5A76C" wp14:editId="2EB4E454">
            <wp:extent cx="5760000" cy="205167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00" cy="2051673"/>
                    </a:xfrm>
                    <a:prstGeom prst="rect">
                      <a:avLst/>
                    </a:prstGeom>
                    <a:noFill/>
                  </pic:spPr>
                </pic:pic>
              </a:graphicData>
            </a:graphic>
          </wp:inline>
        </w:drawing>
      </w:r>
    </w:p>
    <w:p w14:paraId="482F06E8" w14:textId="0B43E3F5" w:rsidR="00AC4DFA" w:rsidRPr="00152252" w:rsidRDefault="000D46A1" w:rsidP="004927BB">
      <w:pPr>
        <w:pStyle w:val="Caption"/>
        <w:spacing w:line="360" w:lineRule="auto"/>
        <w:rPr>
          <w:rFonts w:ascii="Times New Roman" w:hAnsi="Times New Roman" w:cs="Times New Roman"/>
          <w:sz w:val="24"/>
          <w:szCs w:val="24"/>
        </w:rPr>
      </w:pPr>
      <w:bookmarkStart w:id="56" w:name="_Ref106009301"/>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16</w:t>
      </w:r>
      <w:r w:rsidRPr="002E26D2">
        <w:rPr>
          <w:rFonts w:ascii="Times New Roman" w:hAnsi="Times New Roman" w:cs="Times New Roman"/>
          <w:sz w:val="24"/>
          <w:szCs w:val="24"/>
        </w:rPr>
        <w:fldChar w:fldCharType="end"/>
      </w:r>
      <w:bookmarkStart w:id="57" w:name="_Ref105752020"/>
      <w:bookmarkEnd w:id="56"/>
      <w:r w:rsidRPr="002E26D2">
        <w:rPr>
          <w:rFonts w:ascii="Times New Roman" w:hAnsi="Times New Roman" w:cs="Times New Roman"/>
          <w:sz w:val="24"/>
          <w:szCs w:val="24"/>
        </w:rPr>
        <w:t xml:space="preserve"> </w:t>
      </w:r>
      <w:r w:rsidR="00AC4DFA" w:rsidRPr="006A257A">
        <w:rPr>
          <w:rFonts w:ascii="Times New Roman" w:hAnsi="Times New Roman" w:cs="Times New Roman"/>
          <w:sz w:val="24"/>
          <w:szCs w:val="24"/>
          <w:u w:val="single"/>
        </w:rPr>
        <w:t xml:space="preserve">: Superimposition of the resolved NME1 structure and </w:t>
      </w:r>
      <w:r w:rsidR="00A81C89">
        <w:rPr>
          <w:rFonts w:ascii="Times New Roman" w:hAnsi="Times New Roman" w:cs="Times New Roman"/>
          <w:sz w:val="24"/>
          <w:szCs w:val="24"/>
          <w:u w:val="single"/>
        </w:rPr>
        <w:t xml:space="preserve">the </w:t>
      </w:r>
      <w:r w:rsidR="00AC4DFA" w:rsidRPr="006A257A">
        <w:rPr>
          <w:rFonts w:ascii="Times New Roman" w:hAnsi="Times New Roman" w:cs="Times New Roman"/>
          <w:sz w:val="24"/>
          <w:szCs w:val="24"/>
          <w:u w:val="single"/>
        </w:rPr>
        <w:t>predicted NME6-186 structure from human.</w:t>
      </w:r>
      <w:r w:rsidR="00AC4DFA" w:rsidRPr="002E26D2">
        <w:rPr>
          <w:rFonts w:ascii="Times New Roman" w:hAnsi="Times New Roman" w:cs="Times New Roman"/>
          <w:sz w:val="24"/>
          <w:szCs w:val="24"/>
        </w:rPr>
        <w:t xml:space="preserve"> Structures are displayed as surface, and the ADP from </w:t>
      </w:r>
      <w:r w:rsidR="00A81C89">
        <w:rPr>
          <w:rFonts w:ascii="Times New Roman" w:hAnsi="Times New Roman" w:cs="Times New Roman"/>
          <w:sz w:val="24"/>
          <w:szCs w:val="24"/>
        </w:rPr>
        <w:t>NME1 structure</w:t>
      </w:r>
      <w:r w:rsidR="00A81C89" w:rsidRPr="002E26D2">
        <w:rPr>
          <w:rFonts w:ascii="Times New Roman" w:hAnsi="Times New Roman" w:cs="Times New Roman"/>
          <w:sz w:val="24"/>
          <w:szCs w:val="24"/>
        </w:rPr>
        <w:t xml:space="preserve"> </w:t>
      </w:r>
      <w:r w:rsidR="00AC4DFA" w:rsidRPr="002E26D2">
        <w:rPr>
          <w:rFonts w:ascii="Times New Roman" w:hAnsi="Times New Roman" w:cs="Times New Roman"/>
          <w:sz w:val="24"/>
          <w:szCs w:val="24"/>
        </w:rPr>
        <w:t xml:space="preserve">is represented as stick in orange, in both NME1 and NME6 structures. </w:t>
      </w:r>
      <w:r w:rsidR="002F4969">
        <w:rPr>
          <w:rFonts w:ascii="Times New Roman" w:hAnsi="Times New Roman" w:cs="Times New Roman"/>
          <w:sz w:val="24"/>
          <w:szCs w:val="24"/>
        </w:rPr>
        <w:t>P</w:t>
      </w:r>
      <w:r w:rsidR="00AC4DFA" w:rsidRPr="002E26D2">
        <w:rPr>
          <w:rFonts w:ascii="Times New Roman" w:hAnsi="Times New Roman" w:cs="Times New Roman"/>
          <w:sz w:val="24"/>
          <w:szCs w:val="24"/>
        </w:rPr>
        <w:t xml:space="preserve">ositively charged arginines from the NME6 Kpn loop (R103, R106, NME6-186 numbering) and obstructing the catalytic pocket (R71, NME6-186 numbering) are represented in yellow, with nitrogen in blue. Molecules were superimposed in </w:t>
      </w:r>
      <w:r w:rsidR="00AC4DFA" w:rsidRPr="00152252">
        <w:rPr>
          <w:rFonts w:ascii="Times New Roman" w:hAnsi="Times New Roman" w:cs="Times New Roman"/>
          <w:sz w:val="24"/>
          <w:szCs w:val="24"/>
        </w:rPr>
        <w:t>Pymol.</w:t>
      </w:r>
      <w:bookmarkEnd w:id="57"/>
      <w:r w:rsidR="00A81C89" w:rsidRPr="00EF42EB">
        <w:rPr>
          <w:rFonts w:ascii="Times New Roman" w:hAnsi="Times New Roman" w:cs="Times New Roman"/>
          <w:sz w:val="24"/>
          <w:szCs w:val="24"/>
        </w:rPr>
        <w:t xml:space="preserve"> (NME1 PDB structure 2HVD;</w:t>
      </w:r>
      <w:r w:rsidR="00A81C89" w:rsidRPr="00152252">
        <w:rPr>
          <w:rFonts w:ascii="Times New Roman" w:hAnsi="Times New Roman" w:cs="Times New Roman"/>
          <w:sz w:val="24"/>
          <w:szCs w:val="24"/>
        </w:rPr>
        <w:t xml:space="preserve"> NME6 Alpha</w:t>
      </w:r>
      <w:r w:rsidR="00F1030B" w:rsidRPr="00152252">
        <w:rPr>
          <w:rFonts w:ascii="Times New Roman" w:hAnsi="Times New Roman" w:cs="Times New Roman"/>
          <w:sz w:val="24"/>
          <w:szCs w:val="24"/>
        </w:rPr>
        <w:t>F</w:t>
      </w:r>
      <w:r w:rsidR="00A81C89" w:rsidRPr="00152252">
        <w:rPr>
          <w:rFonts w:ascii="Times New Roman" w:hAnsi="Times New Roman" w:cs="Times New Roman"/>
          <w:sz w:val="24"/>
          <w:szCs w:val="24"/>
        </w:rPr>
        <w:t>old predicted structure AF-O75414-F1</w:t>
      </w:r>
      <w:r w:rsidR="00A81C89" w:rsidRPr="00EF42EB">
        <w:rPr>
          <w:rFonts w:ascii="Times New Roman" w:hAnsi="Times New Roman" w:cs="Times New Roman"/>
          <w:sz w:val="24"/>
          <w:szCs w:val="24"/>
        </w:rPr>
        <w:t xml:space="preserve">) </w:t>
      </w:r>
      <w:r w:rsidR="00A81C89" w:rsidRPr="00EF42EB">
        <w:rPr>
          <w:rFonts w:ascii="Times New Roman" w:hAnsi="Times New Roman" w:cs="Times New Roman"/>
          <w:sz w:val="24"/>
          <w:szCs w:val="24"/>
        </w:rPr>
        <w:fldChar w:fldCharType="begin" w:fldLock="1"/>
      </w:r>
      <w:r w:rsidR="00A81C89" w:rsidRPr="00EF42EB">
        <w:rPr>
          <w:rFonts w:ascii="Times New Roman" w:hAnsi="Times New Roman" w:cs="Times New Roman"/>
          <w:sz w:val="24"/>
          <w:szCs w:val="24"/>
        </w:rPr>
        <w:instrText>ADDIN CSL_CITATION {"citationItems":[{"id":"ITEM-1","itemData":{"URL":"https://alphafold.ebi.ac.uk/entry/O75414","accessed":{"date-parts":[["2022","5","20"]]},"id":"ITEM-1","issued":{"date-parts":[["0"]]},"title":"AlphaFold_Human NME6 Protein Predicted Structure","type":"webpage"},"uris":["http://www.mendeley.com/documents/?uuid=0b219426-40e9-33f2-8369-ecda6df6de0d"]},{"id":"ITEM-2","itemData":{"DOI":"10.1093/NAR/GKAB1061","ISSN":"0305-1048","PMID":"34791371","abstract":"The AlphaFold Protein Structure Database (AlphaFold DB, https://alphafold.ebi.ac.uk) is an openly accessible, extensive database of high-accuracy protein-structure predictions. Powered by AlphaFold v2.0 of DeepMind, it has enabled an unprecedented expansion of the structural coverage of the known protein-sequence space. AlphaFold DB provides programmatic access to and interactive visualization of predicted atomic coordinates, per-residue and pairwise model-confidence estimates and predicted aligned errors. The initial release of AlphaFold DB contains over 360,000 predicted structures across 21 model-organism proteomes, which will soon be expanded to cover most of the (over 100 million) representative sequences from the UniRef90 data set.","author":[{"dropping-particle":"","family":"Varadi","given":"Mihaly","non-dropping-particle":"","parse-names":false,"suffix":""},{"dropping-particle":"","family":"Anyango","given":"Stephen","non-dropping-particle":"","parse-names":false,"suffix":""},{"dropping-particle":"","family":"Deshpande","given":"Mandar","non-dropping-particle":"","parse-names":false,"suffix":""},{"dropping-particle":"","family":"Nair","given":"Sreenath","non-dropping-particle":"","parse-names":false,"suffix":""},{"dropping-particle":"","family":"Natassia","given":"Cindy","non-dropping-particle":"","parse-names":false,"suffix":""},{"dropping-particle":"","family":"Yordanova","given":"Galabina","non-dropping-particle":"","parse-names":false,"suffix":""},{"dropping-particle":"","family":"Yuan","given":"David","non-dropping-particle":"","parse-names":false,"suffix":""},{"dropping-particle":"","family":"Stroe","given":"Oana","non-dropping-particle":"","parse-names":false,"suffix":""},{"dropping-particle":"","family":"Wood","given":"Gemma","non-dropping-particle":"","parse-names":false,"suffix":""},{"dropping-particle":"","family":"Laydon","given":"Agata","non-dropping-particle":"","parse-names":false,"suffix":""},{"dropping-particle":"","family":"Zídek","given":"Augustin","non-dropping-particle":"","parse-names":false,"suffix":""},{"dropping-particle":"","family":"Green","given":"Tim","non-dropping-particle":"","parse-names":false,"suffix":""},{"dropping-particle":"","family":"Tunyasuvunakool","given":"Kathryn","non-dropping-particle":"","parse-names":false,"suffix":""},{"dropping-particle":"","family":"Petersen","given":"Stig","non-dropping-particle":"","parse-names":false,"suffix":""},{"dropping-particle":"","family":"Jumper","given":"John","non-dropping-particle":"","parse-names":false,"suffix":""},{"dropping-particle":"","family":"Clancy","given":"Ellen","non-dropping-particle":"","parse-names":false,"suffix":""},{"dropping-particle":"","family":"Green","given":"Richard","non-dropping-particle":"","parse-names":false,"suffix":""},{"dropping-particle":"","family":"Vora","given":"Ankur","non-dropping-particle":"","parse-names":false,"suffix":""},{"dropping-particle":"","family":"Lutfi","given":"Mira","non-dropping-particle":"","parse-names":false,"suffix":""},{"dropping-particle":"","family":"Figurnov","given":"Michael","non-dropping-particle":"","parse-names":false,"suffix":""},{"dropping-particle":"","family":"Cowie","given":"Andrew","non-dropping-particle":"","parse-names":false,"suffix":""},{"dropping-particle":"","family":"Hobbs","given":"Nicole","non-dropping-particle":"","parse-names":false,"suffix":""},{"dropping-particle":"","family":"Kohli","given":"Pushmeet","non-dropping-particle":"","parse-names":false,"suffix":""},{"dropping-particle":"","family":"Kleywegt","given":"Gerard","non-dropping-particle":"","parse-names":false,"suffix":""},{"dropping-particle":"","family":"Birney","given":"Ewan","non-dropping-particle":"","parse-names":false,"suffix":""},{"dropping-particle":"","family":"Hassabis","given":"Demis","non-dropping-particle":"","parse-names":false,"suffix":""},{"dropping-particle":"","family":"Velankar","given":"Sameer","non-dropping-particle":"","parse-names":false,"suffix":""}],"container-title":"Nucleic Acids Research","id":"ITEM-2","issue":"D1","issued":{"date-parts":[["2022","1","7"]]},"page":"D439-D444","publisher":"Oxford Academic","title":"AlphaFold Protein Structure Database: massively expanding the structural coverage of protein-sequence space with high-accuracy models","type":"article-journal","volume":"50"},"uris":["http://www.mendeley.com/documents/?uuid=f2aa52da-7e7f-335e-aafd-8cd2c3fda25f"]},{"id":"ITEM-3","itemData":{"DOI":"10.1038/s41586-021-03819-2","ISSN":"0028-0836","PMID":"34265844","abstract":"Proteins are essential to life, and understanding their structure can facilitate a mechanistic understanding of their function. Through an enormous experimental effort 1–4 , the structures of around 100,000 unique proteins have been determined 5 , but this represents a small fraction of the billions of known protein sequences 6,7 . Structural coverage is bottlenecked by the months to years of painstaking effort required to determine a single protein structure. Accurate computational approaches are needed to address this gap and to enable large-scale structural bioinformatics. Predicting the three-dimensional structure that a protein will adopt based solely on its amino acid sequence—the structure prediction component of the ‘protein folding problem’ 8 —has been an important open research problem for more than 50 years 9 . Despite recent progress 10–14 , existing methods fall far short of atomic accuracy, especially when no homologous structure is available. Here we provide the first computational method that can regularly predict protein structures with atomic accuracy even in cases in which no similar structure is known. We validated an entirely redesigned version of our neural network-based model, AlphaFold, in the challenging 14th Critical Assessment of protein Structure Prediction (CASP14) 15 , demonstrating accuracy competitive with experimental structures in a majority of cases and greatly outperforming other methods. Underpinning the latest version of AlphaFold is a novel machine learning approach that incorporates physical and biological knowledge about protein structure, leveraging multi-sequence alignments, into the design of the deep learning algorithm.","author":[{"dropping-particle":"","family":"Jumper","given":"John","non-dropping-particle":"","parse-names":false,"suffix":""},{"dropping-particle":"","family":"Evans","given":"Richard","non-dropping-particle":"","parse-names":false,"suffix":""},{"dropping-particle":"","family":"Pritzel","given":"Alexander","non-dropping-particle":"","parse-names":false,"suffix":""},{"dropping-particle":"","family":"Green","given":"Tim","non-dropping-particle":"","parse-names":false,"suffix":""},{"dropping-particle":"","family":"Figurnov","given":"Michael","non-dropping-particle":"","parse-names":false,"suffix":""},{"dropping-particle":"","family":"Ronneberger","given":"Olaf","non-dropping-particle":"","parse-names":false,"suffix":""},{"dropping-particle":"","family":"Tunyasuvunakool","given":"Kathryn","non-dropping-particle":"","parse-names":false,"suffix":""},{"dropping-particle":"","family":"Bates","given":"Russ","non-dropping-particle":"","parse-names":false,"suffix":""},{"dropping-particle":"","family":"Žídek","given":"Augustin","non-dropping-particle":"","parse-names":false,"suffix":""},{"dropping-particle":"","family":"Potapenko","given":"Anna","non-dropping-particle":"","parse-names":false,"suffix":""},{"dropping-particle":"","family":"Bridgland","given":"Alex","non-dropping-particle":"","parse-names":false,"suffix":""},{"dropping-particle":"","family":"Meyer","given":"Clemens","non-dropping-particle":"","parse-names":false,"suffix":""},{"dropping-particle":"","family":"Kohl","given":"Simon A. A.","non-dropping-particle":"","parse-names":false,"suffix":""},{"dropping-particle":"","family":"Ballard","given":"Andrew J.","non-dropping-particle":"","parse-names":false,"suffix":""},{"dropping-particle":"","family":"Cowie","given":"Andrew","non-dropping-particle":"","parse-names":false,"suffix":""},{"dropping-particle":"","family":"Romera-Paredes","given":"Bernardino","non-dropping-particle":"","parse-names":false,"suffix":""},{"dropping-particle":"","family":"Nikolov","given":"Stanislav","non-dropping-particle":"","parse-names":false,"suffix":""},{"dropping-particle":"","family":"Jain","given":"Rishub","non-dropping-particle":"","parse-names":false,"suffix":""},{"dropping-particle":"","family":"Adler","given":"Jonas","non-dropping-particle":"","parse-names":false,"suffix":""},{"dropping-particle":"","family":"Back","given":"Trevor","non-dropping-particle":"","parse-names":false,"suffix":""},{"dropping-particle":"","family":"Petersen","given":"Stig","non-dropping-particle":"","parse-names":false,"suffix":""},{"dropping-particle":"","family":"Reiman","given":"David","non-dropping-particle":"","parse-names":false,"suffix":""},{"dropping-particle":"","family":"Clancy","given":"Ellen","non-dropping-particle":"","parse-names":false,"suffix":""},{"dropping-particle":"","family":"Zielinski","given":"Michal","non-dropping-particle":"","parse-names":false,"suffix":""},{"dropping-particle":"","family":"Steinegger","given":"Martin","non-dropping-particle":"","parse-names":false,"suffix":""},{"dropping-particle":"","family":"Pacholska","given":"Michalina","non-dropping-particle":"","parse-names":false,"suffix":""},{"dropping-particle":"","family":"Berghammer","given":"Tamas","non-dropping-particle":"","parse-names":false,"suffix":""},{"dropping-particle":"","family":"Bodenstein","given":"Sebastian","non-dropping-particle":"","parse-names":false,"suffix":""},{"dropping-particle":"","family":"Silver","given":"David","non-dropping-particle":"","parse-names":false,"suffix":""},{"dropping-particle":"","family":"Vinyals","given":"Oriol","non-dropping-particle":"","parse-names":false,"suffix":""},{"dropping-particle":"","family":"Senior","given":"Andrew W.","non-dropping-particle":"","parse-names":false,"suffix":""},{"dropping-particle":"","family":"Kavukcuoglu","given":"Koray","non-dropping-particle":"","parse-names":false,"suffix":""},{"dropping-particle":"","family":"Kohli","given":"Pushmeet","non-dropping-particle":"","parse-names":false,"suffix":""},{"dropping-particle":"","family":"Hassabis","given":"Demis","non-dropping-particle":"","parse-names":false,"suffix":""}],"container-title":"Nature","id":"ITEM-3","issue":"7873","issued":{"date-parts":[["2021","8","26"]]},"page":"583-589","publisher":"Nature Publishing Group","title":"Highly accurate protein structure prediction with AlphaFold","type":"article-journal","volume":"596"},"uris":["http://www.mendeley.com/documents/?uuid=f54c51bb-f20b-3c0f-8423-4c101a8c95e6"]}],"mendeley":{"formattedCitation":"[105–107]","plainTextFormattedCitation":"[105–107]","previouslyFormattedCitation":"[105–107]"},"properties":{"noteIndex":0},"schema":"https://github.com/citation-style-language/schema/raw/master/csl-citation.json"}</w:instrText>
      </w:r>
      <w:r w:rsidR="00A81C89" w:rsidRPr="00EF42EB">
        <w:rPr>
          <w:rFonts w:ascii="Times New Roman" w:hAnsi="Times New Roman" w:cs="Times New Roman"/>
          <w:sz w:val="24"/>
          <w:szCs w:val="24"/>
        </w:rPr>
        <w:fldChar w:fldCharType="separate"/>
      </w:r>
      <w:r w:rsidR="00A81C89" w:rsidRPr="00EF42EB">
        <w:rPr>
          <w:rFonts w:ascii="Times New Roman" w:hAnsi="Times New Roman" w:cs="Times New Roman"/>
          <w:i w:val="0"/>
          <w:noProof/>
          <w:sz w:val="24"/>
          <w:szCs w:val="24"/>
        </w:rPr>
        <w:t>[105–107]</w:t>
      </w:r>
      <w:r w:rsidR="00A81C89" w:rsidRPr="00EF42EB">
        <w:rPr>
          <w:rFonts w:ascii="Times New Roman" w:hAnsi="Times New Roman" w:cs="Times New Roman"/>
          <w:sz w:val="24"/>
          <w:szCs w:val="24"/>
        </w:rPr>
        <w:fldChar w:fldCharType="end"/>
      </w:r>
    </w:p>
    <w:p w14:paraId="4F28D782" w14:textId="7B151DDF"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lastRenderedPageBreak/>
        <w:t xml:space="preserve">In the years following its discovery, scarce information was added to NME6 functions. First, NME6 together with NME4 and NME7 were found to be overexpressed at the protein level in primary colon and gastric carcinomas compared to normal tissues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{"citationItems":[{"id":"ITEM-1","itemData":{"DOI":"10.1002/path.1724","ISSN":"00223417","abstract":"Eight members of the nm23-gene family have been described. The involvement of nm23-H1 and nm23-H2 in tumour progression and metastasis, as well as in gene regulation and apoptosis, has been shown in numerous studies. Whether nm23-H4, -H6, and -H7 play a role in tumours is, however, largely unknown. This study describes data on the expression of these three nm23 homologues in human colon and gastric cancer by real-time RT-PCR and immunohistochemistry. Increased expression of these genes, most strikingly nm23-H4 and -H7, was observed in the majority of tumours analysed. No correlation with tumour stage according to the TNM classification was found. In contrast, by immunohistochemical analysis, nm23-H4 and -H6 overexpression correlated with the intestinal tumour type in gastric cancer tissues, whereas no increased immunoreactivity for the three nm23 proteins was noted in the diffuse type tumour specimens. These findings indicate that nm23-H6, and particularly nm23-H4 and -H7, may be involved in the development of colon and gastric carcinoma, the latter possibly in a type-specific manner. A contribution to tumour progression or metastasis could not, however, be proven. Elucidation of the specific mechanisms by which the nm23 homologues nm23-H4, -H6, and -H7 are involved in tumour development requires further studies. Copyright © 2005 Pathological Society of Great Britain and Ireland. Published by John Wiley &amp; Sons, Ltd.","author":[{"dropping-particle":"","family":"Seifert","given":"M.","non-dropping-particle":"","parse-names":false,"suffix":""},{"dropping-particle":"","family":"Welter","given":"C.","non-dropping-particle":"","parse-names":false,"suffix":""},{"dropping-particle":"","family":"Mehraein","given":"Y.","non-dropping-particle":"","parse-names":false,"suffix":""},{"dropping-particle":"","family":"Seitz","given":"G.","non-dropping-particle":"","parse-names":false,"suffix":""}],"container-title":"The Journal of Pathology","id":"ITEM-1","issue":"5","issued":{"date-parts":[["2005","4"]]},"page":"623-632","title":"Expression of the nm23 homologues nm23-H4, nm23-H6, and nm23-H7 in human gastric and colon cancer","type":"article-journal","volume":"205"},"uris":["http://www.mendeley.com/documents/?uuid=47bedf0d-0614-4668-8b56-9c077a8e1b60"]}],"mendeley":{"formattedCitation":"[108]","plainTextFormattedCitation":"[108]","previouslyFormattedCitation":"[108]"},"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[108]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Similarly, another study revealed that NME6 expression was higher in colorectal cancer tissues in the Chinese population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{"citationItems":[{"id":"ITEM-1","itemData":{"DOI":"10.1038/srep25194","ISSN":"2045-2322","PMID":"27120998","abstract":"Genome-wide association studies (GWAS) have established chromosome 3p21.31 as a susceptibility locus for colorectal cancer (CRC) that lacks replication and exploration in the Chinese population. We searched potentially functional single nucleotide polymorphisms (SNPs) in the linkage disequilibrium (LD) block of 3p21.31 with chromatin immunoprecipitation-sequencing (ChIP-seq) data of histone modification and tested their association with CRC via a case-control study involving 767 cases and 1397 controls in stage 1 and 528 cases and 678 controls in stage 2. In addition to the tag SNP rs8180040 (odds ratio (OR) = 0.875, 95% confidence interval (95% CI) = 0.793−0.966, P = 0.008, P-FDR (false discovery rate) = 0.040), rs1076394 presented consistently significant associations with CRC risk at both stages with OR = 0.850 (95% CI = 0.771−0.938, P = 0.001, P-FDR = 0.005) under the additive model in combined analyses. Supported by the analyses of data from The Cancer Genome Atlas (TCGA) and Gene Expression Omnibus (GEO), it was suggested that rs1076394 served as an expression Quantitative Trait Loci (eQTL) for gene CCDC12 and NME6, while NME6’s expression was obviously higher in CRC tissues. Using biofeature information such as ChIP-seq and RNA sequencing (RNA-seq) data might help researchers to interpret GWAS results and locate functional variants for diseases in the post-GWAS era.","author":[{"dropping-particle":"","family":"Ke","given":"Juntao","non-dropping-particle":"","parse-names":false,"suffix":""},{"dropping-particle":"","family":"Lou","given":"Jiao","non-dropping-particle":"","parse-names":false,"suffix":""},{"dropping-particle":"","family":"Zhong","given":"Rong","non-dropping-particle":"","parse-names":false,"suffix":""},{"dropping-particle":"","family":"Chen","given":"Xueqin","non-dropping-particle":"","parse-names":false,"suffix":""},{"dropping-particle":"","family":"Li","given":"Jiaoyuan","non-dropping-particle":"","parse-names":false,"suffix":""},{"dropping-particle":"","family":"Liu","given":"Cheng","non-dropping-particle":"","parse-names":false,"suffix":""},{"dropping-particle":"","family":"Gong","given":"Yajie","non-dropping-particle":"","parse-names":false,"suffix":""},{"dropping-particle":"","family":"Yang","given":"Yang","non-dropping-particle":"","parse-names":false,"suffix":""},{"dropping-particle":"","family":"Zhu","given":"Ying","non-dropping-particle":"","parse-names":false,"suffix":""},{"dropping-particle":"","family":"Zhang","given":"Yi","non-dropping-particle":"","parse-names":false,"suffix":""},{"dropping-particle":"","family":"Chang","given":"Jiang","non-dropping-particle":"","parse-names":false,"suffix":""},{"dropping-particle":"","family":"Gong","given":"Jing","non-dropping-particle":"","parse-names":false,"suffix":""}],"container-title":"Scientific Reports","id":"ITEM-1","issue":"1","issued":{"date-parts":[["2016","7","28"]]},"page":"25194","publisher":"Nature Publishing Group","title":"Identification of a Potential Regulatory Variant for Colorectal Cancer Risk Mapping to 3p21.31 in Chinese Population","type":"article-journal","volume":"6"},"uris":["http://www.mendeley.com/documents/?uuid=a0a2254e-b5b6-34de-ada6-41728b1194d1"]}],"mendeley":{"formattedCitation":"[109]","plainTextFormattedCitation":"[109]","previouslyFormattedCitation":"[109]"},"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[109]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In a shRNA screen, NME6 and NME7 were found as essential genes for embryonic stem cells (ESC) renewal. Downregulation of NME6 or NME7 triggered the differentiation of ESC into embryoid body, and was associated with downregulation of ESC renewal-related genes</w:t>
      </w:r>
      <w:r w:rsidR="00C71776">
        <w:rPr>
          <w:rFonts w:ascii="Times New Roman" w:hAnsi="Times New Roman" w:cs="Times New Roman"/>
          <w:sz w:val="24"/>
          <w:szCs w:val="24"/>
        </w:rPr>
        <w:t xml:space="preserve"> expression</w:t>
      </w:r>
      <w:r w:rsidRPr="002E26D2">
        <w:rPr>
          <w:rFonts w:ascii="Times New Roman" w:hAnsi="Times New Roman" w:cs="Times New Roman"/>
          <w:sz w:val="24"/>
          <w:szCs w:val="24"/>
        </w:rPr>
        <w:t xml:space="preserve"> at the protein level. Interestingly the protein abundance of both NME6 and NME7 was decreased after differentiation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{"citationItems":[{"id":"ITEM-1","itemData":{"DOI":"10.1002/stem.1203","ISSN":"1066-5099","abstract":"In contrast to the somatic cells, embryonic stem cells (ESCs) are characterized by its immortalization ability, pluripotency, and oncogenicity. Revealing the underlying mechanism of ESC characteristics is important for the application of ESCs in clinical medicine. We performed systematic functional screen in mouse ESCs with 4,801 shRNAs that target 929 kinases and phosphatases. One hundred and thirty-two candidate genes that regulate both ESC expansion and stem cell marker expression were identified. Twenty-seven out of the 132 genes were regarded as most important since knockdown of each gene induces morphological changes from undifferentiated to differentiated state. Among the 27 genes, we chose nonmetastatic cell 6 (Nme6, also named as Nm23-H6) and nonmetastatic cell 7 (Nme7, also designated as Nm23-H7) to study first. Nme6 and Nme7 both belong to the members of nucleoside diphosphate kinase family. We demonstrate that Nme6 and Nme7 are important for the regulation of Oct4, Nanog, Klf4, c-Myc, telomerase, Dnmt3B, Sox2, and ERas expression. Either knockdown of Nme6 or Nme7 reduces the formation of embryoid body (EB) and teratoma. The overexpression of either Nme6 or Nme7 can rescue the stem cell marker expression and the EB formation in the absence of leukemia inhibiting factor. This implies the importance of Nme6 and Nme7 in ESC renewal. This finding not only pinpoints Nme6 or Nme7 can regulate several critical regulators in ESC renewal but also increases our understanding of the ESC renewal and oncogenesis.","author":[{"dropping-particle":"","family":"Wang","given":"Chia-Hui","non-dropping-particle":"","parse-names":false,"suffix":""},{"dropping-particle":"","family":"Ma","given":"Nianhan","non-dropping-particle":"","parse-names":false,"suffix":""},{"dropping-particle":"","family":"Lin","given":"Yu-Tsen","non-dropping-particle":"","parse-names":false,"suffix":""},{"dropping-particle":"","family":"Wu","given":"Cheng-Chung","non-dropping-particle":"","parse-names":false,"suffix":""},{"dropping-particle":"","family":"Hsiao","given":"Michael","non-dropping-particle":"","parse-names":false,"suffix":""},{"dropping-particle":"","family":"Lu","given":"Frank Leigh","non-dropping-particle":"","parse-names":false,"suffix":""},{"dropping-particle":"","family":"Yu","given":"Ching-Chia","non-dropping-particle":"","parse-names":false,"suffix":""},{"dropping-particle":"","family":"Chen","given":"Shao-Yin","non-dropping-particle":"","parse-names":false,"suffix":""},{"dropping-particle":"","family":"Lu","given":"Jean","non-dropping-particle":"","parse-names":false,"suffix":""}],"container-title":"Stem Cells","id":"ITEM-1","issue":"10","issued":{"date-parts":[["2012","10","1"]]},"page":"2199-2211","title":"A shRNA Functional Screen Reveals Nme6 and Nme7 Are Crucial for Embryonic Stem Cell Renewal","type":"article-journal","volume":"30"},"uris":["http://www.mendeley.com/documents/?uuid=03b336c3-b3e2-4b32-b774-d678a8a5d06b"]}],"mendeley":{"formattedCitation":"[110]","plainTextFormattedCitation":"[110]","previouslyFormattedCitation":"[110]"},"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[110]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More recently, a group pinpointed a potential role of NME6 in the regulation of inflammation in mice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{"citationItems":[{"id":"ITEM-1","itemData":{"DOI":"10.1126/scisignal.abe0387","ISSN":"1945-0877","PMID":"34344832","abstract":"The enzyme NDPK-D promotes changes in mitochondrial function that support inflammasome activation.","author":[{"dropping-particle":"","family":"Ernst","given":"Orna","non-dropping-particle":"","parse-names":false,"suffix":""},{"dropping-particle":"","family":"Sun","given":"Jing","non-dropping-particle":"","parse-names":false,"suffix":""},{"dropping-particle":"","family":"Lin","given":"Bin","non-dropping-particle":"","parse-names":false,"suffix":""},{"dropping-particle":"","family":"Banoth","given":"Balaji","non-dropping-particle":"","parse-names":false,"suffix":""},{"dropping-particle":"","family":"Dorrington","given":"Michael G.","non-dropping-particle":"","parse-names":false,"suffix":""},{"dropping-particle":"","family":"Liang","given":"Jonathan","non-dropping-particle":"","parse-names":false,"suffix":""},{"dropping-particle":"","family":"Schwarz","given":"Benjamin","non-dropping-particle":"","parse-names":false,"suffix":""},{"dropping-particle":"","family":"Stromberg","given":"Kaitlin A.","non-dropping-particle":"","parse-names":false,"suffix":""},{"dropping-particle":"","family":"Katz","given":"Samuel","non-dropping-particle":"","parse-names":false,"suffix":""},{"dropping-particle":"","family":"Vayttaden","given":"Sharat J.","non-dropping-particle":"","parse-names":false,"suffix":""},{"dropping-particle":"","family":"Bradfield","given":"Clinton J.","non-dropping-particle":"","parse-names":false,"suffix":""},{"dropping-particle":"","family":"Slepushkina","given":"Nadia","non-dropping-particle":"","parse-names":false,"suffix":""},{"dropping-particle":"","family":"Rice","given":"Christopher M.","non-dropping-particle":"","parse-names":false,"suffix":""},{"dropping-particle":"","family":"Buehler","given":"Eugen","non-dropping-particle":"","parse-names":false,"suffix":""},{"dropping-particle":"","family":"Khillan","given":"Jaspal S.","non-dropping-particle":"","parse-names":false,"suffix":""},{"dropping-particle":"","family":"McVicar","given":"Daniel W.","non-dropping-particle":"","parse-names":false,"suffix":""},{"dropping-particle":"","family":"Bosio","given":"Catharine M.","non-dropping-particle":"","parse-names":false,"suffix":""},{"dropping-particle":"","family":"Bryant","given":"Clare E.","non-dropping-particle":"","parse-names":false,"suffix":""},{"dropping-particle":"","family":"Sutterwala","given":"Fayyaz S.","non-dropping-particle":"","parse-names":false,"suffix":""},{"dropping-particle":"","family":"Martin","given":"Scott E.","non-dropping-particle":"","parse-names":false,"suffix":""},{"dropping-particle":"","family":"Lal-Nag","given":"Madhu","non-dropping-particle":"","parse-names":false,"suffix":""},{"dropping-particle":"","family":"Fraser","given":"Iain D. C.","non-dropping-particle":"","parse-names":false,"suffix":""}],"container-title":"Science Signaling","id":"ITEM-1","issue":"694","issued":{"date-parts":[["2021","8","3"]]},"page":"eabe0387","publisher":"Sci Signal","title":"A genome-wide screen uncovers multiple roles for mitochondrial nucleoside diphosphate kinase D in inflammasome activation","type":"article-journal","volume":"14"},"uris":["http://www.mendeley.com/documents/?uuid=e48ec561-c4d9-3730-b4a7-c5dfd7b98fcc"]}],"mendeley":{"formattedCitation":"[111]","plainTextFormattedCitation":"[111]","previouslyFormattedCitation":"[111]"},"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[111]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Another enzymatic information of NME6 was revealed by a team working on the production of antibodies that specifically recognize phosphorylated histidine in two conformations (1-pHis and 3-pHis). The testing of 1-pHis antibody on recombinant human and mouse NME proteins revealed that NME1, NME2, NME4, NME5 and NME7 display histidine phosphorylation, i.e. they are able of autophosphorylation (</w:t>
      </w:r>
      <w:r w:rsidR="00BA6F62">
        <w:rPr>
          <w:rFonts w:ascii="Times New Roman" w:hAnsi="Times New Roman" w:cs="Times New Roman"/>
          <w:sz w:val="24"/>
          <w:szCs w:val="24"/>
        </w:rPr>
        <w:t>“</w:t>
      </w:r>
      <w:r w:rsidR="00112984" w:rsidRPr="002E26D2">
        <w:rPr>
          <w:rFonts w:ascii="Times New Roman" w:hAnsi="Times New Roman" w:cs="Times New Roman"/>
          <w:sz w:val="24"/>
          <w:szCs w:val="24"/>
        </w:rPr>
        <w:t>p</w:t>
      </w:r>
      <w:r w:rsidRPr="002E26D2">
        <w:rPr>
          <w:rFonts w:ascii="Times New Roman" w:hAnsi="Times New Roman" w:cs="Times New Roman"/>
          <w:sz w:val="24"/>
          <w:szCs w:val="24"/>
        </w:rPr>
        <w:t>ing</w:t>
      </w:r>
      <w:r w:rsidR="00BA6F62">
        <w:rPr>
          <w:rFonts w:ascii="Times New Roman" w:hAnsi="Times New Roman" w:cs="Times New Roman"/>
          <w:sz w:val="24"/>
          <w:szCs w:val="24"/>
        </w:rPr>
        <w:t>”</w:t>
      </w:r>
      <w:r w:rsidRPr="002E26D2">
        <w:rPr>
          <w:rFonts w:ascii="Times New Roman" w:hAnsi="Times New Roman" w:cs="Times New Roman"/>
          <w:sz w:val="24"/>
          <w:szCs w:val="24"/>
        </w:rPr>
        <w:t xml:space="preserve">). The human NME6 was the only NME tested that failed to display the 1-pHis signal, indicating that the recombinant GST-NME6 they produced was unable to autophosphorylate, which is the first step of NDPK activity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{"citationItems":[{"id":"ITEM-1","itemData":{"DOI":"10.1016/j.cell.2015.05.046","ISSN":"00928674","PMID":"26140597","abstract":"Histidine phosphorylation (pHis) is well studied in bacteria; however, its role in mammalian signaling remains largely unexplored due to the lack of pHis-specific antibodies and the lability of the phosphoramidate (P-N) bond. Both imidazole nitrogens can be phosphorylated, forming 1-phosphohistidine (1-pHis) or 3-phosphohistidine (3-pHis). We have developed monoclonal antibodies (mAbs) that specifically recognize 1-pHis or 3-pHis; they do not cross-react with phosphotyrosine or the other pHis isomer. Assays based on the isomer-specific autophosphorylation of NME1 and phosphoglycerate mutase were used with immunoblotting and sequencing IgG variable domains to screen, select, and characterize anti-1-pHis and anti-3-pHis mAbs. Their sequence independence was determined by blotting synthetic peptide arrays, and they have been tested for immunofluorescence staining and immunoaffinity purification, leading to putative identification of pHis-containing proteins. These reagents should be broadly useful for identification of pHis substrates and functional study of pHis using a variety of immunological, proteomic, and biological assays.","author":[{"dropping-particle":"","family":"Fuhs","given":"Stephen Rush","non-dropping-particle":"","parse-names":false,"suffix":""},{"dropping-particle":"","family":"Meisenhelder","given":"Jill","non-dropping-particle":"","parse-names":false,"suffix":""},{"dropping-particle":"","family":"Aslanian","given":"Aaron","non-dropping-particle":"","parse-names":false,"suffix":""},{"dropping-particle":"","family":"Ma","given":"Li","non-dropping-particle":"","parse-names":false,"suffix":""},{"dropping-particle":"","family":"Zagorska","given":"Anna","non-dropping-particle":"","parse-names":false,"suffix":""},{"dropping-particle":"","family":"Stankova","given":"Magda","non-dropping-particle":"","parse-names":false,"suffix":""},{"dropping-particle":"","family":"Binnie","given":"Alan","non-dropping-particle":"","parse-names":false,"suffix":""},{"dropping-particle":"","family":"Al-Obeidi","given":"Fahad","non-dropping-particle":"","parse-names":false,"suffix":""},{"dropping-particle":"","family":"Mauger","given":"Jacques","non-dropping-particle":"","parse-names":false,"suffix":""},{"dropping-particle":"","family":"Lemke","given":"Greg","non-dropping-particle":"","parse-names":false,"suffix":""},{"dropping-particle":"","family":"Yates","given":"John R.","non-dropping-particle":"","parse-names":false,"suffix":""},{"dropping-particle":"","family":"Hunter","given":"Tony","non-dropping-particle":"","parse-names":false,"suffix":""}],"container-title":"Cell","id":"ITEM-1","issue":"1","issued":{"date-parts":[["2015","7","2"]]},"page":"198-210","title":"Monoclonal 1- and 3-Phosphohistidine Antibodies: New Tools to Study Histidine Phosphorylation","type":"article-journal","volume":"162"},"uris":["http://www.mendeley.com/documents/?uuid=7551ccda-e7f6-4178-8b97-264189e45d49"]}],"mendeley":{"formattedCitation":"[64]","plainTextFormattedCitation":"[64]","previouslyFormattedCitation":"[64]"},"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[64]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Information of NME6 localization was released by Pagliarini et al</w:t>
      </w:r>
      <w:r w:rsidR="00C71776">
        <w:rPr>
          <w:rFonts w:ascii="Times New Roman" w:hAnsi="Times New Roman" w:cs="Times New Roman"/>
          <w:sz w:val="24"/>
          <w:szCs w:val="24"/>
        </w:rPr>
        <w:t>.</w:t>
      </w:r>
      <w:r w:rsidRPr="002E26D2">
        <w:rPr>
          <w:rFonts w:ascii="Times New Roman" w:hAnsi="Times New Roman" w:cs="Times New Roman"/>
          <w:sz w:val="24"/>
          <w:szCs w:val="24"/>
        </w:rPr>
        <w:t>, w</w:t>
      </w:r>
      <w:r w:rsidR="00C44198">
        <w:rPr>
          <w:rFonts w:ascii="Times New Roman" w:hAnsi="Times New Roman" w:cs="Times New Roman"/>
          <w:sz w:val="24"/>
          <w:szCs w:val="24"/>
        </w:rPr>
        <w:t>h</w:t>
      </w:r>
      <w:r w:rsidRPr="002E26D2">
        <w:rPr>
          <w:rFonts w:ascii="Times New Roman" w:hAnsi="Times New Roman" w:cs="Times New Roman"/>
          <w:sz w:val="24"/>
          <w:szCs w:val="24"/>
        </w:rPr>
        <w:t xml:space="preserve">ere they listed NME6 as a mitochondrial protein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{"citationItems":[{"id":"ITEM-1","itemData":{"DOI":"10.1016/j.cell.2008.06.016","ISSN":"00928674","PMID":"18614015","abstract":"Mitochondria are complex organelles whose dysfunction underlies a broad spectrum of human diseases. Identifying all of the proteins resident in this organelle and understanding how they integrate into pathways represent major challenges in cell biology. Toward this goal, we performed mass spectrometry, GFP tagging, and machine learning to create a mitochondrial compendium of 1098 genes and their protein expression across 14 mouse tissues. We link poorly characterized proteins in this inventory to known mitochondrial pathways by virtue of shared evolutionary history. Using this approach, we predict 19 proteins to be important for the function of complex I (CI) of the electron transport chain. We validate a subset of these predictions using RNAi, including C8orf38, which we further show harbors an inherited mutation in a lethal, infantile CI deficiency. Our results have important implications for understanding CI function and pathogenesis and, more generally, illustrate how our compendium can serve as a foundation for systematic investigations of mitochondria. © 2008 Elsevier Inc. All rights reserved.","author":[{"dropping-particle":"","family":"Pagliarini","given":"David J.","non-dropping-particle":"","parse-names":false,"suffix":""},{"dropping-particle":"","family":"Calvo","given":"Sarah E.","non-dropping-particle":"","parse-names":false,"suffix":""},{"dropping-particle":"","family":"Chang","given":"Betty","non-dropping-particle":"","parse-names":false,"suffix":""},{"dropping-particle":"","family":"Sheth","given":"Sunil A.","non-dropping-particle":"","parse-names":false,"suffix":""},{"dropping-particle":"","family":"Vafai","given":"Scott B.","non-dropping-particle":"","parse-names":false,"suffix":""},{"dropping-particle":"","family":"Ong","given":"Shao-En","non-dropping-particle":"","parse-names":false,"suffix":""},{"dropping-particle":"","family":"Walford","given":"Geoffrey A.","non-dropping-particle":"","parse-names":false,"suffix":""},{"dropping-particle":"","family":"Sugiana","given":"Canny","non-dropping-particle":"","parse-names":false,"suffix":""},{"dropping-particle":"","family":"Boneh","given":"Avihu","non-dropping-particle":"","parse-names":false,"suffix":""},{"dropping-particle":"","family":"Chen","given":"William K.","non-dropping-particle":"","parse-names":false,"suffix":""},{"dropping-particle":"","family":"Hill","given":"David E.","non-dropping-particle":"","parse-names":false,"suffix":""},{"dropping-particle":"","family":"Vidal","given":"Marc","non-dropping-particle":"","parse-names":false,"suffix":""},{"dropping-particle":"","family":"Evans","given":"James G.","non-dropping-particle":"","parse-names":false,"suffix":""},{"dropping-particle":"","family":"Thorburn","given":"David R.","non-dropping-particle":"","parse-names":false,"suffix":""},{"dropping-particle":"","family":"Carr","given":"Steven A.","non-dropping-particle":"","parse-names":false,"suffix":""},{"dropping-particle":"","family":"Mootha","given":"Vamsi K.","non-dropping-particle":"","parse-names":false,"suffix":""}],"container-title":"Cell","id":"ITEM-1","issue":"1","issued":{"date-parts":[["2008","7"]]},"note":"Nme6 listed as mitochondrial\nEvidence mass spec on higly pure mitochondria\nEvidence Immunofluorescence exogenous Nme6 in fixed human cell\n(Supplementary)","page":"112-123","title":"A Mitochondrial Protein Compendium Elucidates Complex I Disease Biology","type":"article-journal","volume":"134"},"uris":["http://www.mendeley.com/documents/?uuid=9e5508d1-b4ae-4163-a442-d3d41de5fdb6"]}],"mendeley":{"formattedCitation":"[112]","plainTextFormattedCitation":"[112]","previouslyFormattedCitation":"[112]"},"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[112]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even though NME6 is devoid of </w:t>
      </w:r>
      <w:r w:rsidR="00C71776">
        <w:rPr>
          <w:rFonts w:ascii="Times New Roman" w:hAnsi="Times New Roman" w:cs="Times New Roman"/>
          <w:sz w:val="24"/>
          <w:szCs w:val="24"/>
        </w:rPr>
        <w:t xml:space="preserve">a </w:t>
      </w:r>
      <w:r w:rsidRPr="002E26D2">
        <w:rPr>
          <w:rFonts w:ascii="Times New Roman" w:hAnsi="Times New Roman" w:cs="Times New Roman"/>
          <w:sz w:val="24"/>
          <w:szCs w:val="24"/>
        </w:rPr>
        <w:t xml:space="preserve">typical cleavable MTS. The analyze of large-scale studies mapping proteins presence within the different mitochondrial compartments revealed the detection of NME6 within the mitochondrial matrix proteome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{"citationItems":[{"id":"ITEM-1","itemData":{"DOI":"10.1126/science.1230593","ISSN":"0036-8075","PMID":"23371551","abstract":"Because mass spectrometry (MS) cannot be performed on living cells, biologists currently recover spatial information indirectly, by purifying organelles or protein complexes prior to MS analysis. These purifications often yield false positives because of sample contamination and false negatives because of material loss. Rhee et al. (p. 1328 , published online 31 January) present an approach that bridges microscopy and proteomics to produce a spatially and temporally resolved proteomic map of mitochondria from living cells. A nonspecific labeling enzyme (peroxidase) was genetically targeted to the mitochondria within live cells, where it tagged endogenous proteins in a spatially restricted manner within a 1-minute window, for subsequent identification and analysis by MS. This rapid and straightforward technology provides the ability to access otherwise inaccessible cellular regions and requires a very small amount of starting material.","author":[{"dropping-particle":"","family":"Rhee","given":"Hyun-Woo","non-dropping-particle":"","parse-names":false,"suffix":""},{"dropping-particle":"","family":"Zou","given":"Peng","non-dropping-particle":"","parse-names":false,"suffix":""},{"dropping-particle":"","family":"Udeshi","given":"Namrata D.","non-dropping-particle":"","parse-names":false,"suffix":""},{"dropping-particle":"","family":"Martell","given":"Jeffrey D.","non-dropping-particle":"","parse-names":false,"suffix":""},{"dropping-particle":"","family":"Mootha","given":"Vamsi K.","non-dropping-particle":"","parse-names":false,"suffix":""},{"dropping-particle":"","family":"Carr","given":"Steven A.","non-dropping-particle":"","parse-names":false,"suffix":""},{"dropping-particle":"","family":"Ting","given":"Alice Y.","non-dropping-particle":"","parse-names":false,"suffix":""}],"container-title":"Science","id":"ITEM-1","issue":"6125","issued":{"date-parts":[["2013","3","15"]]},"note":"Matrix biotin tag of proteins\nNme6 is strongly associated with Matrix (Supplementry tables)","page":"1328-1331","title":"Proteomic Mapping of Mitochondria in Living Cells via Spatially Restricted Enzymatic Tagging","type":"article-journal","volume":"339"},"uris":["http://www.mendeley.com/documents/?uuid=e7c93f5d-24f6-4e28-a9c3-816a36a3aeea"]}],"mendeley":{"formattedCitation":"[113]","plainTextFormattedCitation":"[113]","previouslyFormattedCitation":"[113]"},"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[113]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and its absence from the mitochondrial IMS proteome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{"citationItems":[{"id":"ITEM-1","itemData":{"DOI":"10.1016/j.molcel.2014.06.003","ISSN":"10972765","PMID":"25002142","abstract":"Obtaining complete protein inventories for subcellular regions is a challenge that often limits our understanding of cellular function, especially for regions that are impossible to purify and are therefore inaccessible to traditional proteomic analysis. We recently developed a method to map proteomes in living cells with an engineered peroxidase (APEX) that bypasses the need for organellar purification when applied to membrane-bound compartments; however, it was insufficiently specific when applied to unbounded regions that allow APEX-generated radicals to escape. Here, we combine APEX technology with a SILAC-based ratiometric tagging strategy to substantially reduce unwanted background and achieve nanometer spatial resolution. This is applied to map the proteome of the mitochondrial intermembrane space (IMS), which can freely exchange smallmolecules with the cytosol. Our IMS proteome of127 proteins has &gt;94% specificity and includes nine newly discovered mitochondrial proteins. This approach will enable scientists to map proteomes of cellular regions that were previously inaccessible. © 2014 Elsevier Inc.","author":[{"dropping-particle":"","family":"Hung","given":"Victoria","non-dropping-particle":"","parse-names":false,"suffix":""},{"dropping-particle":"","family":"Zou","given":"Peng","non-dropping-particle":"","parse-names":false,"suffix":""},{"dropping-particle":"","family":"Rhee","given":"Hyun-Woo","non-dropping-particle":"","parse-names":false,"suffix":""},{"dropping-particle":"","family":"Udeshi","given":"Namrata D.","non-dropping-particle":"","parse-names":false,"suffix":""},{"dropping-particle":"","family":"Cracan","given":"Valentin","non-dropping-particle":"","parse-names":false,"suffix":""},{"dropping-particle":"","family":"Svinkina","given":"Tanya","non-dropping-particle":"","parse-names":false,"suffix":""},{"dropping-particle":"","family":"Carr","given":"Steven A.","non-dropping-particle":"","parse-names":false,"suffix":""},{"dropping-particle":"","family":"Mootha","given":"Vamsi K.","non-dropping-particle":"","parse-names":false,"suffix":""},{"dropping-particle":"","family":"Ting","given":"Alice Y.","non-dropping-particle":"","parse-names":false,"suffix":""}],"container-title":"Molecular Cell","id":"ITEM-1","issue":"2","issued":{"date-parts":[["2014","7"]]},"note":"IMS biotin tag of protein\nNme6 is not associated with IMS (supplementrary tables)","page":"332-341","title":"Proteomic Mapping of the Human Mitochondrial Intermembrane Space in Live Cells via Ratiometric APEX Tagging","type":"article-journal","volume":"55"},"uris":["http://www.mendeley.com/documents/?uuid=762b1d10-463c-4ece-b5c8-78c44d41f608"]}],"mendeley":{"formattedCitation":"[114]","plainTextFormattedCitation":"[114]","previouslyFormattedCitation":"[114]"},"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[114]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or the MOM facing cytosol proteome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{"citationItems":[{"id":"ITEM-1","itemData":{"DOI":"10.7554/eLife.24463","ISSN":"2050-084X","PMID":"28441135","abstract":"The cytosol-facing membranes of cellular organelles contain proteins that enable signal transduction, regulation of morphology and trafficking, protein import and export, and other specialized processes. Discovery of these proteins by traditional biochemical fractionation can be plagued with contaminants and loss of key components. Using peroxidase-mediated proximity biotinylation, we captured and identified endogenous proteins on the outer mitochondrial membrane (OMM) and endoplasmic reticulum membrane (ERM) of living human fibroblasts. The proteomes of 137 and 634 proteins, respectively, are highly specific and highlight 94 potentially novel mitochondrial or ER proteins. Dataset intersection identified protein candidates potentially localized to mitochondria-ER contact sites. We found that one candidate, the tail-anchored, PDZ-domain-containing OMM protein SYNJ2BP, dramatically increases mitochondrial contacts with rough ER when overexpressed. Immunoprecipitation-mass spectrometry identified ribosome-binding protein 1 (RRBP1) as SYNJ2BP’s ERM binding partner. Our results highlight the power of proximity biotinylation to yield insights into the molecular composition and function of intracellular membranes.","author":[{"dropping-particle":"","family":"Hung","given":"Victoria","non-dropping-particle":"","parse-names":false,"suffix":""},{"dropping-particle":"","family":"Lam","given":"Stephanie S.","non-dropping-particle":"","parse-names":false,"suffix":""},{"dropping-particle":"","family":"Udeshi","given":"Namrata D.","non-dropping-particle":"","parse-names":false,"suffix":""},{"dropping-particle":"","family":"Svinkina","given":"Tanya","non-dropping-particle":"","parse-names":false,"suffix":""},{"dropping-particle":"","family":"Guzman","given":"Gaelen","non-dropping-particle":"","parse-names":false,"suffix":""},{"dropping-particle":"","family":"Mootha","given":"Vamsi K.","non-dropping-particle":"","parse-names":false,"suffix":""},{"dropping-particle":"","family":"Carr","given":"Steven A.","non-dropping-particle":"","parse-names":false,"suffix":""},{"dropping-particle":"","family":"Ting","given":"Alice Y.","non-dropping-particle":"","parse-names":false,"suffix":""}],"container-title":"eLife","id":"ITEM-1","issued":{"date-parts":[["2017","4","25"]]},"page":"e24463","title":"Proteomic mapping of cytosol-facing outer mitochondrial and ER membranes in living human cells by proximity biotinylation","type":"article-journal","volume":"6"},"uris":["http://www.mendeley.com/documents/?uuid=3cf63996-2f7d-4f5c-90cf-29e11d9b047d"]}],"mendeley":{"formattedCitation":"[115]","plainTextFormattedCitation":"[115]","previouslyFormattedCitation":"[115]"},"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[115]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Finally, data from large-scale protein-protein interactions pinpointed several mitochondrial interactors for NME6. The only consistent “hit” among the studies was RCC1L (</w:t>
      </w:r>
      <w:bookmarkStart w:id="58" w:name="_Hlk106018077"/>
      <w:r w:rsidRPr="002E26D2">
        <w:rPr>
          <w:rFonts w:ascii="Times New Roman" w:hAnsi="Times New Roman" w:cs="Times New Roman"/>
          <w:sz w:val="24"/>
          <w:szCs w:val="24"/>
        </w:rPr>
        <w:t>RCC1-like G exchanging factor-like</w:t>
      </w:r>
      <w:bookmarkEnd w:id="58"/>
      <w:r w:rsidRPr="002E26D2">
        <w:rPr>
          <w:rFonts w:ascii="Times New Roman" w:hAnsi="Times New Roman" w:cs="Times New Roman"/>
          <w:sz w:val="24"/>
          <w:szCs w:val="24"/>
        </w:rPr>
        <w:t xml:space="preserve"> protein), also named WBSCR16 (</w:t>
      </w:r>
      <w:bookmarkStart w:id="59" w:name="_Hlk106018098"/>
      <w:r w:rsidRPr="002E26D2">
        <w:rPr>
          <w:rFonts w:ascii="Times New Roman" w:hAnsi="Times New Roman" w:cs="Times New Roman"/>
          <w:sz w:val="24"/>
          <w:szCs w:val="24"/>
        </w:rPr>
        <w:t>Williams-Beuren Syndrome Chromosomal Region 16</w:t>
      </w:r>
      <w:bookmarkEnd w:id="59"/>
      <w:r w:rsidRPr="002E26D2">
        <w:rPr>
          <w:rFonts w:ascii="Times New Roman" w:hAnsi="Times New Roman" w:cs="Times New Roman"/>
          <w:sz w:val="24"/>
          <w:szCs w:val="24"/>
        </w:rPr>
        <w:t xml:space="preserv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{"citationItems":[{"id":"ITEM-1","itemData":{"DOI":"10.1016/j.cmet.2020.07.017","ISSN":"15504131","PMID":"32877691","abstract":"We used BioID, a proximity-dependent biotinylation assay with 100 mitochondrial baits from all mitochondrial sub-compartments, to create a high-resolution human mitochondrial proximity interaction network. We identified 1,465 proteins, producing 15,626 unique high-confidence proximity interactions. Of these, 528 proteins were previously annotated as mitochondrial, nearly half of the mitochondrial proteome defined by Mitocarta 2.0. Bait-bait analysis showed a clear separation of mitochondrial compartments, and correlation analysis among preys across all baits allowed us to identify functional clusters involved in diverse mitochondrial functions and to assign uncharacterized proteins to specific modules. We demonstrate that this analysis can assign isoforms of the same mitochondrial protein to different mitochondrial sub-compartments and show that some proteins may have multiple cellular locations. Outer membrane baits showed specific proximity interactions with cytosolic proteins and proteins in other organellar membranes, suggesting specialization of proteins responsible for contact site formation between mitochondria and individual organelles.","author":[{"dropping-particle":"","family":"Antonicka","given":"Hana","non-dropping-particle":"","parse-names":false,"suffix":""},{"dropping-particle":"","family":"Lin","given":"Zhen-Yuan","non-dropping-particle":"","parse-names":false,"suffix":""},{"dropping-particle":"","family":"Janer","given":"Alexandre","non-dropping-particle":"","parse-names":false,"suffix":""},{"dropping-particle":"","family":"Aaltonen","given":"Mari J.","non-dropping-particle":"","parse-names":false,"suffix":""},{"dropping-particle":"","family":"Weraarpachai","given":"Woranontee","non-dropping-particle":"","parse-names":false,"suffix":""},{"dropping-particle":"","family":"Gingras","given":"Anne-Claude","non-dropping-particle":"","parse-names":false,"suffix":""},{"dropping-particle":"","family":"Shoubridge","given":"Eric A.","non-dropping-particle":"","parse-names":false,"suffix":""}],"container-title":"Cell Metabolism","id":"ITEM-1","issue":"3","issued":{"date-parts":[["2020","9"]]},"note":"Nme6 in found in strong interaction with RCC1-L protein.","page":"479-497","title":"A High-Density Human Mitochondrial Proximity Interaction Network","type":"article-journal","volume":"32"},"uris":["http://www.mendeley.com/documents/?uuid=81810419-0b42-453a-b720-83a6aef22b79"]},{"id":"ITEM-2","itemData":{"DOI":"10.1016/j.cmet.2016.08.017","ISSN":"15504131","PMID":"27667664","abstract":"Oxidative phosphorylation (OXPHOS) is the major pathway for ATP production in humans. Deficiencies in OXPHOS can arise from mutations in either mitochondrial or nuclear genomes and comprise the largest collection of inborn errors of metabolism. At present we lack a complete catalog of human genes and pathways essential for OXPHOS. Here we introduce a genome-wide CRISPR “death screen” that actively selects dying cells to reveal human genes required for OXPHOS, inspired by the classic observation that human cells deficient in OXPHOS survive in glucose but die in galactose. We report 191 high-confidence hits essential for OXPHOS, including 72 underlying known OXPHOS diseases. Our screen reveals a functional module consisting of NGRN, WBSCR16, RPUSD3, RPUSD4, TRUB2, and FASTKD2 that regulates the mitochondrial 16S rRNA and intra-mitochondrial translation. Our work yields a rich catalog of genes required for OXPHOS and, more generally, demonstrates the power of death screening for functional genomic analysis.","author":[{"dropping-particle":"","family":"Arroyo","given":"Jason D.","non-dropping-particle":"","parse-names":false,"suffix":""},{"dropping-particle":"","family":"Jourdain","given":"Alexis A.","non-dropping-particle":"","parse-names":false,"suffix":""},{"dropping-particle":"","family":"Calvo","given":"Sarah E.","non-dropping-particle":"","parse-names":false,"suffix":""},{"dropping-particle":"","family":"Ballarano","given":"Carmine A.","non-dropping-particle":"","parse-names":false,"suffix":""},{"dropping-particle":"","family":"Doench","given":"John G.","non-dropping-particle":"","parse-names":false,"suffix":""},{"dropping-particle":"","family":"Root","given":"David E.","non-dropping-particle":"","parse-names":false,"suffix":""},{"dropping-particle":"","family":"Mootha","given":"Vamsi K.","non-dropping-particle":"","parse-names":false,"suffix":""}],"container-title":"Cell Metabolism","id":"ITEM-2","issue":"6","issued":{"date-parts":[["2016","12"]]},"page":"875-885","title":"A Genome-wide CRISPR Death Screen Identifies Genes Essential for Oxidative Phosphorylation","type":"article-journal","volume":"24"},"uris":["http://www.mendeley.com/documents/?uuid=50ab3005-005f-4c19-8d6a-b0f94b9f208e"]},{"id":"ITEM-3","itemData":{"DOI":"10.1016/j.molcel.2016.06.033","ISSN":"10972765","PMID":"27499296","abstract":"Mitochondria are essential for numerous cellular processes, yet hundreds of their proteins lack robust functional annotation. To reveal functions for these proteins (termed MXPs), we assessed condition-specific protein-protein interactions for 50 select MXPs using affinity enrichment mass spectrometry. Our data connect MXPs to diverse mitochondrial processes, including multiple aspects of respiratory chain function. Building upon these observations, we validated C17orf89 as a complex I (CI) assembly factor. Disruption of C17orf89 markedly reduced CI activity, and its depletion is found in an unresolved case of CI deficiency. We likewise discovered that LYRM5 interacts with and deflavinates the electron-transferring flavoprotein that shuttles electrons to coenzyme Q (CoQ). Finally, we identified a dynamic human CoQ biosynthetic complex involving multiple MXPs whose topology we map using purified components. Collectively, our data lend mechanistic insight into respiratory chain-related activities and prioritize hundreds of additional interactions for further exploration of mitochondrial protein function.","author":[{"dropping-particle":"","family":"Floyd","given":"Brendan J.","non-dropping-particle":"","parse-names":false,"suffix":""},{"dropping-particle":"","family":"Wilkerson","given":"Emily M.","non-dropping-particle":"","parse-names":false,"suffix":""},{"dropping-particle":"","family":"Veling","given":"Mike T.","non-dropping-particle":"","parse-names":false,"suffix":""},{"dropping-particle":"","family":"Minogue","given":"Catie E.","non-dropping-particle":"","parse-names":false,"suffix":""},{"dropping-particle":"","family":"Xia","given":"Chuanwu","non-dropping-particle":"","parse-names":false,"suffix":""},{"dropping-particle":"","family":"Beebe","given":"Emily T.","non-dropping-particle":"","parse-names":false,"suffix":""},{"dropping-particle":"","family":"Wrobel","given":"Russell L.","non-dropping-particle":"","parse-names":false,"suffix":""},{"dropping-particle":"","family":"Cho","given":"Holly","non-dropping-particle":"","parse-names":false,"suffix":""},{"dropping-particle":"","family":"Kremer","given":"Laura S.","non-dropping-particle":"","parse-names":false,"suffix":""},{"dropping-particle":"","family":"Alston","given":"Charlotte L.","non-dropping-particle":"","parse-names":false,"suffix":""},{"dropping-particle":"","family":"Gromek","given":"Katarzyna A.","non-dropping-particle":"","parse-names":false,"suffix":""},{"dropping-particle":"","family":"Dolan","given":"Brendan K.","non-dropping-particle":"","parse-names":false,"suffix":""},{"dropping-particle":"","family":"Ulbrich","given":"Arne","non-dropping-particle":"","parse-names":false,"suffix":""},{"dropping-particle":"","family":"Stefely","given":"Jonathan A.","non-dropping-particle":"","parse-names":false,"suffix":""},{"dropping-particle":"","family":"Bohl","given":"Sarah L.","non-dropping-particle":"","parse-names":false,"suffix":""},{"dropping-particle":"","family":"Werner","given":"Kelly M.","non-dropping-particle":"","parse-names":false,"suffix":""},{"dropping-particle":"","family":"Jochem","given":"Adam","non-dropping-particle":"","parse-names":false,"suffix":""},{"dropping-particle":"","family":"Westphall","given":"Michael S.","non-dropping-particle":"","parse-names":false,"suffix":""},{"dropping-particle":"","family":"Rensvold","given":"Jarred W.","non-dropping-particle":"","parse-names":false,"suffix":""},{"dropping-particle":"","family":"Taylor","given":"Robert W.","non-dropping-particle":"","parse-names":false,"suffix":""},{"dropping-particle":"","family":"Prokisch","given":"Holger","non-dropping-particle":"","parse-names":false,"suffix":""},{"dropping-particle":"","family":"Kim","given":"Jung-Ja P.","non-dropping-particle":"","parse-names":false,"suffix":""},{"dropping-particle":"","family":"Coon","given":"Joshua J.","non-dropping-particle":"","parse-names":false,"suffix":""},{"dropping-particle":"","family":"Pagliarini","given":"David J.","non-dropping-particle":"","parse-names":false,"suffix":""}],"container-title":"Molecular Cell","id":"ITEM-3","issue":"4","issued":{"date-parts":[["2016","8"]]},"page":"621-632","title":"Mitochondrial Protein Interaction Mapping Identifies Regulators of Respiratory Chain Function","type":"article-journal","volume":"63"},"uris":["http://www.mendeley.com/documents/?uuid=2db9e713-3b8b-4792-a251-d5bcb90fa81e"]},{"id":"ITEM-4","itemData":{"DOI":"10.1016/j.cell.2021.04.011","ISSN":"00928674","PMID":"33961781","abstract":"Thousands of interactions assemble proteins into modules that impart spatial and functional organization to the cellular proteome. Through affinity-purification mass spectrometry, we have created two proteome-scale, cell-line-specific interaction networks. The first, BioPlex 3.0, results from affinity purification of 10,128 human proteins-half the proteome-in 293T cells and includes 118,162 interactions among 14,586 proteins. The second results from 5,522 immunoprecipitations in HCT116 cells. These networks model the interactome whose structure encodes protein function, localization, and complex membership. Comparison across cell lines validates thousands of interactions and reveals extensive customization. Whereas shared interactions reside in core complexes and involve essential proteins, cell-specific interactions link these complexes, \"rewiring\" subnetworks within each cell's interactome. Interactions covary among proteins of shared function as the proteome remodels to produce each cell's phenotype. Viewable interactively online through BioPlexExplorer, these networks define principles of proteome organization and enable unknown protein characterization.","author":[{"dropping-particle":"","family":"Huttlin","given":"Edward L","non-dropping-particle":"","parse-names":false,"suffix":""},{"dropping-particle":"","family":"Bruckner","given":"Raphael J","non-dropping-particle":"","parse-names":false,"suffix":""},{"dropping-particle":"","family":"Navarrete-Perea","given":"Jose","non-dropping-particle":"","parse-names":false,"suffix":""},{"dropping-particle":"","family":"Cannon","given":"Joe R","non-dropping-particle":"","parse-names":false,"suffix":""},{"dropping-particle":"","family":"Baltier","given":"Kurt","non-dropping-particle":"","parse-names":false,"suffix":""},{"dropping-particle":"","family":"Gebreab","given":"Fana","non-dropping-particle":"","parse-names":false,"suffix":""},{"dropping-particle":"","family":"Gygi","given":"Melanie P","non-dropping-particle":"","parse-names":false,"suffix":""},{"dropping-particle":"","family":"Thornock","given":"Alexandra","non-dropping-particle":"","parse-names":false,"suffix":""},{"dropping-particle":"","family":"Zarraga","given":"Gabriela","non-dropping-particle":"","parse-names":false,"suffix":""},{"dropping-particle":"","family":"Tam","given":"Stanley","non-dropping-particle":"","parse-names":false,"suffix":""},{"dropping-particle":"","family":"Szpyt","given":"John","non-dropping-particle":"","parse-names":false,"suffix":""},{"dropping-particle":"","family":"Gassaway","given":"Brandon M","non-dropping-particle":"","parse-names":false,"suffix":""},{"dropping-particle":"","family":"Panov","given":"Alexandra","non-dropping-particle":"","parse-names":false,"suffix":""},{"dropping-particle":"","family":"Parzen","given":"Hannah","non-dropping-particle":"","parse-names":false,"suffix":""},{"dropping-particle":"","family":"Fu","given":"Sipei","non-dropping-particle":"","parse-names":false,"suffix":""},{"dropping-particle":"","family":"Golbazi","given":"Arvene","non-dropping-particle":"","parse-names":false,"suffix":""},{"dropping-particle":"","family":"Maenpaa","given":"Eila","non-dropping-particle":"","parse-names":false,"suffix":""},{"dropping-particle":"","family":"Stricker","given":"Keegan","non-dropping-particle":"","parse-names":false,"suffix":""},{"dropping-particle":"","family":"Guha Thakurta","given":"Sanjukta","non-dropping-particle":"","parse-names":false,"suffix":""},{"dropping-particle":"","family":"Zhang","given":"Tian","non-dropping-particle":"","parse-names":false,"suffix":""},{"dropping-particle":"","family":"Rad","given":"Ramin","non-dropping-particle":"","parse-names":false,"suffix":""},{"dropping-particle":"","family":"Pan","given":"Joshua","non-dropping-particle":"","parse-names":false,"suffix":""},{"dropping-particle":"","family":"Nusinow","given":"David P","non-dropping-particle":"","parse-names":false,"suffix":""},{"dropping-particle":"","family":"Paulo","given":"Joao A","non-dropping-particle":"","parse-names":false,"suffix":""},{"dropping-particle":"","family":"Schweppe","given":"Devin K","non-dropping-particle":"","parse-names":false,"suffix":""},{"dropping-particle":"","family":"Vaites","given":"Laura Pontano","non-dropping-particle":"","parse-names":false,"suffix":""},{"dropping-particle":"","family":"Harper","given":"J Wade","non-dropping-particle":"","parse-names":false,"suffix":""},{"dropping-particle":"","family":"Gygi","given":"Steven P","non-dropping-particle":"","parse-names":false,"suffix":""}],"container-title":"Cell","id":"ITEM-4","issue":"11","issued":{"date-parts":[["2021","5","27"]]},"page":"3022-3040","publisher":"Cell Press","title":"Dual proteome-scale networks reveal cell-specific remodeling of the human interactome","type":"article-journal","volume":"184"},"uris":["http://www.mendeley.com/documents/?uuid=394c3161-1abc-36c5-8d7b-7a9a36582993"]},{"id":"ITEM-5","itemData":{"DOI":"10.1038/msb.2011.67","ISSN":"1744-4292","PMID":"21988832","abstract":"Proteome-scale protein interaction maps are available for many organisms, ranging from bacteria, yeast, worms and flies to humans. These maps provide substantial new insights into systems biology, disease research and drug discovery. However, only a small fraction of the total number of human protein-protein interactions has been identified. In this study, we map the interactions of an unbiased selection of 5026 human liver expression proteins by yeast two-hybrid technology and establish a human liver protein interaction network (HLPN) composed of 3484 interactions among 2582 proteins. The data set has a validation rate of over 72% as determined by three independent biochemical or cellular assays. The network includes metabolic enzymes and liver-specific, liver-phenotype and liver-disease proteins that are individually critical for the maintenance of liver functions. The liver enriched proteins had significantly different topological properties and increased our understanding of the functional relationships among proteins in a liver-specific manner. Our data represent the first comprehensive description of a HLPN, which could be a valuable tool for understanding the functioning of the protein interaction network of the human liver.","author":[{"dropping-particle":"","family":"Wang","given":"Jian","non-dropping-particle":"","parse-names":false,"suffix":""},{"dropping-particle":"","family":"Huo","given":"Keke","non-dropping-particle":"","parse-names":false,"suffix":""},{"dropping-particle":"","family":"Ma","given":"Lixin","non-dropping-particle":"","parse-names":false,"suffix":""},{"dropping-particle":"","family":"Tang","given":"Liujun","non-dropping-particle":"","parse-names":false,"suffix":""},{"dropping-particle":"","family":"Li","given":"Dong","non-dropping-particle":"","parse-names":false,"suffix":""},{"dropping-particle":"","family":"Huang","given":"Xiaobi","non-dropping-particle":"","parse-names":false,"suffix":""},{"dropping-particle":"","family":"Yuan","given":"Yanzhi","non-dropping-particle":"","parse-names":false,"suffix":""},{"dropping-particle":"","family":"Li","given":"Chunhua","non-dropping-particle":"","parse-names":false,"suffix":""},{"dropping-particle":"","family":"Wang","given":"Wei","non-dropping-particle":"","parse-names":false,"suffix":""},{"dropping-particle":"","family":"Guan","given":"Wei","non-dropping-particle":"","parse-names":false,"suffix":""},{"dropping-particle":"","family":"Chen","given":"Hui","non-dropping-particle":"","parse-names":false,"suffix":""},{"dropping-particle":"","family":"Jin","given":"Chaozhi","non-dropping-particle":"","parse-names":false,"suffix":""},{"dropping-particle":"","family":"Wei","given":"Juncheng","non-dropping-particle":"","parse-names":false,"suffix":""},{"dropping-particle":"","family":"Zhang","given":"Wanqiao","non-dropping-particle":"","parse-names":false,"suffix":""},{"dropping-particle":"","family":"Yang","given":"Yongsheng","non-dropping-particle":"","parse-names":false,"suffix":""},{"dropping-particle":"","family":"Liu","given":"Qiongming","non-dropping-particle":"","parse-names":false,"suffix":""},{"dropping-particle":"","family":"Zhou","given":"Ying","non-dropping-particle":"","parse-names":false,"suffix":""},{"dropping-particle":"","family":"Zhang","given":"Cuili","non-dropping-particle":"","parse-names":false,"suffix":""},{"dropping-particle":"","family":"Wu","given":"Zhihao","non-dropping-particle":"","parse-names":false,"suffix":""},{"dropping-particle":"","family":"Xu","given":"Wangxiang","non-dropping-particle":"","parse-names":false,"suffix":""},{"dropping-particle":"","family":"Zhang","given":"Ying","non-dropping-particle":"","parse-names":false,"suffix":""},{"dropping-particle":"","family":"Liu","given":"Tao","non-dropping-particle":"","parse-names":false,"suffix":""},{"dropping-particle":"","family":"Yu","given":"Donghui","non-dropping-particle":"","parse-names":false,"suffix":""},{"dropping-particle":"","family":"Zhang","given":"Yaping","non-dropping-particle":"","parse-names":false,"suffix":""},{"dropping-particle":"","family":"Chen","given":"Liang","non-dropping-particle":"","parse-names":false,"suffix":""},{"dropping-particle":"","family":"Zhu","given":"Dewu","non-dropping-particle":"","parse-names":false,"suffix":""},{"dropping-particle":"","family":"Zhong","given":"Xing","non-dropping-particle":"","parse-names":false,"suffix":""},{"dropping-particle":"","family":"Kang","given":"Lixin","non-dropping-particle":"","parse-names":false,"suffix":""},{"dropping-particle":"","family":"Gan","given":"Xiang","non-dropping-particle":"","parse-names":false,"suffix":""},{"dropping-particle":"","family":"Yu","given":"Xiaolan","non-dropping-particle":"","parse-names":false,"suffix":""},{"dropping-particle":"","family":"Ma","given":"Qi","non-dropping-particle":"","parse-names":false,"suffix":""},{"dropping-particle":"","family":"Yan","given":"Jing","non-dropping-particle":"","parse-names":false,"suffix":""},{"dropping-particle":"","family":"Zhou","given":"Li","non-dropping-particle":"","parse-names":false,"suffix":""},{"dropping-particle":"","family":"Liu","given":"Zhongyang","non-dropping-particle":"","parse-names":false,"suffix":""},{"dropping-particle":"","family":"Zhu","given":"Yunping","non-dropping-particle":"","parse-names":false,"suffix":""},{"dropping-particle":"","family":"Zhou","given":"Tao","non-dropping-particle":"","parse-names":false,"suffix":""},{"dropping-particle":"","family":"He","given":"Fuchu","non-dropping-particle":"","parse-names":false,"suffix":""},{"dropping-particle":"","family":"Yang","given":"Xiaoming","non-dropping-particle":"","parse-names":false,"suffix":""}],"container-title":"Molecular Systems Biology","id":"ITEM-5","issue":"1","issued":{"date-parts":[["2011","1","11"]]},"page":"536","title":"Toward an understanding of the protein interaction network of the human liver","type":"article-journal","volume":"7"},"uris":["http://www.mendeley.com/documents/?uuid=c9bb5da9-435f-4076-9028-08446e93974e"]}],"mendeley":{"formattedCitation":"[116–120]","plainTextFormattedCitation":"[116–120]","previouslyFormattedCitation":"[116–120]"},"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[116–120]</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6CE07F46" w14:textId="77777777" w:rsidR="00AC4DFA" w:rsidRPr="002E26D2" w:rsidRDefault="00AC4DFA" w:rsidP="004927BB">
      <w:pPr>
        <w:spacing w:line="360" w:lineRule="auto"/>
        <w:jc w:val="both"/>
        <w:rPr>
          <w:rFonts w:ascii="Times New Roman" w:hAnsi="Times New Roman" w:cs="Times New Roman"/>
          <w:sz w:val="24"/>
          <w:szCs w:val="24"/>
        </w:rPr>
      </w:pPr>
    </w:p>
    <w:p w14:paraId="7B7F9397" w14:textId="2F996EA3" w:rsidR="00AC4DFA" w:rsidRPr="00F836CB" w:rsidRDefault="00AC4DFA" w:rsidP="004927BB">
      <w:pPr>
        <w:pStyle w:val="Heading2"/>
        <w:spacing w:line="360" w:lineRule="auto"/>
        <w:rPr>
          <w:rFonts w:cs="Times New Roman"/>
          <w:szCs w:val="28"/>
        </w:rPr>
      </w:pPr>
      <w:bookmarkStart w:id="60" w:name="_Toc117153833"/>
      <w:r w:rsidRPr="00F836CB">
        <w:rPr>
          <w:rFonts w:cs="Times New Roman"/>
          <w:szCs w:val="28"/>
        </w:rPr>
        <w:t>RCC1L</w:t>
      </w:r>
      <w:r w:rsidR="00131CF8" w:rsidRPr="00F836CB">
        <w:rPr>
          <w:rFonts w:cs="Times New Roman"/>
          <w:szCs w:val="28"/>
        </w:rPr>
        <w:t xml:space="preserve"> protein</w:t>
      </w:r>
      <w:bookmarkEnd w:id="60"/>
    </w:p>
    <w:p w14:paraId="684E0F19" w14:textId="0243B00E"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RCC1L belongs to the </w:t>
      </w:r>
      <w:bookmarkStart w:id="61" w:name="_Hlk106018118"/>
      <w:r w:rsidRPr="002E26D2">
        <w:rPr>
          <w:rFonts w:ascii="Times New Roman" w:hAnsi="Times New Roman" w:cs="Times New Roman"/>
          <w:sz w:val="24"/>
          <w:szCs w:val="24"/>
        </w:rPr>
        <w:t xml:space="preserve">regulator of chromosome condensation 1 </w:t>
      </w:r>
      <w:bookmarkEnd w:id="61"/>
      <w:r w:rsidRPr="002E26D2">
        <w:rPr>
          <w:rFonts w:ascii="Times New Roman" w:hAnsi="Times New Roman" w:cs="Times New Roman"/>
          <w:sz w:val="24"/>
          <w:szCs w:val="24"/>
        </w:rPr>
        <w:t>(RCC1) family, a group of protein</w:t>
      </w:r>
      <w:r w:rsidR="00D50D89">
        <w:rPr>
          <w:rFonts w:ascii="Times New Roman" w:hAnsi="Times New Roman" w:cs="Times New Roman"/>
          <w:sz w:val="24"/>
          <w:szCs w:val="24"/>
        </w:rPr>
        <w:t>s</w:t>
      </w:r>
      <w:r w:rsidRPr="002E26D2">
        <w:rPr>
          <w:rFonts w:ascii="Times New Roman" w:hAnsi="Times New Roman" w:cs="Times New Roman"/>
          <w:sz w:val="24"/>
          <w:szCs w:val="24"/>
        </w:rPr>
        <w:t xml:space="preserve"> characterized by their RCC1-like domain (RLD),</w:t>
      </w:r>
      <w:r w:rsidR="00131C5D">
        <w:rPr>
          <w:rFonts w:ascii="Times New Roman" w:hAnsi="Times New Roman" w:cs="Times New Roman"/>
          <w:sz w:val="24"/>
          <w:szCs w:val="24"/>
        </w:rPr>
        <w:t xml:space="preserve"> </w:t>
      </w:r>
      <w:r w:rsidRPr="002E26D2">
        <w:rPr>
          <w:rFonts w:ascii="Times New Roman" w:hAnsi="Times New Roman" w:cs="Times New Roman"/>
          <w:sz w:val="24"/>
          <w:szCs w:val="24"/>
        </w:rPr>
        <w:t xml:space="preserve">that consist </w:t>
      </w:r>
      <w:r w:rsidR="009544AC">
        <w:rPr>
          <w:rFonts w:ascii="Times New Roman" w:hAnsi="Times New Roman" w:cs="Times New Roman"/>
          <w:sz w:val="24"/>
          <w:szCs w:val="24"/>
        </w:rPr>
        <w:t>of</w:t>
      </w:r>
      <w:r w:rsidRPr="002E26D2">
        <w:rPr>
          <w:rFonts w:ascii="Times New Roman" w:hAnsi="Times New Roman" w:cs="Times New Roman"/>
          <w:sz w:val="24"/>
          <w:szCs w:val="24"/>
        </w:rPr>
        <w:t xml:space="preserve"> a specific seven-bladed β-propeller fold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{"citationItems":[{"id":"ITEM-1","itemData":{"DOI":"10.1016/j.bbamcr.2008.03.015","ISSN":"01674889","abstract":"The Regulator of Chromosome Condensation 1 (RCC1) was identified over 20 years ago as a critical cell cycle regulator. By analyzing its amino acid sequence, RCC1 was found to consist of seven homologous repeats of 51-68 amino acid residues, which were later shown to adopt a seven-bladed β-propeller fold. Since the initial identification of RCC1, a number of proteins have been discovered that contain one or more RCC1-like domains (RLDs). As we show here, these RCC1 superfamily proteins can be subdivided in five subgroups based on structural criteria. In recent years, a number of studies have been published regarding the functions of RCC1 superfamily proteins. From these studies, the emerging picture is that the RLD is a versatile domain which may perform many different functions, including guanine nucleotide exchange on small GTP-binding proteins, enzyme inhibition or interaction with proteins and lipids. Here, we review the available structural and functional data on RCC1 superfamily members, paying special attention to the human proteins and their involvement in disease. © 2008 Elsevier B.V. All rights reserved.","author":[{"dropping-particle":"","family":"Hadjebi","given":"Ouadah","non-dropping-particle":"","parse-names":false,"suffix":""},{"dropping-particle":"","family":"Casas-Terradellas","given":"Eduard","non-dropping-particle":"","parse-names":false,"suffix":""},{"dropping-particle":"","family":"Garcia-Gonzalo","given":"Francesc R.","non-dropping-particle":"","parse-names":false,"suffix":""},{"dropping-particle":"","family":"Rosa","given":"Jose Luis","non-dropping-particle":"","parse-names":false,"suffix":""}],"container-title":"Biochimica et Biophysica Acta (BBA) - Molecular Cell Research","id":"ITEM-1","issue":"8","issued":{"date-parts":[["2008","8"]]},"page":"1467-1479","title":"The RCC1 superfamily: From genes, to function, to disease","type":"article-journal","volume":"1783"},"uris":["http://www.mendeley.com/documents/?uuid=a0923738-bd47-48cb-8500-1d874ff02045"]}],"mendeley":{"formattedCitation":"[121]","plainTextFormattedCitation":"[121]","previouslyFormattedCitation":"[121]"},"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[121]</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most studied member of the family, the RCC1 protein, is localized in the nucleus and acts as a chromosome condensation regulator through its </w:t>
      </w:r>
      <w:r w:rsidRPr="002E26D2">
        <w:rPr>
          <w:rFonts w:ascii="Times New Roman" w:hAnsi="Times New Roman" w:cs="Times New Roman"/>
          <w:sz w:val="24"/>
          <w:szCs w:val="24"/>
        </w:rPr>
        <w:lastRenderedPageBreak/>
        <w:t xml:space="preserve">interaction with chromatin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{"citationItems":[{"id":"ITEM-1","itemData":{"DOI":"10.1083/jcb.109.4.1389","ISSN":"0021-9525","PMID":"2677018","abstract":"The RCC1 gene, a regulator for the onset of chromosome condensation was found to encode a protein with a molecular mass of 45 kD, determined using the antibody against the synthetic peptides prepared according to the amino acid sequence of the putative RCC1 protein. The p45 located in the nuclei was released from the isolated nuclei, either by DNase I digestion or by treatment with 0.3 M NaCl. Consistently, p45 bound to the DNA-cellulose column was eluted with 0.3 M NaCl. After sequential treatment with DNase I and 2 M NaCl, almost all of the RCC1 protein were released from the nuclei. Thus, RCC1 protein locates on the chromatin and is not a component of the nuclear matrix. In mitotic cells, p45 is dispersed into the cytoplasm. Presumably, RCC1 protein plays a role in regulating the onset of chromosome condensation, at the level of transcription or of mRNA maturation.","author":[{"dropping-particle":"","family":"Ohtsubo","given":"M.","non-dropping-particle":"","parse-names":false,"suffix":""},{"dropping-particle":"","family":"Okazaki","given":"H.","non-dropping-particle":"","parse-names":false,"suffix":""},{"dropping-particle":"","family":"Nishimoto","given":"T.","non-dropping-particle":"","parse-names":false,"suffix":""}],"container-title":"Journal of Cell Biology","id":"ITEM-1","issue":"4","issued":{"date-parts":[["1989","10","1"]]},"page":"1389-1397","publisher":"The Rockefeller University Press","title":"The RCC1 protein, a regulator for the onset of chromosome condensation locates in the nucleus and binds to DNA.","type":"article-journal","volume":"109"},"uris":["http://www.mendeley.com/documents/?uuid=fcbe8fef-fd97-36f3-9e46-65b850a7e575"]}],"mendeley":{"formattedCitation":"[122]","plainTextFormattedCitation":"[122]","previouslyFormattedCitation":"[122]"},"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RCC1 is also a guanine exchange factor (GEF) for the Ran GTPase protein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{"citationItems":[{"id":"ITEM-1","itemData":{"DOI":"10.1016/S0092-8674(01)00315-4","ISSN":"00928674","PMID":"11336674","abstract":"RCC1 (regulator of chromosome condensation), a β propeller chromatin-bound protein, is the guanine nucleotide exchange factor (GEF) for the nuclear GTP binding protein Ran. We report here the 1.8 Å crystal structure of a Ran•RCC1 complex in the absence of nucleotide, an intermediate in the multistep GEF reaction. In contrast to previous structures, the phosphate binding region of the nucleotide binding site is perturbed only marginally, possibly due to the presence of a polyvalent anion in the P loop. Biochemical experiments show that a sulfate ion stabilizes the Ran•RCC1 complex and inhibits dissociation by guanine nucleotides. Based on the available structural and biochemical evidence, we present a unified scenario for the GEF mechanism where interaction of the P loop lysine with an acidic residue is a crucial element for the overall reaction.","author":[{"dropping-particle":"","family":"Renault","given":"Louis","non-dropping-particle":"","parse-names":false,"suffix":""},{"dropping-particle":"","family":"Kuhlmann","given":"Jürgen","non-dropping-particle":"","parse-names":false,"suffix":""},{"dropping-particle":"","family":"Henkel","given":"Andreas","non-dropping-particle":"","parse-names":false,"suffix":""},{"dropping-particle":"","family":"Wittinghofer","given":"Alfred","non-dropping-particle":"","parse-names":false,"suffix":""}],"container-title":"Cell","id":"ITEM-1","issue":"2","issued":{"date-parts":[["2001","4","20"]]},"page":"245-255","publisher":"Cell","title":"Structural Basis for Guanine Nucleotide Exchange on Ran by the Regulator of Chromosome Condensation (RCC1)","type":"article-journal","volume":"105"},"uris":["http://www.mendeley.com/documents/?uuid=a5c4a7e7-d865-3944-8f10-0706743d0fd9"]}],"mendeley":{"formattedCitation":"[123]","plainTextFormattedCitation":"[123]","previouslyFormattedCitation":"[123]"},"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15A62D0B" w14:textId="5BF653BF" w:rsidR="00AC4DFA" w:rsidRPr="002E26D2" w:rsidRDefault="00AC4DFA"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RCC1L protein description was addressed only very recently, even though the gene was previously described. RCC1L is </w:t>
      </w:r>
      <w:r w:rsidR="009544AC">
        <w:rPr>
          <w:rFonts w:ascii="Times New Roman" w:hAnsi="Times New Roman" w:cs="Times New Roman"/>
          <w:sz w:val="24"/>
          <w:szCs w:val="24"/>
        </w:rPr>
        <w:t>located</w:t>
      </w:r>
      <w:r w:rsidRPr="002E26D2">
        <w:rPr>
          <w:rFonts w:ascii="Times New Roman" w:hAnsi="Times New Roman" w:cs="Times New Roman"/>
          <w:sz w:val="24"/>
          <w:szCs w:val="24"/>
        </w:rPr>
        <w:t xml:space="preserve"> on chromosome 7q11.23, at the periphery of the Williams-Beuren syndrome (WBS) critical region. The large WBS region covers at least 25 genes, and its heterozygous deletion is responsible for a neurodevelopmental disorder associated with cardiovascular malformation, mental retardation and facial dysmorphism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{"citationItems":[{"id":"ITEM-1","itemData":{"DOI":"10.3892/ijmm.18.5.799","ISSN":"1107-3756","PMID":"17016608","abstract":"Williams-Beuren syndrome (WBS) is a rare genetic disorder (1/20,000-50,000) and is usually caused by a 1.5- to 1.8-Mb heterozygous deletion on chromosome 7q11.23. At least 25 genes have been identified in the deletion region in WBS patients, which is flanked by large low-copy-repeat sequences (&gt; 320 kb). By using FISH as well as microsatellite analysis, it is not possible to get a precise identification of the size of the deletion. For determining the deletion size, we developed a reliable quantitative PCR approach. Our assay screens 2.5 Mb of the WBS region in 100- to 300-kb intervals. This methodology has been tested in DNA samples of 65 patients with the clinical suspicion of WBS. In every case we were able to exclude or to identify the presence of a deletion and to determine its size. Deletion size varied from 0.2 Mb to 2.5 Mb. The 2.5-Mb rearrangement represents the largest deletion described at present and it was detected in a severely affected patient. We report the detection efficiency of this new system and the genotype/phenotype correlation.","author":[{"dropping-particle":"","family":"Schubert","given":"Cornelia","non-dropping-particle":"","parse-names":false,"suffix":""},{"dropping-particle":"","family":"Laccone","given":"Franco","non-dropping-particle":"","parse-names":false,"suffix":""}],"container-title":"International Journal of Molecular Medicine","id":"ITEM-1","issue":"5","issued":{"date-parts":[["2006","11","1"]]},"page":"799-806","publisher":"Spandidos Publications","title":"Williams-Beuren syndrome: Determination of deletion size using quantitative real-time PCR","type":"article-journal","volume":"18"},"uris":["http://www.mendeley.com/documents/?uuid=0ba3bfda-f359-3cf2-affd-8c01a2cdb63b"]}],"mendeley":{"formattedCitation":"[124]","plainTextFormattedCitation":"[124]","previouslyFormattedCitation":"[124]"},"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In 2017, four research groups published independently the first bricks of the RCC1L protein knowledge. Arroyo </w:t>
      </w:r>
      <w:r w:rsidR="009E0121">
        <w:rPr>
          <w:rFonts w:ascii="Times New Roman" w:hAnsi="Times New Roman" w:cs="Times New Roman"/>
          <w:sz w:val="24"/>
          <w:szCs w:val="24"/>
        </w:rPr>
        <w:t>et al.</w:t>
      </w:r>
      <w:r w:rsidRPr="002E26D2">
        <w:rPr>
          <w:rFonts w:ascii="Times New Roman" w:hAnsi="Times New Roman" w:cs="Times New Roman"/>
          <w:sz w:val="24"/>
          <w:szCs w:val="24"/>
        </w:rPr>
        <w:t xml:space="preserve"> identified RCC1L as an essential gene for oxidative phosphorylation. They described </w:t>
      </w:r>
      <w:r w:rsidR="009544AC">
        <w:rPr>
          <w:rFonts w:ascii="Times New Roman" w:hAnsi="Times New Roman" w:cs="Times New Roman"/>
          <w:sz w:val="24"/>
          <w:szCs w:val="24"/>
        </w:rPr>
        <w:t xml:space="preserve">that </w:t>
      </w:r>
      <w:r w:rsidRPr="002E26D2">
        <w:rPr>
          <w:rFonts w:ascii="Times New Roman" w:hAnsi="Times New Roman" w:cs="Times New Roman"/>
          <w:sz w:val="24"/>
          <w:szCs w:val="24"/>
        </w:rPr>
        <w:t xml:space="preserve">it </w:t>
      </w:r>
      <w:r w:rsidR="009544AC">
        <w:rPr>
          <w:rFonts w:ascii="Times New Roman" w:hAnsi="Times New Roman" w:cs="Times New Roman"/>
          <w:sz w:val="24"/>
          <w:szCs w:val="24"/>
        </w:rPr>
        <w:t>is</w:t>
      </w:r>
      <w:r w:rsidRPr="002E26D2">
        <w:rPr>
          <w:rFonts w:ascii="Times New Roman" w:hAnsi="Times New Roman" w:cs="Times New Roman"/>
          <w:sz w:val="24"/>
          <w:szCs w:val="24"/>
        </w:rPr>
        <w:t xml:space="preserve"> part of a module that regulates 16S rRNA and intra-mitochondrial translation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{"citationItems":[{"id":"ITEM-1","itemData":{"DOI":"10.1016/j.cmet.2016.08.017","ISSN":"15504131","PMID":"27667664","abstract":"Oxidative phosphorylation (OXPHOS) is the major pathway for ATP production in humans. Deficiencies in OXPHOS can arise from mutations in either mitochondrial or nuclear genomes and comprise the largest collection of inborn errors of metabolism. At present we lack a complete catalog of human genes and pathways essential for OXPHOS. Here we introduce a genome-wide CRISPR “death screen” that actively selects dying cells to reveal human genes required for OXPHOS, inspired by the classic observation that human cells deficient in OXPHOS survive in glucose but die in galactose. We report 191 high-confidence hits essential for OXPHOS, including 72 underlying known OXPHOS diseases. Our screen reveals a functional module consisting of NGRN, WBSCR16, RPUSD3, RPUSD4, TRUB2, and FASTKD2 that regulates the mitochondrial 16S rRNA and intra-mitochondrial translation. Our work yields a rich catalog of genes required for OXPHOS and, more generally, demonstrates the power of death screening for functional genomic analysis.","author":[{"dropping-particle":"","family":"Arroyo","given":"Jason D.","non-dropping-particle":"","parse-names":false,"suffix":""},{"dropping-particle":"","family":"Jourdain","given":"Alexis A.","non-dropping-particle":"","parse-names":false,"suffix":""},{"dropping-particle":"","family":"Calvo","given":"Sarah E.","non-dropping-particle":"","parse-names":false,"suffix":""},{"dropping-particle":"","family":"Ballarano","given":"Carmine A.","non-dropping-particle":"","parse-names":false,"suffix":""},{"dropping-particle":"","family":"Doench","given":"John G.","non-dropping-particle":"","parse-names":false,"suffix":""},{"dropping-particle":"","family":"Root","given":"David E.","non-dropping-particle":"","parse-names":false,"suffix":""},{"dropping-particle":"","family":"Mootha","given":"Vamsi K.","non-dropping-particle":"","parse-names":false,"suffix":""}],"container-title":"Cell Metabolism","id":"ITEM-1","issue":"6","issued":{"date-parts":[["2016","12"]]},"page":"875-885","title":"A Genome-wide CRISPR Death Screen Identifies Genes Essential for Oxidative Phosphorylation","type":"article-journal","volume":"24"},"uris":["http://www.mendeley.com/documents/?uuid=50ab3005-005f-4c19-8d6a-b0f94b9f208e"]}],"mendeley":{"formattedCitation":"[117]","plainTextFormattedCitation":"[117]","previouslyFormattedCitation":"[117]"},"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[117]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Later, Antonicka et al. associated RCC1L with the same module by proximity biotinylation assay. They characterized it as the pseudouridine synthase module, localized in the RNA granules of the mitochondria (</w:t>
      </w:r>
      <w:r w:rsidR="00131CF8" w:rsidRPr="002E26D2">
        <w:rPr>
          <w:rFonts w:ascii="Times New Roman" w:hAnsi="Times New Roman" w:cs="Times New Roman"/>
          <w:sz w:val="24"/>
          <w:szCs w:val="24"/>
        </w:rPr>
        <w:t>m</w:t>
      </w:r>
      <w:r w:rsidR="0054732D">
        <w:rPr>
          <w:rFonts w:ascii="Times New Roman" w:hAnsi="Times New Roman" w:cs="Times New Roman"/>
          <w:sz w:val="24"/>
          <w:szCs w:val="24"/>
        </w:rPr>
        <w:t>a</w:t>
      </w:r>
      <w:r w:rsidRPr="002E26D2">
        <w:rPr>
          <w:rFonts w:ascii="Times New Roman" w:hAnsi="Times New Roman" w:cs="Times New Roman"/>
          <w:sz w:val="24"/>
          <w:szCs w:val="24"/>
        </w:rPr>
        <w:t xml:space="preserve">trix). Moreover, they confirmed the mitochondrial localization of RCC1L by immunofluorescence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{"citationItems":[{"id":"ITEM-1","itemData":{"DOI":"10.15252/embr.201643391","ISSN":"1469-221X","PMID":"27974379","abstract":"Pseudouridylation is a common post-transcriptional modification in RNA, but its functional consequences at the cellular level remain largely unknown. Using a proximity-biotinylation assay, we identified a protein module in mitochondrial RNA granules, platforms for post-transcriptional RNA modification and ribosome assembly, containing several proteins of unknown function including three uncharacterized pseudouridine synthases, TRUB2, RPUSD3, and RPUSD4. TRUB2 and RPUSD4 were previously identified as core essential genes in CRISPR/Cas9 screens. Depletion of the individual enzymes produced specific mitochondrial protein synthesis and oxidative phosphorylation assembly defects without affecting mitochondrial mRNA levels. Investigation of the molecular targets in mitochondrial RNA by pseudouridine-Seq showed that RPUSD4 plays a role in the pseudouridylation of a single residue in the 16S rRNA, a modification that is essential for its stability and assembly into the mitochondrial ribosome, while TRUB2/RPUSD3 were similarly involved in pseudouridylating specific residues in mitochondrial mRNAs. These results establish essential roles for epitranscriptomic modification of mitochondrial RNA in mitochondrial protein synthesis, oxidative phosphorylation, and cell survival.","author":[{"dropping-particle":"","family":"Antonicka","given":"Hana","non-dropping-particle":"","parse-names":false,"suffix":""},{"dropping-particle":"","family":"Choquet","given":"Karine","non-dropping-particle":"","parse-names":false,"suffix":""},{"dropping-particle":"","family":"Lin","given":"Zhen‐Yuan","non-dropping-particle":"","parse-names":false,"suffix":""},{"dropping-particle":"","family":"Gingras","given":"Anne‐Claude","non-dropping-particle":"","parse-names":false,"suffix":""},{"dropping-particle":"","family":"Kleinman","given":"Claudia L","non-dropping-particle":"","parse-names":false,"suffix":""},{"dropping-particle":"","family":"Shoubridge","given":"Eric A","non-dropping-particle":"","parse-names":false,"suffix":""}],"container-title":"EMBO reports","id":"ITEM-1","issue":"1","issued":{"date-parts":[["2017","1","14"]]},"page":"28-38","title":"A pseudouridine synthase module is essential for mitochondrial protein synthesis and cell viability","type":"article-journal","volume":"18"},"uris":["http://www.mendeley.com/documents/?uuid=91486377-1e24-41cb-ad3d-4083696e1804"]}],"mendeley":{"formattedCitation":"[125]","plainTextFormattedCitation":"[125]","previouslyFormattedCitation":"[125]"},"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r w:rsidR="009544AC">
        <w:rPr>
          <w:rFonts w:ascii="Times New Roman" w:hAnsi="Times New Roman" w:cs="Times New Roman"/>
          <w:sz w:val="24"/>
          <w:szCs w:val="24"/>
        </w:rPr>
        <w:t>A f</w:t>
      </w:r>
      <w:r w:rsidRPr="002E26D2">
        <w:rPr>
          <w:rFonts w:ascii="Times New Roman" w:hAnsi="Times New Roman" w:cs="Times New Roman"/>
          <w:sz w:val="24"/>
          <w:szCs w:val="24"/>
        </w:rPr>
        <w:t>ew month</w:t>
      </w:r>
      <w:r w:rsidR="009544AC">
        <w:rPr>
          <w:rFonts w:ascii="Times New Roman" w:hAnsi="Times New Roman" w:cs="Times New Roman"/>
          <w:sz w:val="24"/>
          <w:szCs w:val="24"/>
        </w:rPr>
        <w:t>s</w:t>
      </w:r>
      <w:r w:rsidRPr="002E26D2">
        <w:rPr>
          <w:rFonts w:ascii="Times New Roman" w:hAnsi="Times New Roman" w:cs="Times New Roman"/>
          <w:sz w:val="24"/>
          <w:szCs w:val="24"/>
        </w:rPr>
        <w:t xml:space="preserve"> later, the structure of RCC1L was resolved by Koyama et al., bringing a detailed structure comparison with other proteins from the RCC1 family. They also confirmed its mitochondrial localization by immunofluorescence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{"citationItems":[{"id":"ITEM-1","itemData":{"DOI":"10.1002/pro.3210","ISSN":"09618368","PMID":"28608466","abstract":"WBSCR16 (Williams-Beuren Syndrome Chromosomal Region 16) gene is located in a large deletion region of Williams-Beuren syndrome (WBS), which is a neurodevelopmental disorder. Although the relationship between WBSCR16 and WBS remains unclear, it has been reported that WBSCR16 is a member of a functional module that regulates mitochondrial 16S rRNA abundance and intra-mitochondrial translation. WBSCR16 has RCC1 (Regulator of Chromosome Condensation 1)-like amino acid sequence repeats but the function of WBSCR16 appears to be different from that of other RCC1 superfamily members. Here, we demonstrate that WBSCR16 localizes to mitochondria in HeLa cells, and report the crystal structure of WBSCR16 determined to 2.0 Å resolution using multi-wavelength anomalous diffraction. WBSCR16 adopts the seven-bladed β-propeller fold characteristic of RCC1-like proteins. A comparison of the WBSCR16 structure with that of RCC1 and other RCC1-like proteins reveals that, although many of the residues buried in the core of the β-propeller are highly conserved, the surface residues are poorly conserved and conformationally divergent.","author":[{"dropping-particle":"","family":"Koyama","given":"Masako","non-dropping-particle":"","parse-names":false,"suffix":""},{"dropping-particle":"","family":"Sasaki","given":"Taeko","non-dropping-particle":"","parse-names":false,"suffix":""},{"dropping-particle":"","family":"Sasaki","given":"Narie","non-dropping-particle":"","parse-names":false,"suffix":""},{"dropping-particle":"","family":"Matsuura","given":"Yoshiyuki","non-dropping-particle":"","parse-names":false,"suffix":""}],"container-title":"Protein Science","id":"ITEM-1","issue":"9","issued":{"date-parts":[["2017","9"]]},"page":"1870-1877","title":"Crystal structure of human WBSCR16, an RCC1-like protein in mitochondria","type":"article-journal","volume":"26"},"uris":["http://www.mendeley.com/documents/?uuid=b8bab7c2-7f3e-4d18-98df-b5a792b9da34"]}],"mendeley":{"formattedCitation":"[126]","plainTextFormattedCitation":"[126]","previouslyFormattedCitation":"[126]"},"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[126]</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Finally, Huang </w:t>
      </w:r>
      <w:r w:rsidR="004E5164">
        <w:rPr>
          <w:rFonts w:ascii="Times New Roman" w:hAnsi="Times New Roman" w:cs="Times New Roman"/>
          <w:sz w:val="24"/>
          <w:szCs w:val="24"/>
        </w:rPr>
        <w:t>et al.</w:t>
      </w:r>
      <w:r w:rsidRPr="002E26D2">
        <w:rPr>
          <w:rFonts w:ascii="Times New Roman" w:hAnsi="Times New Roman" w:cs="Times New Roman"/>
          <w:sz w:val="24"/>
          <w:szCs w:val="24"/>
        </w:rPr>
        <w:t xml:space="preserve"> explored the protein function. They reported that RCC1L can interact with, and act as a GEF for OPA1, in mitochondria. The RCC1L heterozygous mutation exerted mitochondrial disfunction and fragmentation in mice while homozygous mutation was lethal at </w:t>
      </w:r>
      <w:r w:rsidR="009544AC">
        <w:rPr>
          <w:rFonts w:ascii="Times New Roman" w:hAnsi="Times New Roman" w:cs="Times New Roman"/>
          <w:sz w:val="24"/>
          <w:szCs w:val="24"/>
        </w:rPr>
        <w:t xml:space="preserve">the </w:t>
      </w:r>
      <w:r w:rsidRPr="002E26D2">
        <w:rPr>
          <w:rFonts w:ascii="Times New Roman" w:hAnsi="Times New Roman" w:cs="Times New Roman"/>
          <w:sz w:val="24"/>
          <w:szCs w:val="24"/>
        </w:rPr>
        <w:t xml:space="preserve">early embryonic stage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{"citationItems":[{"id":"ITEM-1","itemData":{"DOI":"10.1016/j.celrep.2017.06.090","ISSN":"22111247","abstract":"Regulated inter-mitochondrial fusion/fission is essential for maintaining optimal mitochondrial respiration and control of apoptosis and autophagy. In mammals, mitochondrial fusion is controlled by outer membrane GTPases MFN1 and MFN2 and by inner membrane (IM) GTPase OPA1. Disordered mitochondrial fusion/fission contributes to various pathologies, and MFN2 or OPA1 mutations underlie neurodegenerative diseases. Here, we show that the WBSCR16 protein is primarily associated with the outer face of the inner mitochondrial membrane and is important for mitochondrial fusion. We provide evidence of a WBSCR16/OPA1 physical interaction in the intact cell and of a WBSCR16 function as an OPA1-specific guanine nucleotide exchange factor (GEF). Homozygosity for a Wbscr16 mutation causes early embryonic lethality, whereas neurons of mice heterozygous for the mutation have mitochondria with reduced membrane potential and increased susceptibility to fragmentation upon exposure to stress, suggesting roles for WBSCR16 deficits in neuronal pathologies.","author":[{"dropping-particle":"","family":"Huang","given":"Guorui","non-dropping-particle":"","parse-names":false,"suffix":""},{"dropping-particle":"","family":"Massoudi","given":"Dawiyat","non-dropping-particle":"","parse-names":false,"suffix":""},{"dropping-particle":"","family":"Muir","given":"Alison M.","non-dropping-particle":"","parse-names":false,"suffix":""},{"dropping-particle":"","family":"Joshi","given":"Dinesh C.","non-dropping-particle":"","parse-names":false,"suffix":""},{"dropping-particle":"","family":"Zhang","given":"Chuan-Li","non-dropping-particle":"","parse-names":false,"suffix":""},{"dropping-particle":"","family":"Chiu","given":"Shing Yan","non-dropping-particle":"","parse-names":false,"suffix":""},{"dropping-particle":"","family":"Greenspan","given":"Daniel S.","non-dropping-particle":"","parse-names":false,"suffix":""}],"container-title":"Cell Reports","id":"ITEM-1","issue":"4","issued":{"date-parts":[["2017","7"]]},"page":"923-934","title":"WBSCR16 Is a Guanine Nucleotide Exchange Factor Important for Mitochondrial Fusion","type":"article-journal","volume":"20"},"uris":["http://www.mendeley.com/documents/?uuid=008887fd-5780-44fa-93b6-18ff9296316d"]}],"mendeley":{"formattedCitation":"[127]","plainTextFormattedCitation":"[127]","previouslyFormattedCitation":"[127]"},"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In 2020, an extensive description of RCC1L was performed by Reyes et al.</w:t>
      </w:r>
      <w:r w:rsidR="006B7BB4" w:rsidRPr="002E26D2">
        <w:rPr>
          <w:rFonts w:ascii="Times New Roman" w:hAnsi="Times New Roman" w:cs="Times New Roman"/>
          <w:sz w:val="24"/>
          <w:szCs w:val="24"/>
        </w:rPr>
        <w:t xml:space="preserve">, where </w:t>
      </w:r>
      <w:r w:rsidR="009544AC">
        <w:rPr>
          <w:rFonts w:ascii="Times New Roman" w:hAnsi="Times New Roman" w:cs="Times New Roman"/>
          <w:sz w:val="24"/>
          <w:szCs w:val="24"/>
        </w:rPr>
        <w:t xml:space="preserve">a </w:t>
      </w:r>
      <w:r w:rsidR="006B7BB4" w:rsidRPr="002E26D2">
        <w:rPr>
          <w:rFonts w:ascii="Times New Roman" w:hAnsi="Times New Roman" w:cs="Times New Roman"/>
          <w:sz w:val="24"/>
          <w:szCs w:val="24"/>
        </w:rPr>
        <w:t>f</w:t>
      </w:r>
      <w:r w:rsidRPr="002E26D2">
        <w:rPr>
          <w:rFonts w:ascii="Times New Roman" w:hAnsi="Times New Roman" w:cs="Times New Roman"/>
          <w:sz w:val="24"/>
          <w:szCs w:val="24"/>
        </w:rPr>
        <w:t xml:space="preserve">ew isoforms of the protein were described, all possessing a cleavable MTS. RCC1L was shown to interact with the MIM, and was strongly associated with mitoribosome biogenesis in the mitochondrial matrix through direct interaction with mitoribosome proteins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10.1371/journal.pgen.1008923","ISSN":"1553-7404","author":[{"dropping-particle":"","family":"Reyes","given":"Aurelio","non-dropping-particle":"","parse-names":false,"suffix":""},{"dropping-particle":"","family":"Favia","given":"Paola","non-dropping-particle":"","parse-names":false,"suffix":""},{"dropping-particle":"","family":"Vidoni","given":"Sara","non-dropping-particle":"","parse-names":false,"suffix":""},{"dropping-particle":"","family":"Petruzzella","given":"Vittoria","non-dropping-particle":"","parse-names":false,"suffix":""},{"dropping-particle":"","family":"Zeviani","given":"Massimo","non-dropping-particle":"","parse-names":false,"suffix":""}],"container-title":"PLOS Genetics","editor":[{"dropping-particle":"","family":"Filipovska","given":"Aleksandra","non-dropping-particle":"","parse-names":false,"suffix":""}],"id":"ITEM-1","issue":"7","issued":{"date-parts":[["2020","7","31"]]},"page":"e1008923","title":"RCC1L (WBSCR16) isoforms coordinate mitochondrial ribosome assembly through their interaction with GTPases","type":"article-journal","volume":"16"},"uris":["http://www.mendeley.com/documents/?uuid=429858cc-8986-40b1-b986-310c09b10d00"]}],"mendeley":{"formattedCitation":"[128]","plainTextFormattedCitation":"[128]","previouslyFormattedCitation":"[128]"},"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5725B2E3" w14:textId="3F16628A" w:rsidR="009E0121" w:rsidRDefault="009E0121">
      <w:pPr>
        <w:rPr>
          <w:rFonts w:ascii="Times New Roman" w:hAnsi="Times New Roman" w:cs="Times New Roman"/>
          <w:sz w:val="24"/>
          <w:szCs w:val="24"/>
        </w:rPr>
      </w:pPr>
      <w:r>
        <w:rPr>
          <w:rFonts w:ascii="Times New Roman" w:hAnsi="Times New Roman" w:cs="Times New Roman"/>
          <w:sz w:val="24"/>
          <w:szCs w:val="24"/>
        </w:rPr>
        <w:br w:type="page"/>
      </w:r>
    </w:p>
    <w:p w14:paraId="785F0ACA" w14:textId="04D4DC16" w:rsidR="001C657E" w:rsidRPr="005953EB" w:rsidRDefault="000B3AF7" w:rsidP="001C657E">
      <w:pPr>
        <w:pStyle w:val="Heading1"/>
        <w:spacing w:line="360" w:lineRule="auto"/>
        <w:rPr>
          <w:rFonts w:cs="Times New Roman"/>
          <w:szCs w:val="32"/>
        </w:rPr>
      </w:pPr>
      <w:bookmarkStart w:id="62" w:name="_Toc117153834"/>
      <w:r w:rsidRPr="005953EB">
        <w:rPr>
          <w:rFonts w:cs="Times New Roman"/>
          <w:szCs w:val="32"/>
        </w:rPr>
        <w:lastRenderedPageBreak/>
        <w:t>M</w:t>
      </w:r>
      <w:r w:rsidR="00314B90" w:rsidRPr="005953EB">
        <w:rPr>
          <w:rFonts w:cs="Times New Roman"/>
          <w:szCs w:val="32"/>
        </w:rPr>
        <w:t>ATERIAL</w:t>
      </w:r>
      <w:r w:rsidR="001C657E" w:rsidRPr="005953EB">
        <w:rPr>
          <w:rFonts w:cs="Times New Roman"/>
          <w:szCs w:val="32"/>
        </w:rPr>
        <w:t>S AND METHODS</w:t>
      </w:r>
      <w:bookmarkEnd w:id="62"/>
    </w:p>
    <w:p w14:paraId="35B3289E" w14:textId="79D50AA8" w:rsidR="001C657E" w:rsidRPr="00F836CB" w:rsidRDefault="001C657E" w:rsidP="001C657E">
      <w:pPr>
        <w:pStyle w:val="Heading2"/>
        <w:rPr>
          <w:szCs w:val="28"/>
        </w:rPr>
      </w:pPr>
      <w:bookmarkStart w:id="63" w:name="_Toc117153835"/>
      <w:r w:rsidRPr="00F836CB">
        <w:rPr>
          <w:szCs w:val="28"/>
        </w:rPr>
        <w:t>Materials</w:t>
      </w:r>
      <w:bookmarkEnd w:id="63"/>
    </w:p>
    <w:p w14:paraId="4B7121FA" w14:textId="795DEFD5" w:rsidR="002E448B" w:rsidRPr="002E26D2" w:rsidRDefault="002E448B" w:rsidP="003775DE">
      <w:pPr>
        <w:pStyle w:val="Heading3"/>
      </w:pPr>
      <w:bookmarkStart w:id="64" w:name="_Toc117153836"/>
      <w:r w:rsidRPr="002E26D2">
        <w:t>Chemicals and buffers</w:t>
      </w:r>
      <w:bookmarkEnd w:id="64"/>
    </w:p>
    <w:p w14:paraId="2D05467A" w14:textId="7FAD65FB" w:rsidR="000D46A1" w:rsidRPr="002E26D2" w:rsidRDefault="000D46A1" w:rsidP="004927BB">
      <w:pPr>
        <w:pStyle w:val="Caption"/>
        <w:keepNext/>
        <w:spacing w:line="360" w:lineRule="auto"/>
        <w:rPr>
          <w:rFonts w:ascii="Times New Roman" w:hAnsi="Times New Roman" w:cs="Times New Roman"/>
          <w:sz w:val="24"/>
          <w:szCs w:val="24"/>
        </w:rPr>
      </w:pPr>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 Chemicals</w:t>
      </w:r>
    </w:p>
    <w:tbl>
      <w:tblPr>
        <w:tblStyle w:val="PlainTable1"/>
        <w:tblW w:w="0" w:type="auto"/>
        <w:tblLook w:val="04A0" w:firstRow="1" w:lastRow="0" w:firstColumn="1" w:lastColumn="0" w:noHBand="0" w:noVBand="1"/>
      </w:tblPr>
      <w:tblGrid>
        <w:gridCol w:w="5807"/>
        <w:gridCol w:w="3209"/>
      </w:tblGrid>
      <w:tr w:rsidR="001B1DFD" w:rsidRPr="002E26D2" w14:paraId="0B141F25" w14:textId="77777777" w:rsidTr="00D034C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34AF45B"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Chemical</w:t>
            </w:r>
          </w:p>
        </w:tc>
        <w:tc>
          <w:tcPr>
            <w:tcW w:w="3209" w:type="dxa"/>
            <w:noWrap/>
            <w:hideMark/>
          </w:tcPr>
          <w:p w14:paraId="5D8D26BE" w14:textId="77777777" w:rsidR="001B1DFD" w:rsidRPr="002E26D2" w:rsidRDefault="001B1DFD"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Manufacturer</w:t>
            </w:r>
          </w:p>
        </w:tc>
      </w:tr>
      <w:tr w:rsidR="001B1DFD" w:rsidRPr="002E26D2" w14:paraId="6D8A5340"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1DFB72EF"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Acrylamide/Bis-acrylamide</w:t>
            </w:r>
          </w:p>
        </w:tc>
        <w:tc>
          <w:tcPr>
            <w:tcW w:w="3209" w:type="dxa"/>
            <w:noWrap/>
            <w:hideMark/>
          </w:tcPr>
          <w:p w14:paraId="5274FFE8"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3B718A5A"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6EA8B4A2" w14:textId="77777777" w:rsidR="001B1DFD" w:rsidRPr="002E26D2" w:rsidRDefault="001B1DFD" w:rsidP="004927BB">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ADP (adenosine diphosphate)</w:t>
            </w:r>
          </w:p>
        </w:tc>
        <w:tc>
          <w:tcPr>
            <w:tcW w:w="3209" w:type="dxa"/>
            <w:noWrap/>
          </w:tcPr>
          <w:p w14:paraId="5926AAC1"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194189DB"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0DD5692D"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Agar</w:t>
            </w:r>
          </w:p>
        </w:tc>
        <w:tc>
          <w:tcPr>
            <w:tcW w:w="3209" w:type="dxa"/>
            <w:noWrap/>
            <w:hideMark/>
          </w:tcPr>
          <w:p w14:paraId="4F30ABF4"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Merck, USA</w:t>
            </w:r>
          </w:p>
        </w:tc>
      </w:tr>
      <w:tr w:rsidR="001B1DFD" w:rsidRPr="002E26D2" w14:paraId="2CBB9405"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025264B7"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Agarose</w:t>
            </w:r>
          </w:p>
        </w:tc>
        <w:tc>
          <w:tcPr>
            <w:tcW w:w="3209" w:type="dxa"/>
            <w:noWrap/>
            <w:hideMark/>
          </w:tcPr>
          <w:p w14:paraId="2DEE5EE7"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Roche, Switzerland</w:t>
            </w:r>
          </w:p>
        </w:tc>
      </w:tr>
      <w:tr w:rsidR="001B1DFD" w:rsidRPr="002E26D2" w14:paraId="79AD2276"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32A54F7"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Ampicillin</w:t>
            </w:r>
          </w:p>
        </w:tc>
        <w:tc>
          <w:tcPr>
            <w:tcW w:w="3209" w:type="dxa"/>
            <w:noWrap/>
            <w:hideMark/>
          </w:tcPr>
          <w:p w14:paraId="7A0A56B4"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Pliva, Croatia</w:t>
            </w:r>
          </w:p>
        </w:tc>
      </w:tr>
      <w:tr w:rsidR="001B1DFD" w:rsidRPr="002E26D2" w14:paraId="487F0227"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020FF871"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APS (ammonium persulfate)</w:t>
            </w:r>
          </w:p>
        </w:tc>
        <w:tc>
          <w:tcPr>
            <w:tcW w:w="3209" w:type="dxa"/>
            <w:noWrap/>
            <w:hideMark/>
          </w:tcPr>
          <w:p w14:paraId="39BAA5FF"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457D613E"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4B826CD5"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ATP (adenosine triphosphate)</w:t>
            </w:r>
          </w:p>
        </w:tc>
        <w:tc>
          <w:tcPr>
            <w:tcW w:w="3209" w:type="dxa"/>
            <w:noWrap/>
          </w:tcPr>
          <w:p w14:paraId="6595F8F9"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142C4AFB"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760859DE"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Bromophenol blue</w:t>
            </w:r>
          </w:p>
        </w:tc>
        <w:tc>
          <w:tcPr>
            <w:tcW w:w="3209" w:type="dxa"/>
            <w:noWrap/>
            <w:hideMark/>
          </w:tcPr>
          <w:p w14:paraId="396C8B64"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537AE1DD"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024535E3"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BSA (bovine serum albumin)</w:t>
            </w:r>
          </w:p>
        </w:tc>
        <w:tc>
          <w:tcPr>
            <w:tcW w:w="3209" w:type="dxa"/>
            <w:noWrap/>
          </w:tcPr>
          <w:p w14:paraId="3430E982"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1B1DFD" w:rsidRPr="002E26D2" w14:paraId="081C30E0"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2C37D0A0" w14:textId="77777777" w:rsidR="001B1DFD" w:rsidRPr="002E26D2" w:rsidRDefault="001B1DFD" w:rsidP="004927BB">
            <w:pPr>
              <w:tabs>
                <w:tab w:val="left" w:pos="9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Camptothecin</w:t>
            </w:r>
          </w:p>
        </w:tc>
        <w:tc>
          <w:tcPr>
            <w:tcW w:w="3209" w:type="dxa"/>
            <w:noWrap/>
          </w:tcPr>
          <w:p w14:paraId="744B4ED5"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3C4C0E4B"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3C8BBFA4" w14:textId="77777777" w:rsidR="001B1DFD" w:rsidRPr="002E26D2" w:rsidRDefault="001B1DFD" w:rsidP="004927BB">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Cytochrome C</w:t>
            </w:r>
          </w:p>
        </w:tc>
        <w:tc>
          <w:tcPr>
            <w:tcW w:w="3209" w:type="dxa"/>
            <w:noWrap/>
          </w:tcPr>
          <w:p w14:paraId="5843CE3E"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03341D5B"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4CCD310E"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Digitonin</w:t>
            </w:r>
          </w:p>
        </w:tc>
        <w:tc>
          <w:tcPr>
            <w:tcW w:w="3209" w:type="dxa"/>
            <w:noWrap/>
            <w:hideMark/>
          </w:tcPr>
          <w:p w14:paraId="76DFCFCF"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Acros Organics, Belgium</w:t>
            </w:r>
          </w:p>
        </w:tc>
      </w:tr>
      <w:tr w:rsidR="001B1DFD" w:rsidRPr="002E26D2" w14:paraId="39179F31"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0156E7EE" w14:textId="77777777" w:rsidR="001B1DFD" w:rsidRPr="002E26D2" w:rsidRDefault="001B1DFD" w:rsidP="004927BB">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dTDP (</w:t>
            </w:r>
            <w:r w:rsidRPr="002E26D2">
              <w:rPr>
                <w:rFonts w:ascii="Times New Roman" w:hAnsi="Times New Roman" w:cs="Times New Roman"/>
                <w:sz w:val="24"/>
                <w:szCs w:val="24"/>
              </w:rPr>
              <w:t>deoxythymidine diphosphate)</w:t>
            </w:r>
          </w:p>
        </w:tc>
        <w:tc>
          <w:tcPr>
            <w:tcW w:w="3209" w:type="dxa"/>
            <w:noWrap/>
          </w:tcPr>
          <w:p w14:paraId="7E0C4DF5"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49A01E5C"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5A42F6E3"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DTT (Dithiothreitol)</w:t>
            </w:r>
          </w:p>
        </w:tc>
        <w:tc>
          <w:tcPr>
            <w:tcW w:w="3209" w:type="dxa"/>
            <w:noWrap/>
          </w:tcPr>
          <w:p w14:paraId="5606455F"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0074B808"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1EB988E3"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EDTA (ethylenediaminetetraacetic acid)</w:t>
            </w:r>
          </w:p>
        </w:tc>
        <w:tc>
          <w:tcPr>
            <w:tcW w:w="3209" w:type="dxa"/>
            <w:noWrap/>
            <w:hideMark/>
          </w:tcPr>
          <w:p w14:paraId="4EC541A8"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Kemika, Croatia</w:t>
            </w:r>
          </w:p>
        </w:tc>
      </w:tr>
      <w:tr w:rsidR="001B1DFD" w:rsidRPr="002E26D2" w14:paraId="7477F900"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18C4B0E6"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EGTA (ethylene glycol-bis(2-aminoethylether)-N,N,N′,N′-tetraacetic acid)</w:t>
            </w:r>
          </w:p>
        </w:tc>
        <w:tc>
          <w:tcPr>
            <w:tcW w:w="3209" w:type="dxa"/>
            <w:noWrap/>
            <w:hideMark/>
          </w:tcPr>
          <w:p w14:paraId="4CC31E8E"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196A6EA5"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9985B34"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FBS (fetal bovine serum)</w:t>
            </w:r>
          </w:p>
        </w:tc>
        <w:tc>
          <w:tcPr>
            <w:tcW w:w="3209" w:type="dxa"/>
            <w:noWrap/>
            <w:hideMark/>
          </w:tcPr>
          <w:p w14:paraId="24EFAA71"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604DF59C"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3236F42"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G418 disulfate salt</w:t>
            </w:r>
          </w:p>
        </w:tc>
        <w:tc>
          <w:tcPr>
            <w:tcW w:w="3209" w:type="dxa"/>
            <w:noWrap/>
            <w:hideMark/>
          </w:tcPr>
          <w:p w14:paraId="216FFD1D"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4EF8DE48"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9D444BB"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Glutamate</w:t>
            </w:r>
          </w:p>
        </w:tc>
        <w:tc>
          <w:tcPr>
            <w:tcW w:w="3209" w:type="dxa"/>
            <w:noWrap/>
            <w:hideMark/>
          </w:tcPr>
          <w:p w14:paraId="4F5D725B"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71B766C5"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3C744619"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Glutaraldehyde</w:t>
            </w:r>
          </w:p>
        </w:tc>
        <w:tc>
          <w:tcPr>
            <w:tcW w:w="3209" w:type="dxa"/>
            <w:noWrap/>
          </w:tcPr>
          <w:p w14:paraId="53B21408"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10E822F2"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23EE9B0A" w14:textId="77777777" w:rsidR="001B1DFD" w:rsidRPr="002E26D2" w:rsidRDefault="001B1DFD" w:rsidP="00C77E84">
            <w:pPr>
              <w:tabs>
                <w:tab w:val="left" w:pos="1279"/>
              </w:tabs>
              <w:spacing w:line="360" w:lineRule="auto"/>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HEPES (4-(2-hydroxyethyl)-1-piperazineethanesulfonic acid)</w:t>
            </w:r>
          </w:p>
        </w:tc>
        <w:tc>
          <w:tcPr>
            <w:tcW w:w="3209" w:type="dxa"/>
            <w:noWrap/>
          </w:tcPr>
          <w:p w14:paraId="13BE91B2"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3964C84F"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34916A1E" w14:textId="77777777" w:rsidR="001B1DFD" w:rsidRPr="002E26D2" w:rsidRDefault="001B1DFD" w:rsidP="004927BB">
            <w:pPr>
              <w:spacing w:line="360" w:lineRule="auto"/>
              <w:jc w:val="both"/>
              <w:rPr>
                <w:rFonts w:ascii="Times New Roman" w:eastAsia="Times New Roman" w:hAnsi="Times New Roman" w:cs="Times New Roman"/>
                <w:b w:val="0"/>
                <w:bCs w:val="0"/>
                <w:color w:val="000000"/>
                <w:sz w:val="24"/>
                <w:szCs w:val="24"/>
              </w:rPr>
            </w:pPr>
            <w:r w:rsidRPr="002E26D2">
              <w:rPr>
                <w:rFonts w:ascii="Times New Roman" w:eastAsia="Times New Roman" w:hAnsi="Times New Roman" w:cs="Times New Roman"/>
                <w:color w:val="000000"/>
                <w:sz w:val="24"/>
                <w:szCs w:val="24"/>
              </w:rPr>
              <w:t>Imidazole</w:t>
            </w:r>
          </w:p>
        </w:tc>
        <w:tc>
          <w:tcPr>
            <w:tcW w:w="3209" w:type="dxa"/>
            <w:noWrap/>
          </w:tcPr>
          <w:p w14:paraId="49A0D052"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4973FDB5"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6A655577" w14:textId="77777777" w:rsidR="001B1DFD" w:rsidRPr="002E26D2" w:rsidRDefault="001B1DFD"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Inorganic Phosphate (phosphoric acid)</w:t>
            </w:r>
          </w:p>
        </w:tc>
        <w:tc>
          <w:tcPr>
            <w:tcW w:w="3209" w:type="dxa"/>
            <w:noWrap/>
          </w:tcPr>
          <w:p w14:paraId="4C8C9D1B"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Honeywell Fluka, USA</w:t>
            </w:r>
          </w:p>
        </w:tc>
      </w:tr>
      <w:tr w:rsidR="001B1DFD" w:rsidRPr="002E26D2" w14:paraId="699F8D99"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01D8EDFC" w14:textId="77777777" w:rsidR="001B1DFD" w:rsidRPr="002E26D2" w:rsidRDefault="001B1DFD" w:rsidP="004927BB">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IPTG (Isopropyl β-D-1-thiogalactopyranoside)</w:t>
            </w:r>
            <w:r w:rsidRPr="002E26D2">
              <w:rPr>
                <w:rFonts w:ascii="Times New Roman" w:eastAsia="Times New Roman" w:hAnsi="Times New Roman" w:cs="Times New Roman"/>
                <w:color w:val="000000"/>
                <w:sz w:val="24"/>
                <w:szCs w:val="24"/>
              </w:rPr>
              <w:tab/>
            </w:r>
          </w:p>
        </w:tc>
        <w:tc>
          <w:tcPr>
            <w:tcW w:w="3209" w:type="dxa"/>
            <w:noWrap/>
          </w:tcPr>
          <w:p w14:paraId="7A2E9F3B" w14:textId="77777777" w:rsidR="001B1DFD" w:rsidRPr="002E26D2" w:rsidRDefault="001B1DFD"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B1DFD" w:rsidRPr="002E26D2" w14:paraId="195827EB" w14:textId="77777777" w:rsidTr="00151375">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5807" w:type="dxa"/>
            <w:tcBorders>
              <w:top w:val="nil"/>
              <w:left w:val="nil"/>
              <w:bottom w:val="single" w:sz="4" w:space="0" w:color="BFBFBF" w:themeColor="background1" w:themeShade="BF"/>
              <w:right w:val="nil"/>
            </w:tcBorders>
            <w:shd w:val="clear" w:color="auto" w:fill="FFFFFF" w:themeFill="background1"/>
            <w:noWrap/>
          </w:tcPr>
          <w:p w14:paraId="1A6B2246" w14:textId="1110E239" w:rsidR="001B1DFD" w:rsidRPr="00BC70B9" w:rsidRDefault="001B1DFD" w:rsidP="00BC70B9">
            <w:pPr>
              <w:pStyle w:val="Caption"/>
              <w:keepNext/>
              <w:spacing w:line="360" w:lineRule="auto"/>
              <w:rPr>
                <w:rFonts w:ascii="Times New Roman" w:hAnsi="Times New Roman" w:cs="Times New Roman"/>
                <w:b w:val="0"/>
                <w:sz w:val="24"/>
                <w:szCs w:val="24"/>
              </w:rPr>
            </w:pPr>
            <w:r w:rsidRPr="001B1DFD">
              <w:rPr>
                <w:rFonts w:ascii="Times New Roman" w:hAnsi="Times New Roman" w:cs="Times New Roman"/>
                <w:b w:val="0"/>
                <w:sz w:val="24"/>
                <w:szCs w:val="24"/>
              </w:rPr>
              <w:lastRenderedPageBreak/>
              <w:t xml:space="preserve">Table </w:t>
            </w:r>
            <w:r w:rsidR="00B06E21">
              <w:rPr>
                <w:rFonts w:ascii="Times New Roman" w:hAnsi="Times New Roman" w:cs="Times New Roman"/>
                <w:b w:val="0"/>
                <w:sz w:val="24"/>
                <w:szCs w:val="24"/>
              </w:rPr>
              <w:t>2</w:t>
            </w:r>
            <w:r w:rsidRPr="001B1DFD">
              <w:rPr>
                <w:rFonts w:ascii="Times New Roman" w:hAnsi="Times New Roman" w:cs="Times New Roman"/>
                <w:b w:val="0"/>
                <w:sz w:val="24"/>
                <w:szCs w:val="24"/>
              </w:rPr>
              <w:t xml:space="preserve"> : </w:t>
            </w:r>
            <w:r>
              <w:rPr>
                <w:rFonts w:ascii="Times New Roman" w:hAnsi="Times New Roman" w:cs="Times New Roman"/>
                <w:b w:val="0"/>
                <w:sz w:val="24"/>
                <w:szCs w:val="24"/>
              </w:rPr>
              <w:t xml:space="preserve">- Continued - </w:t>
            </w:r>
            <w:r w:rsidRPr="001B1DFD">
              <w:rPr>
                <w:rFonts w:ascii="Times New Roman" w:hAnsi="Times New Roman" w:cs="Times New Roman"/>
                <w:b w:val="0"/>
                <w:sz w:val="24"/>
                <w:szCs w:val="24"/>
              </w:rPr>
              <w:t>Chemicals</w:t>
            </w:r>
          </w:p>
        </w:tc>
        <w:tc>
          <w:tcPr>
            <w:tcW w:w="3209" w:type="dxa"/>
            <w:tcBorders>
              <w:top w:val="nil"/>
              <w:left w:val="nil"/>
              <w:bottom w:val="single" w:sz="4" w:space="0" w:color="BFBFBF" w:themeColor="background1" w:themeShade="BF"/>
              <w:right w:val="nil"/>
            </w:tcBorders>
            <w:shd w:val="clear" w:color="auto" w:fill="FFFFFF" w:themeFill="background1"/>
            <w:noWrap/>
          </w:tcPr>
          <w:p w14:paraId="1B0E9433" w14:textId="77777777" w:rsidR="001B1DFD" w:rsidRPr="002E26D2" w:rsidRDefault="001B1DFD"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151375" w:rsidRPr="002E26D2" w14:paraId="71FD3E00"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5EFC673B" w14:textId="26BA0397" w:rsidR="00151375" w:rsidRPr="002E26D2" w:rsidRDefault="00151375" w:rsidP="00151375">
            <w:pPr>
              <w:tabs>
                <w:tab w:val="left" w:pos="9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Chemical</w:t>
            </w:r>
          </w:p>
        </w:tc>
        <w:tc>
          <w:tcPr>
            <w:tcW w:w="3209" w:type="dxa"/>
            <w:noWrap/>
          </w:tcPr>
          <w:p w14:paraId="14112D22" w14:textId="492877D8"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151375">
              <w:rPr>
                <w:rFonts w:ascii="Times New Roman" w:eastAsia="Times New Roman" w:hAnsi="Times New Roman" w:cs="Times New Roman"/>
                <w:b/>
                <w:color w:val="000000"/>
                <w:sz w:val="24"/>
                <w:szCs w:val="24"/>
              </w:rPr>
              <w:t>Manufacturer</w:t>
            </w:r>
          </w:p>
        </w:tc>
      </w:tr>
      <w:tr w:rsidR="00151375" w:rsidRPr="002E26D2" w14:paraId="300611F0"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29081E65" w14:textId="77777777" w:rsidR="00151375" w:rsidRPr="002E26D2" w:rsidRDefault="00151375" w:rsidP="00151375">
            <w:pPr>
              <w:tabs>
                <w:tab w:val="left" w:pos="9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Kanamycin</w:t>
            </w:r>
          </w:p>
        </w:tc>
        <w:tc>
          <w:tcPr>
            <w:tcW w:w="3209" w:type="dxa"/>
            <w:noWrap/>
          </w:tcPr>
          <w:p w14:paraId="3782CD2D"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Pliva, Croatia</w:t>
            </w:r>
          </w:p>
        </w:tc>
      </w:tr>
      <w:tr w:rsidR="00151375" w:rsidRPr="002E26D2" w14:paraId="0F4433A5"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73EAEED0" w14:textId="2B277BCC"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KH</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PO</w:t>
            </w:r>
            <w:r w:rsidRPr="002E26D2">
              <w:rPr>
                <w:rFonts w:ascii="Times New Roman" w:eastAsia="Times New Roman" w:hAnsi="Times New Roman" w:cs="Times New Roman"/>
                <w:color w:val="000000"/>
                <w:sz w:val="24"/>
                <w:szCs w:val="24"/>
                <w:vertAlign w:val="subscript"/>
              </w:rPr>
              <w:t>4</w:t>
            </w:r>
            <w:r w:rsidRPr="002E26D2">
              <w:rPr>
                <w:rFonts w:ascii="Times New Roman" w:eastAsia="Times New Roman" w:hAnsi="Times New Roman" w:cs="Times New Roman"/>
                <w:color w:val="000000"/>
                <w:sz w:val="24"/>
                <w:szCs w:val="24"/>
              </w:rPr>
              <w:t xml:space="preserve"> / Na</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HPO</w:t>
            </w:r>
            <w:r w:rsidRPr="002E26D2">
              <w:rPr>
                <w:rFonts w:ascii="Times New Roman" w:eastAsia="Times New Roman" w:hAnsi="Times New Roman" w:cs="Times New Roman"/>
                <w:color w:val="000000"/>
                <w:sz w:val="24"/>
                <w:szCs w:val="24"/>
                <w:vertAlign w:val="subscript"/>
              </w:rPr>
              <w:t>4</w:t>
            </w:r>
            <w:r w:rsidRPr="002E26D2">
              <w:rPr>
                <w:rFonts w:ascii="Times New Roman" w:eastAsia="Times New Roman" w:hAnsi="Times New Roman" w:cs="Times New Roman"/>
                <w:color w:val="000000"/>
                <w:sz w:val="24"/>
                <w:szCs w:val="24"/>
              </w:rPr>
              <w:t xml:space="preserve"> / KCl / NaCl / CaCl</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 xml:space="preserve"> /</w:t>
            </w:r>
            <w:r w:rsidR="002E2B81">
              <w:rPr>
                <w:rFonts w:ascii="Times New Roman" w:eastAsia="Times New Roman" w:hAnsi="Times New Roman" w:cs="Times New Roman"/>
                <w:color w:val="000000"/>
                <w:sz w:val="24"/>
                <w:szCs w:val="24"/>
              </w:rPr>
              <w:t xml:space="preserve"> </w:t>
            </w:r>
            <w:r w:rsidRPr="002E26D2">
              <w:rPr>
                <w:rFonts w:ascii="Times New Roman" w:eastAsia="Times New Roman" w:hAnsi="Times New Roman" w:cs="Times New Roman"/>
                <w:color w:val="000000"/>
                <w:sz w:val="24"/>
                <w:szCs w:val="24"/>
              </w:rPr>
              <w:t>MgCl</w:t>
            </w:r>
            <w:r w:rsidRPr="002E26D2">
              <w:rPr>
                <w:rFonts w:ascii="Times New Roman" w:eastAsia="Times New Roman" w:hAnsi="Times New Roman" w:cs="Times New Roman"/>
                <w:color w:val="000000"/>
                <w:sz w:val="24"/>
                <w:szCs w:val="24"/>
                <w:vertAlign w:val="subscript"/>
              </w:rPr>
              <w:t>2</w:t>
            </w:r>
          </w:p>
        </w:tc>
        <w:tc>
          <w:tcPr>
            <w:tcW w:w="3209" w:type="dxa"/>
            <w:noWrap/>
            <w:hideMark/>
          </w:tcPr>
          <w:p w14:paraId="16D89E79"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Kemika, Croatia</w:t>
            </w:r>
          </w:p>
        </w:tc>
      </w:tr>
      <w:tr w:rsidR="00151375" w:rsidRPr="002E26D2" w14:paraId="4A6D87AE"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467DF072" w14:textId="75DAE2AE"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L-Glutamine</w:t>
            </w:r>
          </w:p>
        </w:tc>
        <w:tc>
          <w:tcPr>
            <w:tcW w:w="3209" w:type="dxa"/>
            <w:noWrap/>
            <w:hideMark/>
          </w:tcPr>
          <w:p w14:paraId="687E2565"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6E03F605"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66FAFEF1"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LB (Luria-Bertani broth)</w:t>
            </w:r>
          </w:p>
        </w:tc>
        <w:tc>
          <w:tcPr>
            <w:tcW w:w="3209" w:type="dxa"/>
            <w:noWrap/>
            <w:hideMark/>
          </w:tcPr>
          <w:p w14:paraId="4613507F"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6C73306E"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9020E83"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Lysozyme</w:t>
            </w:r>
          </w:p>
        </w:tc>
        <w:tc>
          <w:tcPr>
            <w:tcW w:w="3209" w:type="dxa"/>
            <w:noWrap/>
            <w:hideMark/>
          </w:tcPr>
          <w:p w14:paraId="4EF37242"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041631E0"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1A15DFBA"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Malate</w:t>
            </w:r>
          </w:p>
        </w:tc>
        <w:tc>
          <w:tcPr>
            <w:tcW w:w="3209" w:type="dxa"/>
            <w:noWrap/>
          </w:tcPr>
          <w:p w14:paraId="5434AE79"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5FF3E4C9"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628410A6" w14:textId="77777777" w:rsidR="00151375" w:rsidRPr="002E26D2" w:rsidRDefault="00151375" w:rsidP="00151375">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Mannitol</w:t>
            </w:r>
          </w:p>
        </w:tc>
        <w:tc>
          <w:tcPr>
            <w:tcW w:w="3209" w:type="dxa"/>
            <w:noWrap/>
          </w:tcPr>
          <w:p w14:paraId="7F7FABEF"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72CACF36"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2A9CE1B1"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Methanol / Ethanol / DMSO (Dimethyl sulfoxide) / Acetic Acid / 2-Propanol / glycine / glycerol / formaldehyde</w:t>
            </w:r>
          </w:p>
        </w:tc>
        <w:tc>
          <w:tcPr>
            <w:tcW w:w="3209" w:type="dxa"/>
            <w:noWrap/>
          </w:tcPr>
          <w:p w14:paraId="5F8B01A4"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Kemika, Croatia</w:t>
            </w:r>
          </w:p>
        </w:tc>
      </w:tr>
      <w:tr w:rsidR="00151375" w:rsidRPr="002E26D2" w14:paraId="2F919469"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697C3444"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NADH (nicotinamide adenine dinucleotide)</w:t>
            </w:r>
          </w:p>
        </w:tc>
        <w:tc>
          <w:tcPr>
            <w:tcW w:w="3209" w:type="dxa"/>
            <w:noWrap/>
            <w:hideMark/>
          </w:tcPr>
          <w:p w14:paraId="5CEDF309"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66207551"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7EF74872"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Naphthol Blue</w:t>
            </w:r>
          </w:p>
        </w:tc>
        <w:tc>
          <w:tcPr>
            <w:tcW w:w="3209" w:type="dxa"/>
            <w:noWrap/>
          </w:tcPr>
          <w:p w14:paraId="6FA3487A"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Kemika, Croatia</w:t>
            </w:r>
          </w:p>
        </w:tc>
      </w:tr>
      <w:tr w:rsidR="00151375" w:rsidRPr="002E26D2" w14:paraId="74849515"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06418E27"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NP-40</w:t>
            </w:r>
          </w:p>
        </w:tc>
        <w:tc>
          <w:tcPr>
            <w:tcW w:w="3209" w:type="dxa"/>
            <w:noWrap/>
            <w:hideMark/>
          </w:tcPr>
          <w:p w14:paraId="1BF72CF6"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Calbiochem, USA</w:t>
            </w:r>
          </w:p>
        </w:tc>
      </w:tr>
      <w:tr w:rsidR="00151375" w:rsidRPr="002E26D2" w14:paraId="4B9F321F"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1D583DEB"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Penicillin-streptomycin</w:t>
            </w:r>
          </w:p>
        </w:tc>
        <w:tc>
          <w:tcPr>
            <w:tcW w:w="3209" w:type="dxa"/>
            <w:noWrap/>
            <w:hideMark/>
          </w:tcPr>
          <w:p w14:paraId="5D4C1A70"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151375" w:rsidRPr="002E26D2" w14:paraId="6E56DA54"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552BDA2"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PEP (phosphoenolpyruvate)</w:t>
            </w:r>
          </w:p>
        </w:tc>
        <w:tc>
          <w:tcPr>
            <w:tcW w:w="3209" w:type="dxa"/>
            <w:noWrap/>
            <w:hideMark/>
          </w:tcPr>
          <w:p w14:paraId="4241B8AF"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7636F62E"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1502B0AB"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Percoll</w:t>
            </w:r>
          </w:p>
        </w:tc>
        <w:tc>
          <w:tcPr>
            <w:tcW w:w="3209" w:type="dxa"/>
            <w:noWrap/>
          </w:tcPr>
          <w:p w14:paraId="2340562E"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467190FD"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358F29E3"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Propidium iodide</w:t>
            </w:r>
          </w:p>
        </w:tc>
        <w:tc>
          <w:tcPr>
            <w:tcW w:w="3209" w:type="dxa"/>
            <w:noWrap/>
          </w:tcPr>
          <w:p w14:paraId="5046C7F3"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Molecular probes, USA</w:t>
            </w:r>
          </w:p>
        </w:tc>
      </w:tr>
      <w:tr w:rsidR="00151375" w:rsidRPr="002E26D2" w14:paraId="1E624C42"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0DD42057" w14:textId="77777777" w:rsidR="00151375" w:rsidRPr="002E26D2" w:rsidRDefault="00151375" w:rsidP="00151375">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RNAse</w:t>
            </w:r>
            <w:r w:rsidRPr="002E26D2">
              <w:rPr>
                <w:rFonts w:ascii="Times New Roman" w:eastAsia="Times New Roman" w:hAnsi="Times New Roman" w:cs="Times New Roman"/>
                <w:color w:val="000000"/>
                <w:sz w:val="24"/>
                <w:szCs w:val="24"/>
              </w:rPr>
              <w:tab/>
            </w:r>
          </w:p>
        </w:tc>
        <w:tc>
          <w:tcPr>
            <w:tcW w:w="3209" w:type="dxa"/>
            <w:noWrap/>
          </w:tcPr>
          <w:p w14:paraId="1DE968B3"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18CF260A"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3C14406A" w14:textId="77777777" w:rsidR="00151375" w:rsidRPr="002E26D2" w:rsidRDefault="00151375" w:rsidP="00151375">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Rotenone</w:t>
            </w:r>
          </w:p>
        </w:tc>
        <w:tc>
          <w:tcPr>
            <w:tcW w:w="3209" w:type="dxa"/>
            <w:noWrap/>
          </w:tcPr>
          <w:p w14:paraId="6FF80470"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0858D1FF"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5DF31018" w14:textId="77777777" w:rsidR="00151375" w:rsidRPr="002E26D2" w:rsidRDefault="00151375" w:rsidP="00151375">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SDS (sodium dodecyl sulfate)</w:t>
            </w:r>
          </w:p>
        </w:tc>
        <w:tc>
          <w:tcPr>
            <w:tcW w:w="3209" w:type="dxa"/>
            <w:noWrap/>
          </w:tcPr>
          <w:p w14:paraId="50BD46FA"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3910D137"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527CC9B3"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Sodium Pyruvate</w:t>
            </w:r>
          </w:p>
        </w:tc>
        <w:tc>
          <w:tcPr>
            <w:tcW w:w="3209" w:type="dxa"/>
            <w:noWrap/>
            <w:hideMark/>
          </w:tcPr>
          <w:p w14:paraId="1852BC5C"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151375" w:rsidRPr="002E26D2" w14:paraId="5C1D9E99"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553702DF"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Succinate</w:t>
            </w:r>
          </w:p>
        </w:tc>
        <w:tc>
          <w:tcPr>
            <w:tcW w:w="3209" w:type="dxa"/>
            <w:noWrap/>
            <w:hideMark/>
          </w:tcPr>
          <w:p w14:paraId="3A760153"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672ED7ED"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775A3E6D" w14:textId="77777777" w:rsidR="00151375" w:rsidRPr="002E26D2" w:rsidRDefault="00151375" w:rsidP="00151375">
            <w:pPr>
              <w:tabs>
                <w:tab w:val="left" w:pos="1279"/>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Sucrose</w:t>
            </w:r>
          </w:p>
        </w:tc>
        <w:tc>
          <w:tcPr>
            <w:tcW w:w="3209" w:type="dxa"/>
            <w:noWrap/>
          </w:tcPr>
          <w:p w14:paraId="5C19DC8C"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1694F5F5"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0B1E7C9D"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TEMED (Tetramethylethylenediamine)</w:t>
            </w:r>
          </w:p>
        </w:tc>
        <w:tc>
          <w:tcPr>
            <w:tcW w:w="3209" w:type="dxa"/>
            <w:noWrap/>
          </w:tcPr>
          <w:p w14:paraId="2B9F3A86"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0814F99D"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6BAC7239"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Tris base</w:t>
            </w:r>
          </w:p>
        </w:tc>
        <w:tc>
          <w:tcPr>
            <w:tcW w:w="3209" w:type="dxa"/>
            <w:noWrap/>
            <w:hideMark/>
          </w:tcPr>
          <w:p w14:paraId="51A6D3B7"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67774F74"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7B89F41"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Trypan Blue</w:t>
            </w:r>
          </w:p>
        </w:tc>
        <w:tc>
          <w:tcPr>
            <w:tcW w:w="3209" w:type="dxa"/>
            <w:noWrap/>
            <w:hideMark/>
          </w:tcPr>
          <w:p w14:paraId="70C24253"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7395EE95"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67300528"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Trypsin</w:t>
            </w:r>
          </w:p>
        </w:tc>
        <w:tc>
          <w:tcPr>
            <w:tcW w:w="3209" w:type="dxa"/>
            <w:noWrap/>
          </w:tcPr>
          <w:p w14:paraId="3842BE93"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7813E3AE" w14:textId="77777777" w:rsidTr="00D034C6">
        <w:trPr>
          <w:trHeight w:val="300"/>
        </w:trPr>
        <w:tc>
          <w:tcPr>
            <w:cnfStyle w:val="001000000000" w:firstRow="0" w:lastRow="0" w:firstColumn="1" w:lastColumn="0" w:oddVBand="0" w:evenVBand="0" w:oddHBand="0" w:evenHBand="0" w:firstRowFirstColumn="0" w:firstRowLastColumn="0" w:lastRowFirstColumn="0" w:lastRowLastColumn="0"/>
            <w:tcW w:w="5807" w:type="dxa"/>
            <w:noWrap/>
            <w:hideMark/>
          </w:tcPr>
          <w:p w14:paraId="59EEBA85"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Tween20</w:t>
            </w:r>
          </w:p>
        </w:tc>
        <w:tc>
          <w:tcPr>
            <w:tcW w:w="3209" w:type="dxa"/>
            <w:noWrap/>
            <w:hideMark/>
          </w:tcPr>
          <w:p w14:paraId="36766BD7" w14:textId="77777777" w:rsidR="00151375" w:rsidRPr="002E26D2" w:rsidRDefault="00151375" w:rsidP="00151375">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151375" w:rsidRPr="002E26D2" w14:paraId="6A836C4E" w14:textId="77777777" w:rsidTr="00D034C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07" w:type="dxa"/>
            <w:noWrap/>
          </w:tcPr>
          <w:p w14:paraId="2E127C7A" w14:textId="77777777" w:rsidR="00151375" w:rsidRPr="002E26D2" w:rsidRDefault="00151375" w:rsidP="00151375">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Xylene cyanol</w:t>
            </w:r>
          </w:p>
        </w:tc>
        <w:tc>
          <w:tcPr>
            <w:tcW w:w="3209" w:type="dxa"/>
            <w:noWrap/>
          </w:tcPr>
          <w:p w14:paraId="163E2E50" w14:textId="77777777" w:rsidR="00151375" w:rsidRPr="002E26D2" w:rsidRDefault="00151375" w:rsidP="00151375">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bl>
    <w:p w14:paraId="2F29D440" w14:textId="77777777" w:rsidR="00C929EC" w:rsidRDefault="00C929EC">
      <w:pPr>
        <w:rPr>
          <w:rFonts w:ascii="Times New Roman" w:hAnsi="Times New Roman" w:cs="Times New Roman"/>
          <w:sz w:val="24"/>
          <w:szCs w:val="24"/>
        </w:rPr>
      </w:pPr>
      <w:r>
        <w:rPr>
          <w:rFonts w:ascii="Times New Roman" w:hAnsi="Times New Roman" w:cs="Times New Roman"/>
          <w:sz w:val="24"/>
          <w:szCs w:val="24"/>
        </w:rPr>
        <w:br w:type="page"/>
      </w:r>
    </w:p>
    <w:p w14:paraId="0B222AB2" w14:textId="21ED61D0" w:rsidR="000517EA" w:rsidRPr="002E26D2" w:rsidRDefault="000517EA" w:rsidP="004927BB">
      <w:pPr>
        <w:pStyle w:val="Caption"/>
        <w:keepNext/>
        <w:spacing w:line="360" w:lineRule="auto"/>
        <w:rPr>
          <w:rFonts w:ascii="Times New Roman" w:hAnsi="Times New Roman" w:cs="Times New Roman"/>
          <w:sz w:val="24"/>
          <w:szCs w:val="24"/>
        </w:rPr>
      </w:pPr>
      <w:r w:rsidRPr="002E26D2">
        <w:rPr>
          <w:rFonts w:ascii="Times New Roman" w:hAnsi="Times New Roman" w:cs="Times New Roman"/>
          <w:sz w:val="24"/>
          <w:szCs w:val="24"/>
        </w:rPr>
        <w:lastRenderedPageBreak/>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 List of buffers</w:t>
      </w:r>
    </w:p>
    <w:tbl>
      <w:tblPr>
        <w:tblStyle w:val="PlainTable1"/>
        <w:tblW w:w="0" w:type="auto"/>
        <w:tblLook w:val="04A0" w:firstRow="1" w:lastRow="0" w:firstColumn="1" w:lastColumn="0" w:noHBand="0" w:noVBand="1"/>
      </w:tblPr>
      <w:tblGrid>
        <w:gridCol w:w="3397"/>
        <w:gridCol w:w="5619"/>
      </w:tblGrid>
      <w:tr w:rsidR="000E15A3" w:rsidRPr="002E26D2" w14:paraId="40B0CCF8" w14:textId="77777777" w:rsidTr="0079377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4F5E52D"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Solution</w:t>
            </w:r>
          </w:p>
        </w:tc>
        <w:tc>
          <w:tcPr>
            <w:tcW w:w="5619" w:type="dxa"/>
            <w:noWrap/>
            <w:hideMark/>
          </w:tcPr>
          <w:p w14:paraId="0865B3D6" w14:textId="77777777" w:rsidR="000E15A3" w:rsidRPr="002E26D2" w:rsidRDefault="000E15A3"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Composition</w:t>
            </w:r>
          </w:p>
        </w:tc>
      </w:tr>
      <w:tr w:rsidR="000E15A3" w:rsidRPr="002E26D2" w14:paraId="4C501AB9"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59B410B9"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w:t>
            </w:r>
            <w:r w:rsidRPr="002E26D2">
              <w:rPr>
                <w:rFonts w:ascii="Times New Roman" w:hAnsi="Times New Roman" w:cs="Times New Roman"/>
                <w:sz w:val="24"/>
                <w:szCs w:val="24"/>
              </w:rPr>
              <w:t>×</w:t>
            </w:r>
            <w:r w:rsidRPr="002E26D2">
              <w:rPr>
                <w:rFonts w:ascii="Times New Roman" w:eastAsia="Times New Roman" w:hAnsi="Times New Roman" w:cs="Times New Roman"/>
                <w:color w:val="000000"/>
                <w:sz w:val="24"/>
                <w:szCs w:val="24"/>
              </w:rPr>
              <w:t xml:space="preserve"> Bradford</w:t>
            </w:r>
          </w:p>
        </w:tc>
        <w:tc>
          <w:tcPr>
            <w:tcW w:w="5619" w:type="dxa"/>
            <w:noWrap/>
          </w:tcPr>
          <w:p w14:paraId="6BF25FBF"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20% (v/v) Protein Assay Dye Reagent Concentrate in dH</w:t>
            </w:r>
            <w:r w:rsidRPr="0079377E">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O</w:t>
            </w:r>
          </w:p>
        </w:tc>
      </w:tr>
      <w:tr w:rsidR="000E15A3" w:rsidRPr="002E26D2" w14:paraId="0778CF0B"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381DFA42"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w:t>
            </w:r>
            <w:r w:rsidRPr="002E26D2">
              <w:rPr>
                <w:rFonts w:ascii="Times New Roman" w:hAnsi="Times New Roman" w:cs="Times New Roman"/>
                <w:sz w:val="24"/>
                <w:szCs w:val="24"/>
              </w:rPr>
              <w:t>×</w:t>
            </w:r>
            <w:r w:rsidRPr="002E26D2">
              <w:rPr>
                <w:rFonts w:ascii="Times New Roman" w:eastAsia="Times New Roman" w:hAnsi="Times New Roman" w:cs="Times New Roman"/>
                <w:color w:val="000000"/>
                <w:sz w:val="24"/>
                <w:szCs w:val="24"/>
              </w:rPr>
              <w:t xml:space="preserve"> LB: Protein loading buffer</w:t>
            </w:r>
          </w:p>
        </w:tc>
        <w:tc>
          <w:tcPr>
            <w:tcW w:w="5619" w:type="dxa"/>
            <w:noWrap/>
          </w:tcPr>
          <w:p w14:paraId="711681A7"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50% 4</w:t>
            </w:r>
            <w:r w:rsidRPr="002E26D2">
              <w:rPr>
                <w:rFonts w:ascii="Times New Roman" w:hAnsi="Times New Roman" w:cs="Times New Roman"/>
                <w:sz w:val="24"/>
                <w:szCs w:val="24"/>
              </w:rPr>
              <w:t>×</w:t>
            </w:r>
            <w:r w:rsidRPr="002E26D2">
              <w:rPr>
                <w:rFonts w:ascii="Times New Roman" w:eastAsia="Times New Roman" w:hAnsi="Times New Roman" w:cs="Times New Roman"/>
                <w:color w:val="000000"/>
                <w:sz w:val="24"/>
                <w:szCs w:val="24"/>
              </w:rPr>
              <w:t xml:space="preserve"> LB (v/v) diluted in qH</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O</w:t>
            </w:r>
          </w:p>
        </w:tc>
      </w:tr>
      <w:tr w:rsidR="000E15A3" w:rsidRPr="002E26D2" w14:paraId="0BC4387B"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0AB97B6"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4</w:t>
            </w:r>
            <w:r w:rsidRPr="002E26D2">
              <w:rPr>
                <w:rFonts w:ascii="Times New Roman" w:hAnsi="Times New Roman" w:cs="Times New Roman"/>
                <w:sz w:val="24"/>
                <w:szCs w:val="24"/>
              </w:rPr>
              <w:t>×</w:t>
            </w:r>
            <w:r w:rsidRPr="002E26D2">
              <w:rPr>
                <w:rFonts w:ascii="Times New Roman" w:eastAsia="Times New Roman" w:hAnsi="Times New Roman" w:cs="Times New Roman"/>
                <w:color w:val="000000"/>
                <w:sz w:val="24"/>
                <w:szCs w:val="24"/>
              </w:rPr>
              <w:t xml:space="preserve"> LB: Protein loading buffer</w:t>
            </w:r>
          </w:p>
        </w:tc>
        <w:tc>
          <w:tcPr>
            <w:tcW w:w="5619" w:type="dxa"/>
            <w:noWrap/>
            <w:hideMark/>
          </w:tcPr>
          <w:p w14:paraId="11E7FC3C"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0.2 M Tris-HCl pH 6.8, 0.4 M DTT, 8% (v/v) SDS, 40% (v/v) glycerol, 0.001% (w/v) bromophenol blue</w:t>
            </w:r>
          </w:p>
        </w:tc>
      </w:tr>
      <w:tr w:rsidR="000E15A3" w:rsidRPr="002E26D2" w14:paraId="567F10FE"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1B78062"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w:t>
            </w:r>
            <w:r w:rsidRPr="002E26D2">
              <w:rPr>
                <w:rFonts w:ascii="Times New Roman" w:hAnsi="Times New Roman" w:cs="Times New Roman"/>
                <w:sz w:val="24"/>
                <w:szCs w:val="24"/>
              </w:rPr>
              <w:t>×</w:t>
            </w:r>
            <w:r w:rsidRPr="002E26D2">
              <w:rPr>
                <w:rFonts w:ascii="Times New Roman" w:eastAsia="Times New Roman" w:hAnsi="Times New Roman" w:cs="Times New Roman"/>
                <w:color w:val="000000"/>
                <w:sz w:val="24"/>
                <w:szCs w:val="24"/>
              </w:rPr>
              <w:t xml:space="preserve"> LB: Polynucleotide loading buffer</w:t>
            </w:r>
          </w:p>
        </w:tc>
        <w:tc>
          <w:tcPr>
            <w:tcW w:w="5619" w:type="dxa"/>
            <w:noWrap/>
            <w:hideMark/>
          </w:tcPr>
          <w:p w14:paraId="77C4DDD4"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0.25% (w/v) bromophenol blue, 0.25% (w/v) xylene cyanol, 35% (v/v) glycerol</w:t>
            </w:r>
          </w:p>
        </w:tc>
      </w:tr>
      <w:tr w:rsidR="000E15A3" w:rsidRPr="002E26D2" w14:paraId="48AB4085"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63BBBE4E"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w:t>
            </w:r>
            <w:r w:rsidRPr="002E26D2">
              <w:rPr>
                <w:rFonts w:ascii="Times New Roman" w:hAnsi="Times New Roman" w:cs="Times New Roman"/>
                <w:sz w:val="24"/>
                <w:szCs w:val="24"/>
              </w:rPr>
              <w:t>×</w:t>
            </w:r>
            <w:r w:rsidRPr="002E26D2">
              <w:rPr>
                <w:rFonts w:ascii="Times New Roman" w:eastAsia="Times New Roman" w:hAnsi="Times New Roman" w:cs="Times New Roman"/>
                <w:color w:val="000000"/>
                <w:sz w:val="24"/>
                <w:szCs w:val="24"/>
              </w:rPr>
              <w:t xml:space="preserve"> TKM buffer</w:t>
            </w:r>
          </w:p>
        </w:tc>
        <w:tc>
          <w:tcPr>
            <w:tcW w:w="5619" w:type="dxa"/>
            <w:noWrap/>
          </w:tcPr>
          <w:p w14:paraId="3480B4F7"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250 mM Tris HCL pH 7.5, 375 mM KCl, 25mM MgCl</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 5mg/mL BSA</w:t>
            </w:r>
          </w:p>
        </w:tc>
      </w:tr>
      <w:tr w:rsidR="000E15A3" w:rsidRPr="002E26D2" w14:paraId="41E930B0"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CD71185"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AAS 30% </w:t>
            </w:r>
          </w:p>
        </w:tc>
        <w:tc>
          <w:tcPr>
            <w:tcW w:w="5619" w:type="dxa"/>
            <w:noWrap/>
            <w:hideMark/>
          </w:tcPr>
          <w:p w14:paraId="11C8080A"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29.2% (w/v) acrylamide, 0.8% (w/v) bis-acrylamide</w:t>
            </w:r>
          </w:p>
        </w:tc>
      </w:tr>
      <w:tr w:rsidR="000E15A3" w:rsidRPr="002E26D2" w14:paraId="1AD6DD8C"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9FDAD99"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APS 10%</w:t>
            </w:r>
          </w:p>
        </w:tc>
        <w:tc>
          <w:tcPr>
            <w:tcW w:w="5619" w:type="dxa"/>
            <w:noWrap/>
            <w:hideMark/>
          </w:tcPr>
          <w:p w14:paraId="03F9A260"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10% ammonium persulfate (w/v)</w:t>
            </w:r>
          </w:p>
        </w:tc>
      </w:tr>
      <w:tr w:rsidR="000E15A3" w:rsidRPr="002E26D2" w14:paraId="5E819A76"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3FFDFED4"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Blocking BSA buffer</w:t>
            </w:r>
          </w:p>
        </w:tc>
        <w:tc>
          <w:tcPr>
            <w:tcW w:w="5619" w:type="dxa"/>
            <w:noWrap/>
          </w:tcPr>
          <w:p w14:paraId="0E25E2FC"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 BSA (w/v) in TBST, pH 8.5</w:t>
            </w:r>
          </w:p>
        </w:tc>
      </w:tr>
      <w:tr w:rsidR="000E15A3" w:rsidRPr="002E26D2" w14:paraId="57833A44"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D0F948F"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Blocking milk buffer</w:t>
            </w:r>
          </w:p>
        </w:tc>
        <w:tc>
          <w:tcPr>
            <w:tcW w:w="5619" w:type="dxa"/>
            <w:noWrap/>
            <w:hideMark/>
          </w:tcPr>
          <w:p w14:paraId="49C2F6CF"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 milk powder (w/v) in TBST</w:t>
            </w:r>
          </w:p>
        </w:tc>
      </w:tr>
      <w:tr w:rsidR="000E15A3" w:rsidRPr="002E26D2" w14:paraId="60A3A54B"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605F1F17"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Buffer</w:t>
            </w:r>
            <w:r>
              <w:rPr>
                <w:rFonts w:ascii="Times New Roman" w:eastAsia="Times New Roman" w:hAnsi="Times New Roman" w:cs="Times New Roman"/>
                <w:color w:val="000000"/>
                <w:sz w:val="24"/>
                <w:szCs w:val="24"/>
              </w:rPr>
              <w:t xml:space="preserve"> </w:t>
            </w:r>
            <w:r w:rsidRPr="002E26D2">
              <w:rPr>
                <w:rFonts w:ascii="Times New Roman" w:eastAsia="Times New Roman" w:hAnsi="Times New Roman" w:cs="Times New Roman"/>
                <w:color w:val="000000"/>
                <w:sz w:val="24"/>
                <w:szCs w:val="24"/>
              </w:rPr>
              <w:t>A</w:t>
            </w:r>
          </w:p>
        </w:tc>
        <w:tc>
          <w:tcPr>
            <w:tcW w:w="5619" w:type="dxa"/>
            <w:noWrap/>
          </w:tcPr>
          <w:p w14:paraId="3C388DC5"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210 mM mannitol, 70 mM sucrose, 0.2 mM EDTA, 10 mM HEPES pH 7.5</w:t>
            </w:r>
          </w:p>
        </w:tc>
      </w:tr>
      <w:tr w:rsidR="000E15A3" w:rsidRPr="002E26D2" w14:paraId="3D6E5882"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01090937"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Buffer</w:t>
            </w:r>
            <w:r>
              <w:rPr>
                <w:rFonts w:ascii="Times New Roman" w:eastAsia="Times New Roman" w:hAnsi="Times New Roman" w:cs="Times New Roman"/>
                <w:color w:val="000000"/>
                <w:sz w:val="24"/>
                <w:szCs w:val="24"/>
              </w:rPr>
              <w:t xml:space="preserve"> </w:t>
            </w:r>
            <w:r w:rsidRPr="002E26D2">
              <w:rPr>
                <w:rFonts w:ascii="Times New Roman" w:eastAsia="Times New Roman" w:hAnsi="Times New Roman" w:cs="Times New Roman"/>
                <w:color w:val="000000"/>
                <w:sz w:val="24"/>
                <w:szCs w:val="24"/>
              </w:rPr>
              <w:t>B</w:t>
            </w:r>
          </w:p>
        </w:tc>
        <w:tc>
          <w:tcPr>
            <w:tcW w:w="5619" w:type="dxa"/>
            <w:noWrap/>
          </w:tcPr>
          <w:p w14:paraId="52B323B9"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210 mM mannitol, 70 mM sucrose, 0.1 mM EGTA, 10 mM HEPES pH 7.5</w:t>
            </w:r>
          </w:p>
        </w:tc>
      </w:tr>
      <w:tr w:rsidR="000E15A3" w:rsidRPr="00043006" w14:paraId="2FAFCE3E"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4D465289" w14:textId="77777777" w:rsidR="000E15A3" w:rsidRDefault="000E15A3" w:rsidP="00C77E84">
            <w:pPr>
              <w:spacing w:line="360" w:lineRule="auto"/>
              <w:rPr>
                <w:rFonts w:ascii="Times New Roman" w:hAnsi="Times New Roman" w:cs="Times New Roman"/>
                <w:sz w:val="24"/>
                <w:szCs w:val="24"/>
              </w:rPr>
            </w:pPr>
            <w:r>
              <w:rPr>
                <w:rFonts w:ascii="Times New Roman" w:hAnsi="Times New Roman" w:cs="Times New Roman"/>
                <w:sz w:val="24"/>
                <w:szCs w:val="24"/>
              </w:rPr>
              <w:t>C</w:t>
            </w:r>
            <w:r w:rsidRPr="002E26D2">
              <w:rPr>
                <w:rFonts w:ascii="Times New Roman" w:hAnsi="Times New Roman" w:cs="Times New Roman"/>
                <w:sz w:val="24"/>
                <w:szCs w:val="24"/>
              </w:rPr>
              <w:t>rosslinking buffer</w:t>
            </w:r>
          </w:p>
        </w:tc>
        <w:tc>
          <w:tcPr>
            <w:tcW w:w="5619" w:type="dxa"/>
            <w:noWrap/>
          </w:tcPr>
          <w:p w14:paraId="1DD92D69" w14:textId="77777777" w:rsidR="000E15A3" w:rsidRPr="00043006"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25 mM HEPES, pH 7.4, 300 mM NaCl, 5 mM DTT and 5 mM MgCl</w:t>
            </w:r>
            <w:r w:rsidRPr="002E26D2">
              <w:rPr>
                <w:rFonts w:ascii="Times New Roman" w:hAnsi="Times New Roman" w:cs="Times New Roman"/>
                <w:sz w:val="24"/>
                <w:szCs w:val="24"/>
                <w:vertAlign w:val="subscript"/>
              </w:rPr>
              <w:t>2</w:t>
            </w:r>
          </w:p>
        </w:tc>
      </w:tr>
      <w:tr w:rsidR="000E15A3" w:rsidRPr="002E26D2" w14:paraId="5FC0DDE9"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687E3BD"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Distaining solution</w:t>
            </w:r>
          </w:p>
        </w:tc>
        <w:tc>
          <w:tcPr>
            <w:tcW w:w="5619" w:type="dxa"/>
            <w:noWrap/>
            <w:hideMark/>
          </w:tcPr>
          <w:p w14:paraId="26387A84"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50% (v/v) methanol, 7% (v/v) acetic acid</w:t>
            </w:r>
          </w:p>
        </w:tc>
      </w:tr>
      <w:tr w:rsidR="000E15A3" w:rsidRPr="002E26D2" w14:paraId="24AE1B5C"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050E2A2F" w14:textId="77777777" w:rsidR="000E15A3" w:rsidRDefault="000E15A3" w:rsidP="00C77E84">
            <w:pPr>
              <w:spacing w:line="360" w:lineRule="auto"/>
              <w:rPr>
                <w:rFonts w:ascii="Times New Roman" w:hAnsi="Times New Roman" w:cs="Times New Roman"/>
                <w:sz w:val="24"/>
                <w:szCs w:val="24"/>
              </w:rPr>
            </w:pPr>
            <w:r>
              <w:rPr>
                <w:rFonts w:ascii="Times New Roman" w:hAnsi="Times New Roman" w:cs="Times New Roman"/>
                <w:sz w:val="24"/>
                <w:szCs w:val="24"/>
              </w:rPr>
              <w:t>E</w:t>
            </w:r>
            <w:r w:rsidRPr="002E26D2">
              <w:rPr>
                <w:rFonts w:ascii="Times New Roman" w:hAnsi="Times New Roman" w:cs="Times New Roman"/>
                <w:sz w:val="24"/>
                <w:szCs w:val="24"/>
              </w:rPr>
              <w:t>lution buffer</w:t>
            </w:r>
          </w:p>
        </w:tc>
        <w:tc>
          <w:tcPr>
            <w:tcW w:w="5619" w:type="dxa"/>
            <w:noWrap/>
          </w:tcPr>
          <w:p w14:paraId="0B750E31"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50 mM HEPES pH 7.4, 300 mM NaCl and 150 mM imidazole</w:t>
            </w:r>
          </w:p>
        </w:tc>
      </w:tr>
      <w:tr w:rsidR="000E15A3" w:rsidRPr="002E26D2" w14:paraId="548B99F8"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65C5CAE"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Formaldehyde 2%</w:t>
            </w:r>
          </w:p>
        </w:tc>
        <w:tc>
          <w:tcPr>
            <w:tcW w:w="5619" w:type="dxa"/>
            <w:noWrap/>
            <w:hideMark/>
          </w:tcPr>
          <w:p w14:paraId="605C6B42"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 formaldehyde in PBS (v/v)</w:t>
            </w:r>
          </w:p>
        </w:tc>
      </w:tr>
      <w:tr w:rsidR="000E15A3" w:rsidRPr="002E26D2" w14:paraId="1E59ABFB"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0A9E9484"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IF blocking buffer</w:t>
            </w:r>
          </w:p>
        </w:tc>
        <w:tc>
          <w:tcPr>
            <w:tcW w:w="5619" w:type="dxa"/>
            <w:noWrap/>
          </w:tcPr>
          <w:p w14:paraId="00B44221"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10% BSA (w/v) in PBS</w:t>
            </w:r>
          </w:p>
        </w:tc>
      </w:tr>
      <w:tr w:rsidR="000E15A3" w:rsidRPr="00471728" w14:paraId="1E18DEFA"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7127744E"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KET buffer</w:t>
            </w:r>
          </w:p>
        </w:tc>
        <w:tc>
          <w:tcPr>
            <w:tcW w:w="5619" w:type="dxa"/>
            <w:noWrap/>
          </w:tcPr>
          <w:p w14:paraId="11A5BB8E"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150 mM KCl, 1 mM EGTA, 20 mM Tris pH 7,2</w:t>
            </w:r>
          </w:p>
        </w:tc>
      </w:tr>
      <w:tr w:rsidR="000E15A3" w:rsidRPr="002E26D2" w14:paraId="2697EFE8"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3B2ECCA0"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Naphthol blue (Staining)</w:t>
            </w:r>
          </w:p>
        </w:tc>
        <w:tc>
          <w:tcPr>
            <w:tcW w:w="5619" w:type="dxa"/>
            <w:noWrap/>
            <w:hideMark/>
          </w:tcPr>
          <w:p w14:paraId="0D6CEB9F"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10% (v/v) methanol, 2% (v/v) acetic acid, 0.1% (w/v) naphthol blue</w:t>
            </w:r>
          </w:p>
        </w:tc>
      </w:tr>
      <w:tr w:rsidR="000E15A3" w:rsidRPr="002E26D2" w14:paraId="0CBFCCF4" w14:textId="77777777" w:rsidTr="0079377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DDB5327" w14:textId="158ECC04"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PBS</w:t>
            </w:r>
            <w:r w:rsidR="003A2FAE">
              <w:rPr>
                <w:rFonts w:ascii="Times New Roman" w:eastAsia="Times New Roman" w:hAnsi="Times New Roman" w:cs="Times New Roman"/>
                <w:color w:val="000000"/>
                <w:sz w:val="24"/>
                <w:szCs w:val="24"/>
              </w:rPr>
              <w:t xml:space="preserve">                                     (Phosphate-buffered saline)</w:t>
            </w:r>
          </w:p>
        </w:tc>
        <w:tc>
          <w:tcPr>
            <w:tcW w:w="5619" w:type="dxa"/>
            <w:noWrap/>
            <w:hideMark/>
          </w:tcPr>
          <w:p w14:paraId="5211B7AA"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137 mM NaCl, 2.7 mM KCl, 1.4 mM KH</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PO</w:t>
            </w:r>
            <w:r w:rsidRPr="002E26D2">
              <w:rPr>
                <w:rFonts w:ascii="Times New Roman" w:eastAsia="Times New Roman" w:hAnsi="Times New Roman" w:cs="Times New Roman"/>
                <w:color w:val="000000"/>
                <w:sz w:val="24"/>
                <w:szCs w:val="24"/>
                <w:vertAlign w:val="subscript"/>
              </w:rPr>
              <w:t>4</w:t>
            </w:r>
            <w:r w:rsidRPr="002E26D2">
              <w:rPr>
                <w:rFonts w:ascii="Times New Roman" w:eastAsia="Times New Roman" w:hAnsi="Times New Roman" w:cs="Times New Roman"/>
                <w:color w:val="000000"/>
                <w:sz w:val="24"/>
                <w:szCs w:val="24"/>
              </w:rPr>
              <w:t>, 4.3 mM Na</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HPO</w:t>
            </w:r>
            <w:r w:rsidRPr="002E26D2">
              <w:rPr>
                <w:rFonts w:ascii="Times New Roman" w:eastAsia="Times New Roman" w:hAnsi="Times New Roman" w:cs="Times New Roman"/>
                <w:color w:val="000000"/>
                <w:sz w:val="24"/>
                <w:szCs w:val="24"/>
                <w:vertAlign w:val="subscript"/>
              </w:rPr>
              <w:t>4</w:t>
            </w:r>
            <w:r w:rsidRPr="002E26D2">
              <w:rPr>
                <w:rFonts w:ascii="Times New Roman" w:eastAsia="Times New Roman" w:hAnsi="Times New Roman" w:cs="Times New Roman"/>
                <w:color w:val="000000"/>
                <w:sz w:val="24"/>
                <w:szCs w:val="24"/>
              </w:rPr>
              <w:t xml:space="preserve"> × 7H</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O, pH 7.4</w:t>
            </w:r>
          </w:p>
        </w:tc>
      </w:tr>
      <w:tr w:rsidR="000E15A3" w:rsidRPr="002E26D2" w14:paraId="1ADFE821"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3526581A"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PBS-Tween</w:t>
            </w:r>
          </w:p>
        </w:tc>
        <w:tc>
          <w:tcPr>
            <w:tcW w:w="5619" w:type="dxa"/>
            <w:noWrap/>
            <w:hideMark/>
          </w:tcPr>
          <w:p w14:paraId="1B0E9E69"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0.02% (v/v) Tween20 in PBS</w:t>
            </w:r>
          </w:p>
        </w:tc>
      </w:tr>
      <w:tr w:rsidR="000E15A3" w:rsidRPr="002E26D2" w14:paraId="74CDC4BA" w14:textId="77777777" w:rsidTr="000E15A3">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9016" w:type="dxa"/>
            <w:gridSpan w:val="2"/>
            <w:tcBorders>
              <w:top w:val="nil"/>
              <w:left w:val="nil"/>
              <w:right w:val="nil"/>
            </w:tcBorders>
            <w:shd w:val="clear" w:color="auto" w:fill="FFFFFF" w:themeFill="background1"/>
            <w:noWrap/>
          </w:tcPr>
          <w:p w14:paraId="4BE6EAE2" w14:textId="2B5060A6" w:rsidR="000E15A3" w:rsidRPr="000E15A3" w:rsidRDefault="000E15A3" w:rsidP="004927BB">
            <w:pPr>
              <w:spacing w:line="360" w:lineRule="auto"/>
              <w:jc w:val="both"/>
              <w:rPr>
                <w:rFonts w:ascii="Times New Roman" w:eastAsia="Times New Roman" w:hAnsi="Times New Roman" w:cs="Times New Roman"/>
                <w:b w:val="0"/>
                <w:i/>
                <w:color w:val="000000"/>
                <w:sz w:val="24"/>
                <w:szCs w:val="24"/>
              </w:rPr>
            </w:pPr>
            <w:r w:rsidRPr="000E15A3">
              <w:rPr>
                <w:rFonts w:ascii="Times New Roman" w:hAnsi="Times New Roman" w:cs="Times New Roman"/>
                <w:b w:val="0"/>
                <w:i/>
                <w:sz w:val="24"/>
                <w:szCs w:val="24"/>
              </w:rPr>
              <w:lastRenderedPageBreak/>
              <w:t xml:space="preserve">Table </w:t>
            </w:r>
            <w:r w:rsidR="00B06E21">
              <w:rPr>
                <w:rFonts w:ascii="Times New Roman" w:hAnsi="Times New Roman" w:cs="Times New Roman"/>
                <w:b w:val="0"/>
                <w:i/>
                <w:sz w:val="24"/>
                <w:szCs w:val="24"/>
              </w:rPr>
              <w:t>3</w:t>
            </w:r>
            <w:r w:rsidRPr="000E15A3">
              <w:rPr>
                <w:rFonts w:ascii="Times New Roman" w:hAnsi="Times New Roman" w:cs="Times New Roman"/>
                <w:b w:val="0"/>
                <w:i/>
                <w:sz w:val="24"/>
                <w:szCs w:val="24"/>
              </w:rPr>
              <w:t xml:space="preserve"> : - Continued - List of buffers</w:t>
            </w:r>
          </w:p>
        </w:tc>
      </w:tr>
      <w:tr w:rsidR="000E15A3" w:rsidRPr="002E26D2" w14:paraId="58FCBD83"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6B8D8F26" w14:textId="05C39926" w:rsidR="000E15A3" w:rsidRPr="000E15A3" w:rsidRDefault="000E15A3" w:rsidP="000E15A3">
            <w:pPr>
              <w:spacing w:line="360" w:lineRule="auto"/>
              <w:jc w:val="both"/>
              <w:rPr>
                <w:rFonts w:ascii="Times New Roman" w:eastAsia="Times New Roman" w:hAnsi="Times New Roman" w:cs="Times New Roman"/>
                <w:color w:val="000000"/>
                <w:sz w:val="24"/>
                <w:szCs w:val="24"/>
              </w:rPr>
            </w:pPr>
            <w:r w:rsidRPr="000E15A3">
              <w:rPr>
                <w:rFonts w:ascii="Times New Roman" w:eastAsia="Times New Roman" w:hAnsi="Times New Roman" w:cs="Times New Roman"/>
                <w:color w:val="000000"/>
                <w:sz w:val="24"/>
                <w:szCs w:val="24"/>
              </w:rPr>
              <w:t>Solution</w:t>
            </w:r>
          </w:p>
        </w:tc>
        <w:tc>
          <w:tcPr>
            <w:tcW w:w="5619" w:type="dxa"/>
            <w:noWrap/>
          </w:tcPr>
          <w:p w14:paraId="30B98A55" w14:textId="3BD6E7C6" w:rsidR="000E15A3" w:rsidRPr="000E15A3"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rPr>
            </w:pPr>
            <w:r w:rsidRPr="000E15A3">
              <w:rPr>
                <w:rFonts w:ascii="Times New Roman" w:eastAsia="Times New Roman" w:hAnsi="Times New Roman" w:cs="Times New Roman"/>
                <w:b/>
                <w:color w:val="000000"/>
                <w:sz w:val="24"/>
                <w:szCs w:val="24"/>
              </w:rPr>
              <w:t>Composition</w:t>
            </w:r>
          </w:p>
        </w:tc>
      </w:tr>
      <w:tr w:rsidR="000E15A3" w:rsidRPr="002E26D2" w14:paraId="701F01C9"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1AD9067E"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pHis-5</w:t>
            </w:r>
            <w:r w:rsidRPr="002E26D2">
              <w:rPr>
                <w:rFonts w:ascii="Times New Roman" w:hAnsi="Times New Roman" w:cs="Times New Roman"/>
                <w:sz w:val="24"/>
                <w:szCs w:val="24"/>
              </w:rPr>
              <w:t>×</w:t>
            </w:r>
            <w:r w:rsidRPr="002E26D2">
              <w:rPr>
                <w:rFonts w:ascii="Times New Roman" w:eastAsia="Times New Roman" w:hAnsi="Times New Roman" w:cs="Times New Roman"/>
                <w:color w:val="000000"/>
                <w:sz w:val="24"/>
                <w:szCs w:val="24"/>
              </w:rPr>
              <w:t xml:space="preserve"> LB: pHis protein loading buffer</w:t>
            </w:r>
          </w:p>
        </w:tc>
        <w:tc>
          <w:tcPr>
            <w:tcW w:w="5619" w:type="dxa"/>
            <w:noWrap/>
          </w:tcPr>
          <w:p w14:paraId="12DAD4B6"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10% SDS, 250 mM Tris-HCl, 0.02% bromophenol blue, 50% glycerol, 50 mM EDTA, 500 mM DTT, pH8.8</w:t>
            </w:r>
          </w:p>
        </w:tc>
      </w:tr>
      <w:tr w:rsidR="000E15A3" w:rsidRPr="00471728" w14:paraId="19E63ABE"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70947AA5"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RB: running buffer</w:t>
            </w:r>
          </w:p>
        </w:tc>
        <w:tc>
          <w:tcPr>
            <w:tcW w:w="5619" w:type="dxa"/>
            <w:noWrap/>
            <w:hideMark/>
          </w:tcPr>
          <w:p w14:paraId="0B320B40"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1 M glycine, 50 mM Tris, 1% (v/v) SDS</w:t>
            </w:r>
          </w:p>
        </w:tc>
      </w:tr>
      <w:tr w:rsidR="000E15A3" w:rsidRPr="002E26D2" w14:paraId="29F553AE"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3068501C"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w:t>
            </w:r>
            <w:r w:rsidRPr="00C77E84">
              <w:rPr>
                <w:rFonts w:ascii="Times New Roman" w:eastAsia="Times New Roman" w:hAnsi="Times New Roman" w:cs="Times New Roman"/>
                <w:color w:val="000000"/>
                <w:sz w:val="24"/>
                <w:szCs w:val="24"/>
              </w:rPr>
              <w:t>esuspension buffer</w:t>
            </w:r>
          </w:p>
        </w:tc>
        <w:tc>
          <w:tcPr>
            <w:tcW w:w="5619" w:type="dxa"/>
            <w:noWrap/>
          </w:tcPr>
          <w:p w14:paraId="2CD607C8"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hAnsi="Times New Roman" w:cs="Times New Roman"/>
                <w:sz w:val="24"/>
                <w:szCs w:val="24"/>
              </w:rPr>
              <w:t>5 mM MgCl</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50 mM HEPES pH 7.4, 400 mM NaCl, 10 % glycerol</w:t>
            </w:r>
          </w:p>
        </w:tc>
      </w:tr>
      <w:tr w:rsidR="000E15A3" w:rsidRPr="002E26D2" w14:paraId="2CA33C85"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439813C0" w14:textId="77777777" w:rsidR="000E15A3" w:rsidRDefault="000E15A3" w:rsidP="000E15A3">
            <w:pPr>
              <w:spacing w:line="360" w:lineRule="auto"/>
              <w:rPr>
                <w:rFonts w:ascii="Times New Roman" w:eastAsia="Times New Roman" w:hAnsi="Times New Roman" w:cs="Times New Roman"/>
                <w:color w:val="000000"/>
                <w:sz w:val="24"/>
                <w:szCs w:val="24"/>
              </w:rPr>
            </w:pPr>
            <w:r>
              <w:rPr>
                <w:rFonts w:ascii="Times New Roman" w:hAnsi="Times New Roman" w:cs="Times New Roman"/>
                <w:sz w:val="24"/>
                <w:szCs w:val="24"/>
              </w:rPr>
              <w:t>R</w:t>
            </w:r>
            <w:r w:rsidRPr="002E26D2">
              <w:rPr>
                <w:rFonts w:ascii="Times New Roman" w:hAnsi="Times New Roman" w:cs="Times New Roman"/>
                <w:sz w:val="24"/>
                <w:szCs w:val="24"/>
              </w:rPr>
              <w:t>esuspension buffer supplemented with imidazol</w:t>
            </w:r>
            <w:r>
              <w:rPr>
                <w:rFonts w:ascii="Times New Roman" w:hAnsi="Times New Roman" w:cs="Times New Roman"/>
                <w:sz w:val="24"/>
                <w:szCs w:val="24"/>
              </w:rPr>
              <w:t>e</w:t>
            </w:r>
          </w:p>
        </w:tc>
        <w:tc>
          <w:tcPr>
            <w:tcW w:w="5619" w:type="dxa"/>
            <w:noWrap/>
          </w:tcPr>
          <w:p w14:paraId="3C3A88EA"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5 mM MgCl</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50 mM HEPES pH 7.4, 400 mM NaCl, 10 % glycerol, 5 mM imidazole</w:t>
            </w:r>
          </w:p>
        </w:tc>
      </w:tr>
      <w:tr w:rsidR="000E15A3" w:rsidRPr="002E26D2" w14:paraId="6C1D0569"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D55870C"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SDS 10% </w:t>
            </w:r>
          </w:p>
        </w:tc>
        <w:tc>
          <w:tcPr>
            <w:tcW w:w="5619" w:type="dxa"/>
            <w:noWrap/>
            <w:hideMark/>
          </w:tcPr>
          <w:p w14:paraId="252A8AD6"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10% (w/v) sodium dodecyl sulfate</w:t>
            </w:r>
          </w:p>
        </w:tc>
      </w:tr>
      <w:tr w:rsidR="000E15A3" w:rsidRPr="002E26D2" w14:paraId="6BAEA147"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30658CE6" w14:textId="77777777" w:rsidR="000E15A3" w:rsidRDefault="000E15A3" w:rsidP="000E15A3">
            <w:pPr>
              <w:spacing w:line="360" w:lineRule="auto"/>
              <w:rPr>
                <w:rFonts w:ascii="Times New Roman" w:hAnsi="Times New Roman" w:cs="Times New Roman"/>
                <w:sz w:val="24"/>
                <w:szCs w:val="24"/>
              </w:rPr>
            </w:pPr>
            <w:r>
              <w:rPr>
                <w:rFonts w:ascii="Times New Roman" w:hAnsi="Times New Roman" w:cs="Times New Roman"/>
                <w:sz w:val="24"/>
                <w:szCs w:val="24"/>
              </w:rPr>
              <w:t>S</w:t>
            </w:r>
            <w:r w:rsidRPr="002E26D2">
              <w:rPr>
                <w:rFonts w:ascii="Times New Roman" w:hAnsi="Times New Roman" w:cs="Times New Roman"/>
                <w:sz w:val="24"/>
                <w:szCs w:val="24"/>
              </w:rPr>
              <w:t>torage buffer</w:t>
            </w:r>
          </w:p>
        </w:tc>
        <w:tc>
          <w:tcPr>
            <w:tcW w:w="5619" w:type="dxa"/>
            <w:noWrap/>
          </w:tcPr>
          <w:p w14:paraId="42DB21DB"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25 mM HEPES, pH 7.4, 300 mM NaCl and 5 mM DTT</w:t>
            </w:r>
          </w:p>
        </w:tc>
      </w:tr>
      <w:tr w:rsidR="000E15A3" w:rsidRPr="002E26D2" w14:paraId="3EE95233"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256E0F04"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SW1</w:t>
            </w:r>
            <w:r>
              <w:rPr>
                <w:rFonts w:ascii="Times New Roman" w:eastAsia="Times New Roman" w:hAnsi="Times New Roman" w:cs="Times New Roman"/>
                <w:color w:val="000000"/>
                <w:sz w:val="24"/>
                <w:szCs w:val="24"/>
              </w:rPr>
              <w:t>:</w:t>
            </w:r>
            <w:r w:rsidRPr="002E26D2">
              <w:rPr>
                <w:rFonts w:ascii="Times New Roman" w:eastAsia="Times New Roman" w:hAnsi="Times New Roman" w:cs="Times New Roman"/>
                <w:color w:val="000000"/>
                <w:sz w:val="24"/>
                <w:szCs w:val="24"/>
              </w:rPr>
              <w:t xml:space="preserve"> swelling buffer</w:t>
            </w:r>
          </w:p>
        </w:tc>
        <w:tc>
          <w:tcPr>
            <w:tcW w:w="5619" w:type="dxa"/>
            <w:noWrap/>
            <w:hideMark/>
          </w:tcPr>
          <w:p w14:paraId="0A42C76D"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10 mM KH</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PO</w:t>
            </w:r>
            <w:r w:rsidRPr="002E26D2">
              <w:rPr>
                <w:rFonts w:ascii="Times New Roman" w:eastAsia="Times New Roman" w:hAnsi="Times New Roman" w:cs="Times New Roman"/>
                <w:color w:val="000000"/>
                <w:sz w:val="24"/>
                <w:szCs w:val="24"/>
                <w:vertAlign w:val="subscript"/>
              </w:rPr>
              <w:t>4</w:t>
            </w:r>
            <w:r w:rsidRPr="002E26D2">
              <w:rPr>
                <w:rFonts w:ascii="Times New Roman" w:eastAsia="Times New Roman" w:hAnsi="Times New Roman" w:cs="Times New Roman"/>
                <w:color w:val="000000"/>
                <w:sz w:val="24"/>
                <w:szCs w:val="24"/>
              </w:rPr>
              <w:t xml:space="preserve"> pH 7.4</w:t>
            </w:r>
          </w:p>
        </w:tc>
      </w:tr>
      <w:tr w:rsidR="000E15A3" w:rsidRPr="002E26D2" w14:paraId="379FE2E7"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180351CF"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SW2</w:t>
            </w:r>
            <w:r>
              <w:rPr>
                <w:rFonts w:ascii="Times New Roman" w:eastAsia="Times New Roman" w:hAnsi="Times New Roman" w:cs="Times New Roman"/>
                <w:color w:val="000000"/>
                <w:sz w:val="24"/>
                <w:szCs w:val="24"/>
              </w:rPr>
              <w:t>:</w:t>
            </w:r>
            <w:r w:rsidRPr="002E26D2">
              <w:rPr>
                <w:rFonts w:ascii="Times New Roman" w:eastAsia="Times New Roman" w:hAnsi="Times New Roman" w:cs="Times New Roman"/>
                <w:color w:val="000000"/>
                <w:sz w:val="24"/>
                <w:szCs w:val="24"/>
              </w:rPr>
              <w:t xml:space="preserve"> shrinking buffer</w:t>
            </w:r>
          </w:p>
        </w:tc>
        <w:tc>
          <w:tcPr>
            <w:tcW w:w="5619" w:type="dxa"/>
            <w:noWrap/>
          </w:tcPr>
          <w:p w14:paraId="52663F86"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10 mM KH</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PO</w:t>
            </w:r>
            <w:r w:rsidRPr="002E26D2">
              <w:rPr>
                <w:rFonts w:ascii="Times New Roman" w:eastAsia="Times New Roman" w:hAnsi="Times New Roman" w:cs="Times New Roman"/>
                <w:color w:val="000000"/>
                <w:sz w:val="24"/>
                <w:szCs w:val="24"/>
                <w:vertAlign w:val="subscript"/>
              </w:rPr>
              <w:t>4</w:t>
            </w:r>
            <w:r w:rsidRPr="002E26D2">
              <w:rPr>
                <w:rFonts w:ascii="Times New Roman" w:eastAsia="Times New Roman" w:hAnsi="Times New Roman" w:cs="Times New Roman"/>
                <w:color w:val="000000"/>
                <w:sz w:val="24"/>
                <w:szCs w:val="24"/>
              </w:rPr>
              <w:t xml:space="preserve"> pH 7.4, 30% sucrose, 30% glycerol, 10 mm MgCl</w:t>
            </w:r>
            <w:r w:rsidRPr="002E26D2">
              <w:rPr>
                <w:rFonts w:ascii="Times New Roman" w:eastAsia="Times New Roman" w:hAnsi="Times New Roman" w:cs="Times New Roman"/>
                <w:color w:val="000000"/>
                <w:sz w:val="24"/>
                <w:szCs w:val="24"/>
                <w:vertAlign w:val="subscript"/>
              </w:rPr>
              <w:t>2</w:t>
            </w:r>
            <w:r w:rsidRPr="002E26D2">
              <w:rPr>
                <w:rFonts w:ascii="Times New Roman" w:eastAsia="Times New Roman" w:hAnsi="Times New Roman" w:cs="Times New Roman"/>
                <w:color w:val="000000"/>
                <w:sz w:val="24"/>
                <w:szCs w:val="24"/>
              </w:rPr>
              <w:t>, 4 mM ATP</w:t>
            </w:r>
          </w:p>
        </w:tc>
      </w:tr>
      <w:tr w:rsidR="000E15A3" w:rsidRPr="002E26D2" w14:paraId="31C3EA3E"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0BD08EFD"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TAE buffer</w:t>
            </w:r>
          </w:p>
        </w:tc>
        <w:tc>
          <w:tcPr>
            <w:tcW w:w="5619" w:type="dxa"/>
            <w:noWrap/>
          </w:tcPr>
          <w:p w14:paraId="5B0A35EF"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40 mM TRIS, 20 mM acetic acid, 1 mM EDTA </w:t>
            </w:r>
          </w:p>
        </w:tc>
      </w:tr>
      <w:tr w:rsidR="000E15A3" w:rsidRPr="002E26D2" w14:paraId="5591B211"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43FE0CE3"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TB: transfer buffer</w:t>
            </w:r>
          </w:p>
        </w:tc>
        <w:tc>
          <w:tcPr>
            <w:tcW w:w="5619" w:type="dxa"/>
            <w:noWrap/>
            <w:hideMark/>
          </w:tcPr>
          <w:p w14:paraId="04413B6F"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200 mM Tris, 1.5 mM glycine, 10% (v/v) methanol</w:t>
            </w:r>
          </w:p>
        </w:tc>
      </w:tr>
      <w:tr w:rsidR="000E15A3" w:rsidRPr="002E26D2" w14:paraId="7C36E8E9"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51691E7A"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TBST</w:t>
            </w:r>
          </w:p>
        </w:tc>
        <w:tc>
          <w:tcPr>
            <w:tcW w:w="5619" w:type="dxa"/>
            <w:noWrap/>
            <w:hideMark/>
          </w:tcPr>
          <w:p w14:paraId="48C3022A"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50 mM Tris, 150 mM NaCl, 0.05% (v/v) Tween20, pH 7.5</w:t>
            </w:r>
          </w:p>
        </w:tc>
      </w:tr>
      <w:tr w:rsidR="000E15A3" w:rsidRPr="00471728" w14:paraId="5F360985"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19222CF"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TEEN buffer</w:t>
            </w:r>
          </w:p>
        </w:tc>
        <w:tc>
          <w:tcPr>
            <w:tcW w:w="5619" w:type="dxa"/>
            <w:noWrap/>
            <w:hideMark/>
          </w:tcPr>
          <w:p w14:paraId="3E4E5C41"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50 mM Tris pH 7.4, 5 mM EDTA, 150 mM NaCl, 0.5% (v/v) NP-40</w:t>
            </w:r>
          </w:p>
        </w:tc>
      </w:tr>
      <w:tr w:rsidR="000E15A3" w:rsidRPr="00471728" w14:paraId="38AF4D4A"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37182057" w14:textId="77777777" w:rsidR="000E15A3" w:rsidRDefault="000E15A3" w:rsidP="000E15A3">
            <w:pPr>
              <w:spacing w:line="360" w:lineRule="auto"/>
              <w:rPr>
                <w:rFonts w:ascii="Times New Roman" w:hAnsi="Times New Roman" w:cs="Times New Roman"/>
                <w:sz w:val="24"/>
                <w:szCs w:val="24"/>
              </w:rPr>
            </w:pPr>
            <w:r>
              <w:rPr>
                <w:rFonts w:ascii="Times New Roman" w:hAnsi="Times New Roman" w:cs="Times New Roman"/>
                <w:sz w:val="24"/>
                <w:szCs w:val="24"/>
              </w:rPr>
              <w:t>T</w:t>
            </w:r>
            <w:r w:rsidRPr="002E26D2">
              <w:rPr>
                <w:rFonts w:ascii="Times New Roman" w:hAnsi="Times New Roman" w:cs="Times New Roman"/>
                <w:sz w:val="24"/>
                <w:szCs w:val="24"/>
              </w:rPr>
              <w:t>hrombin buffer</w:t>
            </w:r>
          </w:p>
        </w:tc>
        <w:tc>
          <w:tcPr>
            <w:tcW w:w="5619" w:type="dxa"/>
            <w:noWrap/>
          </w:tcPr>
          <w:p w14:paraId="339D6819" w14:textId="77777777" w:rsidR="000E15A3" w:rsidRPr="00043006"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043006">
              <w:rPr>
                <w:rFonts w:ascii="Times New Roman" w:hAnsi="Times New Roman" w:cs="Times New Roman"/>
                <w:sz w:val="24"/>
                <w:szCs w:val="24"/>
                <w:lang w:val="fr-FR"/>
              </w:rPr>
              <w:t>50 mM Tris pH 8.0, 0.1 M NaCl</w:t>
            </w:r>
          </w:p>
        </w:tc>
      </w:tr>
      <w:tr w:rsidR="000E15A3" w:rsidRPr="002E26D2" w14:paraId="07BC6B17"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3834F14A"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Tris running</w:t>
            </w:r>
          </w:p>
        </w:tc>
        <w:tc>
          <w:tcPr>
            <w:tcW w:w="5619" w:type="dxa"/>
            <w:noWrap/>
            <w:hideMark/>
          </w:tcPr>
          <w:p w14:paraId="621982D1"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1.5 M Tris pH 8.8</w:t>
            </w:r>
          </w:p>
        </w:tc>
      </w:tr>
      <w:tr w:rsidR="000E15A3" w:rsidRPr="002E26D2" w14:paraId="271296D4"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6264F8B1"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Tris stacking</w:t>
            </w:r>
          </w:p>
        </w:tc>
        <w:tc>
          <w:tcPr>
            <w:tcW w:w="5619" w:type="dxa"/>
            <w:noWrap/>
            <w:hideMark/>
          </w:tcPr>
          <w:p w14:paraId="56A58600"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1.0 M Tris pH 6.8</w:t>
            </w:r>
          </w:p>
        </w:tc>
      </w:tr>
      <w:tr w:rsidR="000E15A3" w:rsidRPr="002E26D2" w14:paraId="317D835B"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3397" w:type="dxa"/>
            <w:noWrap/>
            <w:hideMark/>
          </w:tcPr>
          <w:p w14:paraId="0F30FAEA"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Triton X-100 0.1%</w:t>
            </w:r>
          </w:p>
        </w:tc>
        <w:tc>
          <w:tcPr>
            <w:tcW w:w="5619" w:type="dxa"/>
            <w:noWrap/>
            <w:hideMark/>
          </w:tcPr>
          <w:p w14:paraId="6516A9D0"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0.1% (v/v) Triton X-100 in PBS</w:t>
            </w:r>
          </w:p>
        </w:tc>
      </w:tr>
      <w:tr w:rsidR="000E15A3" w:rsidRPr="002E26D2" w14:paraId="19EA1B23"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97" w:type="dxa"/>
            <w:noWrap/>
          </w:tcPr>
          <w:p w14:paraId="3724F806" w14:textId="77777777" w:rsidR="000E15A3" w:rsidRDefault="000E15A3" w:rsidP="000E15A3">
            <w:pPr>
              <w:spacing w:line="360" w:lineRule="auto"/>
              <w:rPr>
                <w:rFonts w:ascii="Times New Roman" w:hAnsi="Times New Roman" w:cs="Times New Roman"/>
                <w:sz w:val="24"/>
                <w:szCs w:val="24"/>
              </w:rPr>
            </w:pPr>
            <w:r>
              <w:rPr>
                <w:rFonts w:ascii="Times New Roman" w:hAnsi="Times New Roman" w:cs="Times New Roman"/>
                <w:sz w:val="24"/>
                <w:szCs w:val="24"/>
              </w:rPr>
              <w:t>W</w:t>
            </w:r>
            <w:r w:rsidRPr="002E26D2">
              <w:rPr>
                <w:rFonts w:ascii="Times New Roman" w:hAnsi="Times New Roman" w:cs="Times New Roman"/>
                <w:sz w:val="24"/>
                <w:szCs w:val="24"/>
              </w:rPr>
              <w:t>ashing buffer</w:t>
            </w:r>
          </w:p>
        </w:tc>
        <w:tc>
          <w:tcPr>
            <w:tcW w:w="5619" w:type="dxa"/>
            <w:noWrap/>
          </w:tcPr>
          <w:p w14:paraId="204BE057"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5 mM MgCl</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50 mM HEPES pH 7.4, 400 mM NaCl, 10 % glycerol, 10 mM imidazole</w:t>
            </w:r>
          </w:p>
        </w:tc>
      </w:tr>
    </w:tbl>
    <w:p w14:paraId="73CC1D42" w14:textId="5F3CA294" w:rsidR="000B3AF7" w:rsidRDefault="000B3AF7" w:rsidP="004927BB">
      <w:pPr>
        <w:spacing w:line="360" w:lineRule="auto"/>
        <w:jc w:val="both"/>
        <w:rPr>
          <w:rFonts w:ascii="Times New Roman" w:hAnsi="Times New Roman" w:cs="Times New Roman"/>
          <w:sz w:val="24"/>
          <w:szCs w:val="24"/>
        </w:rPr>
      </w:pPr>
    </w:p>
    <w:p w14:paraId="3435FC48" w14:textId="0D5BF295" w:rsidR="000E15A3" w:rsidRDefault="000E15A3" w:rsidP="004927BB">
      <w:pPr>
        <w:spacing w:line="360" w:lineRule="auto"/>
        <w:jc w:val="both"/>
        <w:rPr>
          <w:rFonts w:ascii="Times New Roman" w:hAnsi="Times New Roman" w:cs="Times New Roman"/>
          <w:sz w:val="24"/>
          <w:szCs w:val="24"/>
        </w:rPr>
      </w:pPr>
    </w:p>
    <w:p w14:paraId="1B75EE89" w14:textId="00038908" w:rsidR="000E15A3" w:rsidRDefault="000E15A3" w:rsidP="004927BB">
      <w:pPr>
        <w:spacing w:line="360" w:lineRule="auto"/>
        <w:jc w:val="both"/>
        <w:rPr>
          <w:rFonts w:ascii="Times New Roman" w:hAnsi="Times New Roman" w:cs="Times New Roman"/>
          <w:sz w:val="24"/>
          <w:szCs w:val="24"/>
        </w:rPr>
      </w:pPr>
    </w:p>
    <w:p w14:paraId="22ACB1C1" w14:textId="4BD66C85" w:rsidR="000E15A3" w:rsidRDefault="000E15A3" w:rsidP="004927BB">
      <w:pPr>
        <w:spacing w:line="360" w:lineRule="auto"/>
        <w:jc w:val="both"/>
        <w:rPr>
          <w:rFonts w:ascii="Times New Roman" w:hAnsi="Times New Roman" w:cs="Times New Roman"/>
          <w:sz w:val="24"/>
          <w:szCs w:val="24"/>
        </w:rPr>
      </w:pPr>
    </w:p>
    <w:p w14:paraId="7C0E0666" w14:textId="7C6965B7" w:rsidR="00C929EC" w:rsidRDefault="00C929EC">
      <w:pPr>
        <w:rPr>
          <w:rFonts w:ascii="Times New Roman" w:hAnsi="Times New Roman" w:cs="Times New Roman"/>
          <w:sz w:val="24"/>
          <w:szCs w:val="24"/>
        </w:rPr>
      </w:pPr>
      <w:r>
        <w:rPr>
          <w:rFonts w:ascii="Times New Roman" w:hAnsi="Times New Roman" w:cs="Times New Roman"/>
          <w:sz w:val="24"/>
          <w:szCs w:val="24"/>
        </w:rPr>
        <w:br w:type="page"/>
      </w:r>
    </w:p>
    <w:p w14:paraId="470654B9" w14:textId="215D4332" w:rsidR="00934CD5" w:rsidRPr="002E26D2" w:rsidRDefault="00934CD5" w:rsidP="003775DE">
      <w:pPr>
        <w:pStyle w:val="Heading3"/>
      </w:pPr>
      <w:bookmarkStart w:id="65" w:name="_Toc117153837"/>
      <w:r w:rsidRPr="002E26D2">
        <w:lastRenderedPageBreak/>
        <w:t>Instrument</w:t>
      </w:r>
      <w:r w:rsidR="00C77F38">
        <w:t>s</w:t>
      </w:r>
      <w:r w:rsidRPr="002E26D2">
        <w:t xml:space="preserve"> and material</w:t>
      </w:r>
      <w:bookmarkEnd w:id="65"/>
    </w:p>
    <w:p w14:paraId="796FB23B" w14:textId="0160CA1F" w:rsidR="000517EA" w:rsidRPr="002E26D2" w:rsidRDefault="000517EA" w:rsidP="004927BB">
      <w:pPr>
        <w:pStyle w:val="Caption"/>
        <w:keepNext/>
        <w:spacing w:line="360" w:lineRule="auto"/>
        <w:rPr>
          <w:rFonts w:ascii="Times New Roman" w:hAnsi="Times New Roman" w:cs="Times New Roman"/>
          <w:sz w:val="24"/>
          <w:szCs w:val="24"/>
        </w:rPr>
      </w:pPr>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 Instruments</w:t>
      </w:r>
    </w:p>
    <w:tbl>
      <w:tblPr>
        <w:tblStyle w:val="PlainTable1"/>
        <w:tblW w:w="0" w:type="auto"/>
        <w:tblLook w:val="04A0" w:firstRow="1" w:lastRow="0" w:firstColumn="1" w:lastColumn="0" w:noHBand="0" w:noVBand="1"/>
      </w:tblPr>
      <w:tblGrid>
        <w:gridCol w:w="5524"/>
        <w:gridCol w:w="3492"/>
      </w:tblGrid>
      <w:tr w:rsidR="00934CD5" w:rsidRPr="002E26D2" w14:paraId="648F5C2E" w14:textId="77777777" w:rsidTr="0079377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tcPr>
          <w:p w14:paraId="06523B97"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Instruments</w:t>
            </w:r>
          </w:p>
        </w:tc>
        <w:tc>
          <w:tcPr>
            <w:tcW w:w="3492" w:type="dxa"/>
            <w:noWrap/>
          </w:tcPr>
          <w:p w14:paraId="1BC4B639" w14:textId="77777777" w:rsidR="00934CD5" w:rsidRPr="002E26D2" w:rsidRDefault="00934CD5"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Manufacturer</w:t>
            </w:r>
          </w:p>
        </w:tc>
      </w:tr>
      <w:tr w:rsidR="00934CD5" w:rsidRPr="002E26D2" w14:paraId="7BBBC097"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AD048BE"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5414 R centrifuge</w:t>
            </w:r>
          </w:p>
        </w:tc>
        <w:tc>
          <w:tcPr>
            <w:tcW w:w="3492" w:type="dxa"/>
            <w:noWrap/>
            <w:hideMark/>
          </w:tcPr>
          <w:p w14:paraId="5383A0C6"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Eppendorf, Germany</w:t>
            </w:r>
          </w:p>
        </w:tc>
      </w:tr>
      <w:tr w:rsidR="00934CD5" w:rsidRPr="002E26D2" w14:paraId="5470891D"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CD859F0"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Agarose gel electrophoresis system Sub-Cell GT</w:t>
            </w:r>
          </w:p>
        </w:tc>
        <w:tc>
          <w:tcPr>
            <w:tcW w:w="3492" w:type="dxa"/>
            <w:noWrap/>
            <w:hideMark/>
          </w:tcPr>
          <w:p w14:paraId="42FF3A68"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Bio-Rad, USA</w:t>
            </w:r>
          </w:p>
        </w:tc>
      </w:tr>
      <w:tr w:rsidR="00934CD5" w:rsidRPr="002E26D2" w14:paraId="7580500E"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7C48F57F"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Bacteria incubator New Brunswick ™ Innova ® 40</w:t>
            </w:r>
          </w:p>
        </w:tc>
        <w:tc>
          <w:tcPr>
            <w:tcW w:w="3492" w:type="dxa"/>
            <w:noWrap/>
            <w:hideMark/>
          </w:tcPr>
          <w:p w14:paraId="15FF12C8"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Eppendorf, Germany</w:t>
            </w:r>
          </w:p>
        </w:tc>
      </w:tr>
      <w:tr w:rsidR="00934CD5" w:rsidRPr="002E26D2" w14:paraId="7723406B"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tcPr>
          <w:p w14:paraId="568C1B47" w14:textId="77777777" w:rsidR="00934CD5" w:rsidRPr="002E26D2" w:rsidRDefault="00934CD5" w:rsidP="004927BB">
            <w:pPr>
              <w:tabs>
                <w:tab w:val="center" w:pos="2971"/>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BD FACSCalibur™ flow cytometer</w:t>
            </w:r>
          </w:p>
        </w:tc>
        <w:tc>
          <w:tcPr>
            <w:tcW w:w="3492" w:type="dxa"/>
            <w:noWrap/>
          </w:tcPr>
          <w:p w14:paraId="57FF45BD"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BD Biosciences, USA</w:t>
            </w:r>
          </w:p>
        </w:tc>
      </w:tr>
      <w:tr w:rsidR="00934CD5" w:rsidRPr="002E26D2" w14:paraId="630C86E0"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1E6B4421"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incubator</w:t>
            </w:r>
          </w:p>
        </w:tc>
        <w:tc>
          <w:tcPr>
            <w:tcW w:w="3492" w:type="dxa"/>
            <w:noWrap/>
            <w:hideMark/>
          </w:tcPr>
          <w:p w14:paraId="14217830"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Kambič, Slovenia</w:t>
            </w:r>
          </w:p>
        </w:tc>
      </w:tr>
      <w:tr w:rsidR="00934CD5" w:rsidRPr="002E26D2" w14:paraId="2A86274A"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tcPr>
          <w:p w14:paraId="729F3D7A" w14:textId="77777777" w:rsidR="00934CD5" w:rsidRPr="002E26D2" w:rsidRDefault="00934CD5" w:rsidP="004927BB">
            <w:pPr>
              <w:tabs>
                <w:tab w:val="center" w:pos="2971"/>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Clark electrode oxygraph MS200A</w:t>
            </w:r>
          </w:p>
        </w:tc>
        <w:tc>
          <w:tcPr>
            <w:tcW w:w="3492" w:type="dxa"/>
            <w:noWrap/>
          </w:tcPr>
          <w:p w14:paraId="6206660F"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Strathkelvin Instruments, UK</w:t>
            </w:r>
          </w:p>
        </w:tc>
      </w:tr>
      <w:tr w:rsidR="00934CD5" w:rsidRPr="002E26D2" w14:paraId="537BD01F"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779E138D"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Confocal microscope Leica TCS SP8 X FLIM</w:t>
            </w:r>
          </w:p>
        </w:tc>
        <w:tc>
          <w:tcPr>
            <w:tcW w:w="3492" w:type="dxa"/>
            <w:noWrap/>
            <w:hideMark/>
          </w:tcPr>
          <w:p w14:paraId="066107FB"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Leica Microsystems, Germany</w:t>
            </w:r>
          </w:p>
        </w:tc>
      </w:tr>
      <w:tr w:rsidR="00934CD5" w:rsidRPr="002E26D2" w14:paraId="37974EAD"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FEC07FB"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Electroporation system gene pulser xCell</w:t>
            </w:r>
          </w:p>
        </w:tc>
        <w:tc>
          <w:tcPr>
            <w:tcW w:w="3492" w:type="dxa"/>
            <w:noWrap/>
            <w:hideMark/>
          </w:tcPr>
          <w:p w14:paraId="2CFB1668"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Bio-Rad, USA</w:t>
            </w:r>
          </w:p>
        </w:tc>
      </w:tr>
      <w:tr w:rsidR="00934CD5" w:rsidRPr="002E26D2" w14:paraId="35B633F7"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2B213D8"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GeneAmp PCR system 2700</w:t>
            </w:r>
          </w:p>
        </w:tc>
        <w:tc>
          <w:tcPr>
            <w:tcW w:w="3492" w:type="dxa"/>
            <w:noWrap/>
            <w:hideMark/>
          </w:tcPr>
          <w:p w14:paraId="44B02CDF"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Applied Biosystems, USA</w:t>
            </w:r>
          </w:p>
        </w:tc>
      </w:tr>
      <w:tr w:rsidR="00934CD5" w:rsidRPr="00471728" w14:paraId="39CEECFC"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29F4531D"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Gyro-rocker SSL3</w:t>
            </w:r>
          </w:p>
        </w:tc>
        <w:tc>
          <w:tcPr>
            <w:tcW w:w="3492" w:type="dxa"/>
            <w:noWrap/>
            <w:hideMark/>
          </w:tcPr>
          <w:p w14:paraId="1D2544D9"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Stuart®, Cole-Parmer Ltd., UK</w:t>
            </w:r>
          </w:p>
        </w:tc>
      </w:tr>
      <w:tr w:rsidR="00934CD5" w:rsidRPr="002E26D2" w14:paraId="36A162F8"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2664335"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Harrier 18/80 refrigerated centrifuged digital</w:t>
            </w:r>
          </w:p>
        </w:tc>
        <w:tc>
          <w:tcPr>
            <w:tcW w:w="3492" w:type="dxa"/>
            <w:noWrap/>
            <w:hideMark/>
          </w:tcPr>
          <w:p w14:paraId="382D22EB"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MSE, UK</w:t>
            </w:r>
          </w:p>
        </w:tc>
      </w:tr>
      <w:tr w:rsidR="00934CD5" w:rsidRPr="002E26D2" w14:paraId="7DCE0D59"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tcPr>
          <w:p w14:paraId="685E9683"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Mini protean casting stand</w:t>
            </w:r>
          </w:p>
        </w:tc>
        <w:tc>
          <w:tcPr>
            <w:tcW w:w="3492" w:type="dxa"/>
            <w:noWrap/>
          </w:tcPr>
          <w:p w14:paraId="0FC1184D"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Bio-Rad, USA</w:t>
            </w:r>
          </w:p>
        </w:tc>
      </w:tr>
      <w:tr w:rsidR="00934CD5" w:rsidRPr="002E26D2" w14:paraId="00D8AF67" w14:textId="77777777" w:rsidTr="0079377E">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524" w:type="dxa"/>
            <w:hideMark/>
          </w:tcPr>
          <w:p w14:paraId="64E30531"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Mini protean II and III electrophoresis and transfer system </w:t>
            </w:r>
          </w:p>
        </w:tc>
        <w:tc>
          <w:tcPr>
            <w:tcW w:w="3492" w:type="dxa"/>
            <w:noWrap/>
            <w:hideMark/>
          </w:tcPr>
          <w:p w14:paraId="744B1E5C"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Bio-Rad, USA</w:t>
            </w:r>
          </w:p>
        </w:tc>
      </w:tr>
      <w:tr w:rsidR="00934CD5" w:rsidRPr="002E26D2" w14:paraId="5A98C49E"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13CDBF30"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Nanophotometer® N60</w:t>
            </w:r>
          </w:p>
        </w:tc>
        <w:tc>
          <w:tcPr>
            <w:tcW w:w="3492" w:type="dxa"/>
            <w:noWrap/>
            <w:hideMark/>
          </w:tcPr>
          <w:p w14:paraId="572C53D4"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Implen, Germany</w:t>
            </w:r>
          </w:p>
        </w:tc>
      </w:tr>
      <w:tr w:rsidR="00934CD5" w:rsidRPr="002E26D2" w14:paraId="0DF53A7B"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tcPr>
          <w:p w14:paraId="31BBC667"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Rotator Multi Bio RS-24</w:t>
            </w:r>
          </w:p>
        </w:tc>
        <w:tc>
          <w:tcPr>
            <w:tcW w:w="3492" w:type="dxa"/>
            <w:noWrap/>
          </w:tcPr>
          <w:p w14:paraId="0BB73191"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Biosan, Latvia</w:t>
            </w:r>
          </w:p>
        </w:tc>
      </w:tr>
      <w:tr w:rsidR="00934CD5" w:rsidRPr="002E26D2" w14:paraId="29A4098A"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13D13A02"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Spectrophotometer Multiskan MS</w:t>
            </w:r>
          </w:p>
        </w:tc>
        <w:tc>
          <w:tcPr>
            <w:tcW w:w="3492" w:type="dxa"/>
            <w:noWrap/>
            <w:hideMark/>
          </w:tcPr>
          <w:p w14:paraId="5CAB107A"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Labsystems, Finland</w:t>
            </w:r>
          </w:p>
        </w:tc>
      </w:tr>
      <w:tr w:rsidR="00934CD5" w:rsidRPr="002E26D2" w14:paraId="445DBDAA"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150EB838"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Sterile hood</w:t>
            </w:r>
          </w:p>
        </w:tc>
        <w:tc>
          <w:tcPr>
            <w:tcW w:w="3492" w:type="dxa"/>
            <w:noWrap/>
            <w:hideMark/>
          </w:tcPr>
          <w:p w14:paraId="70BE01F3"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Iskra, Slovenia</w:t>
            </w:r>
          </w:p>
        </w:tc>
      </w:tr>
      <w:tr w:rsidR="00934CD5" w:rsidRPr="002E26D2" w14:paraId="6E2E2E70"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5B41FC4C"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Thermo-shaker TS-100</w:t>
            </w:r>
          </w:p>
        </w:tc>
        <w:tc>
          <w:tcPr>
            <w:tcW w:w="3492" w:type="dxa"/>
            <w:noWrap/>
            <w:hideMark/>
          </w:tcPr>
          <w:p w14:paraId="0D78CBC6"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Biosan, Latvia</w:t>
            </w:r>
          </w:p>
        </w:tc>
      </w:tr>
      <w:tr w:rsidR="00934CD5" w:rsidRPr="002E26D2" w14:paraId="36581F19"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tcPr>
          <w:p w14:paraId="7CB871C6"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Ultracentrifuge Optima XL 100K, rotors 60Ti and 70.1Ti fixed angle</w:t>
            </w:r>
          </w:p>
        </w:tc>
        <w:tc>
          <w:tcPr>
            <w:tcW w:w="3492" w:type="dxa"/>
            <w:noWrap/>
          </w:tcPr>
          <w:p w14:paraId="4AF1B922"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Beckman Coulter, USA</w:t>
            </w:r>
          </w:p>
        </w:tc>
      </w:tr>
      <w:tr w:rsidR="00934CD5" w:rsidRPr="002E26D2" w14:paraId="79B571BB"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DADE270"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Ultrasonic homogenizer CP 130 and 6mm probe</w:t>
            </w:r>
          </w:p>
        </w:tc>
        <w:tc>
          <w:tcPr>
            <w:tcW w:w="3492" w:type="dxa"/>
            <w:noWrap/>
            <w:hideMark/>
          </w:tcPr>
          <w:p w14:paraId="42D4D328"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Cole-Palmer Ltd., UK</w:t>
            </w:r>
          </w:p>
        </w:tc>
      </w:tr>
      <w:tr w:rsidR="00934CD5" w:rsidRPr="002E26D2" w14:paraId="1946EB8E"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40D908B9"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Ultrasonic homogenizer Labsonic® M and 1mm probe</w:t>
            </w:r>
          </w:p>
        </w:tc>
        <w:tc>
          <w:tcPr>
            <w:tcW w:w="3492" w:type="dxa"/>
            <w:noWrap/>
            <w:hideMark/>
          </w:tcPr>
          <w:p w14:paraId="6130695C"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Montreal Biotech, Canada</w:t>
            </w:r>
          </w:p>
        </w:tc>
      </w:tr>
      <w:tr w:rsidR="00934CD5" w:rsidRPr="002E26D2" w14:paraId="65A40C69"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tcPr>
          <w:p w14:paraId="50C76719"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Ultrasonic homogenizer Sonopuls®</w:t>
            </w:r>
          </w:p>
        </w:tc>
        <w:tc>
          <w:tcPr>
            <w:tcW w:w="3492" w:type="dxa"/>
            <w:noWrap/>
          </w:tcPr>
          <w:p w14:paraId="0CCB12FC"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Bandelin, Germany</w:t>
            </w:r>
          </w:p>
        </w:tc>
      </w:tr>
      <w:tr w:rsidR="00934CD5" w:rsidRPr="002E26D2" w14:paraId="086F8F8B" w14:textId="77777777" w:rsidTr="0079377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617D0131"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Ultrospec 2100 pro spectrophotometer</w:t>
            </w:r>
          </w:p>
        </w:tc>
        <w:tc>
          <w:tcPr>
            <w:tcW w:w="3492" w:type="dxa"/>
            <w:noWrap/>
            <w:hideMark/>
          </w:tcPr>
          <w:p w14:paraId="13A3A7F8"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Amersham biosciences, UK</w:t>
            </w:r>
          </w:p>
        </w:tc>
      </w:tr>
      <w:tr w:rsidR="00934CD5" w:rsidRPr="002E26D2" w14:paraId="3E1C194F" w14:textId="77777777" w:rsidTr="0079377E">
        <w:trPr>
          <w:trHeight w:val="300"/>
        </w:trPr>
        <w:tc>
          <w:tcPr>
            <w:cnfStyle w:val="001000000000" w:firstRow="0" w:lastRow="0" w:firstColumn="1" w:lastColumn="0" w:oddVBand="0" w:evenVBand="0" w:oddHBand="0" w:evenHBand="0" w:firstRowFirstColumn="0" w:firstRowLastColumn="0" w:lastRowFirstColumn="0" w:lastRowLastColumn="0"/>
            <w:tcW w:w="5524" w:type="dxa"/>
            <w:noWrap/>
            <w:hideMark/>
          </w:tcPr>
          <w:p w14:paraId="3AE26EAF" w14:textId="2A40F785"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UVItec: </w:t>
            </w:r>
            <w:r w:rsidR="00DD48B4">
              <w:rPr>
                <w:rFonts w:ascii="Times New Roman" w:eastAsia="Times New Roman" w:hAnsi="Times New Roman" w:cs="Times New Roman"/>
                <w:color w:val="000000"/>
                <w:sz w:val="24"/>
                <w:szCs w:val="24"/>
              </w:rPr>
              <w:t>W</w:t>
            </w:r>
            <w:r w:rsidRPr="002E26D2">
              <w:rPr>
                <w:rFonts w:ascii="Times New Roman" w:eastAsia="Times New Roman" w:hAnsi="Times New Roman" w:cs="Times New Roman"/>
                <w:color w:val="000000"/>
                <w:sz w:val="24"/>
                <w:szCs w:val="24"/>
              </w:rPr>
              <w:t>estern blot imaging system Alliance 4.7</w:t>
            </w:r>
          </w:p>
        </w:tc>
        <w:tc>
          <w:tcPr>
            <w:tcW w:w="3492" w:type="dxa"/>
            <w:noWrap/>
            <w:hideMark/>
          </w:tcPr>
          <w:p w14:paraId="1BBD0957"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UVItec Cambridge, UK</w:t>
            </w:r>
          </w:p>
        </w:tc>
      </w:tr>
    </w:tbl>
    <w:p w14:paraId="5703C935" w14:textId="10D0C6B7" w:rsidR="00C929EC" w:rsidRDefault="00C929EC" w:rsidP="004927BB">
      <w:pPr>
        <w:spacing w:line="360" w:lineRule="auto"/>
        <w:jc w:val="both"/>
        <w:rPr>
          <w:rFonts w:ascii="Times New Roman" w:hAnsi="Times New Roman" w:cs="Times New Roman"/>
          <w:sz w:val="24"/>
          <w:szCs w:val="24"/>
        </w:rPr>
      </w:pPr>
    </w:p>
    <w:p w14:paraId="34641AB2" w14:textId="77777777" w:rsidR="00C929EC" w:rsidRDefault="00C929EC">
      <w:pPr>
        <w:rPr>
          <w:rFonts w:ascii="Times New Roman" w:hAnsi="Times New Roman" w:cs="Times New Roman"/>
          <w:sz w:val="24"/>
          <w:szCs w:val="24"/>
        </w:rPr>
      </w:pPr>
      <w:r>
        <w:rPr>
          <w:rFonts w:ascii="Times New Roman" w:hAnsi="Times New Roman" w:cs="Times New Roman"/>
          <w:sz w:val="24"/>
          <w:szCs w:val="24"/>
        </w:rPr>
        <w:br w:type="page"/>
      </w:r>
    </w:p>
    <w:p w14:paraId="57AFE1A4" w14:textId="23167B18" w:rsidR="000517EA" w:rsidRPr="002E26D2" w:rsidRDefault="000517EA" w:rsidP="004927BB">
      <w:pPr>
        <w:pStyle w:val="Caption"/>
        <w:keepNext/>
        <w:spacing w:line="360" w:lineRule="auto"/>
        <w:rPr>
          <w:rFonts w:ascii="Times New Roman" w:hAnsi="Times New Roman" w:cs="Times New Roman"/>
          <w:sz w:val="24"/>
          <w:szCs w:val="24"/>
        </w:rPr>
      </w:pPr>
      <w:r w:rsidRPr="002E26D2">
        <w:rPr>
          <w:rFonts w:ascii="Times New Roman" w:hAnsi="Times New Roman" w:cs="Times New Roman"/>
          <w:sz w:val="24"/>
          <w:szCs w:val="24"/>
        </w:rPr>
        <w:lastRenderedPageBreak/>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 Material</w:t>
      </w:r>
    </w:p>
    <w:tbl>
      <w:tblPr>
        <w:tblStyle w:val="PlainTable1"/>
        <w:tblW w:w="0" w:type="auto"/>
        <w:tblLook w:val="04A0" w:firstRow="1" w:lastRow="0" w:firstColumn="1" w:lastColumn="0" w:noHBand="0" w:noVBand="1"/>
      </w:tblPr>
      <w:tblGrid>
        <w:gridCol w:w="5807"/>
        <w:gridCol w:w="3209"/>
      </w:tblGrid>
      <w:tr w:rsidR="00934CD5" w:rsidRPr="002E26D2" w14:paraId="5A49FC2D" w14:textId="77777777" w:rsidTr="000E15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65ED413B" w14:textId="77777777" w:rsidR="00934CD5" w:rsidRPr="002E26D2" w:rsidRDefault="00934CD5"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Material</w:t>
            </w:r>
          </w:p>
        </w:tc>
        <w:tc>
          <w:tcPr>
            <w:tcW w:w="3209" w:type="dxa"/>
          </w:tcPr>
          <w:p w14:paraId="59EC5371" w14:textId="77777777" w:rsidR="00934CD5" w:rsidRPr="002E26D2" w:rsidRDefault="00934CD5"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Manufacturer</w:t>
            </w:r>
          </w:p>
        </w:tc>
      </w:tr>
      <w:tr w:rsidR="00934CD5" w:rsidRPr="002E26D2" w14:paraId="62D86C4E" w14:textId="77777777" w:rsidTr="000E15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635C3A4A"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0.2µm nitrocellulose membrane</w:t>
            </w:r>
          </w:p>
        </w:tc>
        <w:tc>
          <w:tcPr>
            <w:tcW w:w="3209" w:type="dxa"/>
          </w:tcPr>
          <w:p w14:paraId="643510F5" w14:textId="491446AB"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Amersham </w:t>
            </w:r>
            <w:r w:rsidR="00C77F38">
              <w:rPr>
                <w:rFonts w:ascii="Times New Roman" w:eastAsia="Times New Roman" w:hAnsi="Times New Roman" w:cs="Times New Roman"/>
                <w:color w:val="000000"/>
                <w:sz w:val="24"/>
                <w:szCs w:val="24"/>
              </w:rPr>
              <w:t>B</w:t>
            </w:r>
            <w:r w:rsidRPr="002E26D2">
              <w:rPr>
                <w:rFonts w:ascii="Times New Roman" w:eastAsia="Times New Roman" w:hAnsi="Times New Roman" w:cs="Times New Roman"/>
                <w:color w:val="000000"/>
                <w:sz w:val="24"/>
                <w:szCs w:val="24"/>
              </w:rPr>
              <w:t>iosciences, UK</w:t>
            </w:r>
          </w:p>
        </w:tc>
      </w:tr>
      <w:tr w:rsidR="00934CD5" w:rsidRPr="002E26D2" w14:paraId="3AB3CED8" w14:textId="77777777" w:rsidTr="000E15A3">
        <w:tc>
          <w:tcPr>
            <w:cnfStyle w:val="001000000000" w:firstRow="0" w:lastRow="0" w:firstColumn="1" w:lastColumn="0" w:oddVBand="0" w:evenVBand="0" w:oddHBand="0" w:evenHBand="0" w:firstRowFirstColumn="0" w:firstRowLastColumn="0" w:lastRowFirstColumn="0" w:lastRowLastColumn="0"/>
            <w:tcW w:w="5807" w:type="dxa"/>
          </w:tcPr>
          <w:p w14:paraId="23BFDC5B" w14:textId="77777777" w:rsidR="00934CD5" w:rsidRPr="002E26D2" w:rsidRDefault="00934CD5" w:rsidP="004927BB">
            <w:pPr>
              <w:tabs>
                <w:tab w:val="center" w:pos="2971"/>
              </w:tabs>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8 well chamber slide</w:t>
            </w:r>
            <w:r w:rsidRPr="002E26D2">
              <w:rPr>
                <w:rFonts w:ascii="Times New Roman" w:eastAsia="Times New Roman" w:hAnsi="Times New Roman" w:cs="Times New Roman"/>
                <w:color w:val="000000"/>
                <w:sz w:val="24"/>
                <w:szCs w:val="24"/>
              </w:rPr>
              <w:tab/>
            </w:r>
          </w:p>
        </w:tc>
        <w:tc>
          <w:tcPr>
            <w:tcW w:w="3209" w:type="dxa"/>
          </w:tcPr>
          <w:p w14:paraId="127557BE"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Ibidi, Germany</w:t>
            </w:r>
          </w:p>
        </w:tc>
      </w:tr>
      <w:tr w:rsidR="00934CD5" w:rsidRPr="002E26D2" w14:paraId="2142D4F9" w14:textId="77777777" w:rsidTr="000E15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1F12FE80"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Amicon® Ultra-15 centrifugal filter units, 10kDa cutoff</w:t>
            </w:r>
          </w:p>
        </w:tc>
        <w:tc>
          <w:tcPr>
            <w:tcW w:w="3209" w:type="dxa"/>
          </w:tcPr>
          <w:p w14:paraId="36BA39A9"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Merck, USA</w:t>
            </w:r>
          </w:p>
        </w:tc>
      </w:tr>
      <w:tr w:rsidR="00934CD5" w:rsidRPr="002E26D2" w14:paraId="3CEB12E2" w14:textId="77777777" w:rsidTr="000E15A3">
        <w:tc>
          <w:tcPr>
            <w:cnfStyle w:val="001000000000" w:firstRow="0" w:lastRow="0" w:firstColumn="1" w:lastColumn="0" w:oddVBand="0" w:evenVBand="0" w:oddHBand="0" w:evenHBand="0" w:firstRowFirstColumn="0" w:firstRowLastColumn="0" w:lastRowFirstColumn="0" w:lastRowLastColumn="0"/>
            <w:tcW w:w="5807" w:type="dxa"/>
          </w:tcPr>
          <w:p w14:paraId="1BF1205D"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Confocal 4-chamber 35mm glass bottom dish</w:t>
            </w:r>
          </w:p>
        </w:tc>
        <w:tc>
          <w:tcPr>
            <w:tcW w:w="3209" w:type="dxa"/>
          </w:tcPr>
          <w:p w14:paraId="0C734357"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Cellvis, USA</w:t>
            </w:r>
          </w:p>
        </w:tc>
      </w:tr>
      <w:tr w:rsidR="00934CD5" w:rsidRPr="002E26D2" w14:paraId="02FF04C5" w14:textId="77777777" w:rsidTr="000E15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21403D5F"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Cryotubes</w:t>
            </w:r>
          </w:p>
        </w:tc>
        <w:tc>
          <w:tcPr>
            <w:tcW w:w="3209" w:type="dxa"/>
          </w:tcPr>
          <w:p w14:paraId="387F341D"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Greiner Bio-One, Austria</w:t>
            </w:r>
          </w:p>
        </w:tc>
      </w:tr>
      <w:tr w:rsidR="00934CD5" w:rsidRPr="002E26D2" w14:paraId="18B622D2" w14:textId="77777777" w:rsidTr="000E15A3">
        <w:tc>
          <w:tcPr>
            <w:cnfStyle w:val="001000000000" w:firstRow="0" w:lastRow="0" w:firstColumn="1" w:lastColumn="0" w:oddVBand="0" w:evenVBand="0" w:oddHBand="0" w:evenHBand="0" w:firstRowFirstColumn="0" w:firstRowLastColumn="0" w:lastRowFirstColumn="0" w:lastRowLastColumn="0"/>
            <w:tcW w:w="5807" w:type="dxa"/>
          </w:tcPr>
          <w:p w14:paraId="0C66B0F1"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Electroporation cuvette 2mm</w:t>
            </w:r>
          </w:p>
        </w:tc>
        <w:tc>
          <w:tcPr>
            <w:tcW w:w="3209" w:type="dxa"/>
          </w:tcPr>
          <w:p w14:paraId="5A9EC9F2"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934CD5" w:rsidRPr="002E26D2" w14:paraId="577E0FD6" w14:textId="77777777" w:rsidTr="000E15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1E629BA5" w14:textId="0562C58D"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Glasstic</w:t>
            </w:r>
            <w:r w:rsidR="0079377E">
              <w:rPr>
                <w:rFonts w:ascii="Times New Roman" w:eastAsia="Times New Roman" w:hAnsi="Times New Roman" w:cs="Times New Roman"/>
                <w:color w:val="000000"/>
                <w:sz w:val="24"/>
                <w:szCs w:val="24"/>
                <w:vertAlign w:val="superscript"/>
              </w:rPr>
              <w:t>TM</w:t>
            </w:r>
            <w:r w:rsidRPr="002E26D2">
              <w:rPr>
                <w:rFonts w:ascii="Times New Roman" w:eastAsia="Times New Roman" w:hAnsi="Times New Roman" w:cs="Times New Roman"/>
                <w:color w:val="000000"/>
                <w:sz w:val="24"/>
                <w:szCs w:val="24"/>
              </w:rPr>
              <w:t xml:space="preserve"> slides cell counter</w:t>
            </w:r>
          </w:p>
        </w:tc>
        <w:tc>
          <w:tcPr>
            <w:tcW w:w="3209" w:type="dxa"/>
          </w:tcPr>
          <w:p w14:paraId="47F9DC1D"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KOVA International, USA</w:t>
            </w:r>
          </w:p>
        </w:tc>
      </w:tr>
      <w:tr w:rsidR="00934CD5" w:rsidRPr="002E26D2" w14:paraId="1CAA0C24" w14:textId="77777777" w:rsidTr="000E15A3">
        <w:tc>
          <w:tcPr>
            <w:cnfStyle w:val="001000000000" w:firstRow="0" w:lastRow="0" w:firstColumn="1" w:lastColumn="0" w:oddVBand="0" w:evenVBand="0" w:oddHBand="0" w:evenHBand="0" w:firstRowFirstColumn="0" w:firstRowLastColumn="0" w:lastRowFirstColumn="0" w:lastRowLastColumn="0"/>
            <w:tcW w:w="5807" w:type="dxa"/>
          </w:tcPr>
          <w:p w14:paraId="1A3273A4"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Microcon® centrifugal filter unit YM-3, 3kDa cutoff</w:t>
            </w:r>
          </w:p>
        </w:tc>
        <w:tc>
          <w:tcPr>
            <w:tcW w:w="3209" w:type="dxa"/>
          </w:tcPr>
          <w:p w14:paraId="1C8B0776"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Merck, USA</w:t>
            </w:r>
          </w:p>
        </w:tc>
      </w:tr>
      <w:tr w:rsidR="00934CD5" w:rsidRPr="002E26D2" w14:paraId="31F861A8" w14:textId="77777777" w:rsidTr="000E15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tcPr>
          <w:p w14:paraId="42A0857D"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Poly-Prep chromatography columns</w:t>
            </w:r>
          </w:p>
        </w:tc>
        <w:tc>
          <w:tcPr>
            <w:tcW w:w="3209" w:type="dxa"/>
          </w:tcPr>
          <w:p w14:paraId="232DE008"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Bio-Rad, USA</w:t>
            </w:r>
          </w:p>
        </w:tc>
      </w:tr>
      <w:tr w:rsidR="00934CD5" w:rsidRPr="002E26D2" w14:paraId="124B3553" w14:textId="77777777" w:rsidTr="000E15A3">
        <w:tc>
          <w:tcPr>
            <w:cnfStyle w:val="001000000000" w:firstRow="0" w:lastRow="0" w:firstColumn="1" w:lastColumn="0" w:oddVBand="0" w:evenVBand="0" w:oddHBand="0" w:evenHBand="0" w:firstRowFirstColumn="0" w:firstRowLastColumn="0" w:lastRowFirstColumn="0" w:lastRowLastColumn="0"/>
            <w:tcW w:w="5807" w:type="dxa"/>
          </w:tcPr>
          <w:p w14:paraId="20C74033" w14:textId="77777777" w:rsidR="00934CD5" w:rsidRPr="002E26D2" w:rsidRDefault="00934CD5"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Parafilm M</w:t>
            </w:r>
          </w:p>
        </w:tc>
        <w:tc>
          <w:tcPr>
            <w:tcW w:w="3209" w:type="dxa"/>
          </w:tcPr>
          <w:p w14:paraId="16F6BA06"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bl>
    <w:p w14:paraId="3522EF3F" w14:textId="77777777" w:rsidR="000E15A3" w:rsidRPr="002E26D2" w:rsidRDefault="000E15A3" w:rsidP="004927BB">
      <w:pPr>
        <w:spacing w:line="360" w:lineRule="auto"/>
        <w:jc w:val="both"/>
        <w:rPr>
          <w:rFonts w:ascii="Times New Roman" w:hAnsi="Times New Roman" w:cs="Times New Roman"/>
          <w:sz w:val="24"/>
          <w:szCs w:val="24"/>
        </w:rPr>
      </w:pPr>
    </w:p>
    <w:p w14:paraId="1E27FD1B" w14:textId="66A0C624" w:rsidR="00CD258F" w:rsidRPr="002E26D2" w:rsidRDefault="00CD258F" w:rsidP="003775DE">
      <w:pPr>
        <w:pStyle w:val="Heading3"/>
      </w:pPr>
      <w:bookmarkStart w:id="66" w:name="_Toc117153838"/>
      <w:r w:rsidRPr="002E26D2">
        <w:t>Commercial products</w:t>
      </w:r>
      <w:bookmarkEnd w:id="66"/>
    </w:p>
    <w:p w14:paraId="15C5DD24" w14:textId="6975B532" w:rsidR="000517EA" w:rsidRPr="002E26D2" w:rsidRDefault="000517EA" w:rsidP="004927BB">
      <w:pPr>
        <w:pStyle w:val="Caption"/>
        <w:keepNext/>
        <w:spacing w:line="360" w:lineRule="auto"/>
        <w:rPr>
          <w:rFonts w:ascii="Times New Roman" w:hAnsi="Times New Roman" w:cs="Times New Roman"/>
          <w:sz w:val="24"/>
          <w:szCs w:val="24"/>
        </w:rPr>
      </w:pPr>
      <w:bookmarkStart w:id="67" w:name="_Ref106008900"/>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6</w:t>
      </w:r>
      <w:r w:rsidRPr="002E26D2">
        <w:rPr>
          <w:rFonts w:ascii="Times New Roman" w:hAnsi="Times New Roman" w:cs="Times New Roman"/>
          <w:sz w:val="24"/>
          <w:szCs w:val="24"/>
        </w:rPr>
        <w:fldChar w:fldCharType="end"/>
      </w:r>
      <w:bookmarkEnd w:id="67"/>
      <w:r w:rsidRPr="002E26D2">
        <w:rPr>
          <w:rFonts w:ascii="Times New Roman" w:hAnsi="Times New Roman" w:cs="Times New Roman"/>
          <w:sz w:val="24"/>
          <w:szCs w:val="24"/>
        </w:rPr>
        <w:t xml:space="preserve"> : List of commercial kit, enzymes and standards</w:t>
      </w:r>
    </w:p>
    <w:tbl>
      <w:tblPr>
        <w:tblStyle w:val="PlainTable1"/>
        <w:tblW w:w="0" w:type="auto"/>
        <w:tblLook w:val="04A0" w:firstRow="1" w:lastRow="0" w:firstColumn="1" w:lastColumn="0" w:noHBand="0" w:noVBand="1"/>
      </w:tblPr>
      <w:tblGrid>
        <w:gridCol w:w="5240"/>
        <w:gridCol w:w="3776"/>
      </w:tblGrid>
      <w:tr w:rsidR="005062A3" w:rsidRPr="002E26D2" w14:paraId="6EA33E6A" w14:textId="77777777" w:rsidTr="005062A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46FC8309"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Product</w:t>
            </w:r>
          </w:p>
        </w:tc>
        <w:tc>
          <w:tcPr>
            <w:tcW w:w="3776" w:type="dxa"/>
            <w:noWrap/>
          </w:tcPr>
          <w:p w14:paraId="603BBBDF" w14:textId="77777777" w:rsidR="000E15A3" w:rsidRPr="002E26D2" w:rsidRDefault="000E15A3"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Manufacturer</w:t>
            </w:r>
          </w:p>
        </w:tc>
      </w:tr>
      <w:tr w:rsidR="005062A3" w:rsidRPr="002E26D2" w14:paraId="45989B52"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079E51A3"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 Kb plus DNA ladder</w:t>
            </w:r>
          </w:p>
        </w:tc>
        <w:tc>
          <w:tcPr>
            <w:tcW w:w="3776" w:type="dxa"/>
            <w:noWrap/>
            <w:hideMark/>
          </w:tcPr>
          <w:p w14:paraId="5FAE87B2"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5062A3" w:rsidRPr="002E26D2" w14:paraId="0D34E5AF"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0A8B6299"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Annexin-V-FLUOS staining kit</w:t>
            </w:r>
          </w:p>
        </w:tc>
        <w:tc>
          <w:tcPr>
            <w:tcW w:w="3776" w:type="dxa"/>
            <w:noWrap/>
          </w:tcPr>
          <w:p w14:paraId="205237D7"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Roche, Switzerland</w:t>
            </w:r>
          </w:p>
        </w:tc>
      </w:tr>
      <w:tr w:rsidR="005062A3" w:rsidRPr="002E26D2" w14:paraId="4D956214"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415C355A"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fractionation kit - standard (ab109719)</w:t>
            </w:r>
          </w:p>
        </w:tc>
        <w:tc>
          <w:tcPr>
            <w:tcW w:w="3776" w:type="dxa"/>
            <w:noWrap/>
          </w:tcPr>
          <w:p w14:paraId="0977A22E"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5062A3" w:rsidRPr="002E26D2" w14:paraId="33C69B18"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76E068E9"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CIP: calf-intestinal alkaline phosphatase</w:t>
            </w:r>
          </w:p>
        </w:tc>
        <w:tc>
          <w:tcPr>
            <w:tcW w:w="3776" w:type="dxa"/>
            <w:noWrap/>
          </w:tcPr>
          <w:p w14:paraId="1A25B612"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New England Biolabs, USA</w:t>
            </w:r>
          </w:p>
        </w:tc>
      </w:tr>
      <w:tr w:rsidR="005062A3" w:rsidRPr="002E26D2" w14:paraId="674D6E21"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538B74A"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Complete mini EDTA-free protease inhibitor cocktail tablets</w:t>
            </w:r>
          </w:p>
        </w:tc>
        <w:tc>
          <w:tcPr>
            <w:tcW w:w="3776" w:type="dxa"/>
            <w:noWrap/>
            <w:hideMark/>
          </w:tcPr>
          <w:p w14:paraId="4BDC8E57"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Roche, Switzerland</w:t>
            </w:r>
          </w:p>
        </w:tc>
      </w:tr>
      <w:tr w:rsidR="005062A3" w:rsidRPr="002E26D2" w14:paraId="60845C35"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2086CF9E"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Dharmafect transfection reagent 4</w:t>
            </w:r>
            <w:r w:rsidRPr="002E26D2">
              <w:rPr>
                <w:rFonts w:ascii="Times New Roman" w:eastAsia="Times New Roman" w:hAnsi="Times New Roman" w:cs="Times New Roman"/>
                <w:color w:val="000000"/>
                <w:sz w:val="24"/>
                <w:szCs w:val="24"/>
              </w:rPr>
              <w:tab/>
            </w:r>
          </w:p>
        </w:tc>
        <w:tc>
          <w:tcPr>
            <w:tcW w:w="3776" w:type="dxa"/>
            <w:noWrap/>
          </w:tcPr>
          <w:p w14:paraId="6ED79BE4"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Dharmacon, USA</w:t>
            </w:r>
          </w:p>
        </w:tc>
      </w:tr>
      <w:tr w:rsidR="005062A3" w:rsidRPr="002E26D2" w14:paraId="7A5396F1"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0D24A20"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Dynabeads protein G</w:t>
            </w:r>
          </w:p>
        </w:tc>
        <w:tc>
          <w:tcPr>
            <w:tcW w:w="3776" w:type="dxa"/>
            <w:noWrap/>
            <w:hideMark/>
          </w:tcPr>
          <w:p w14:paraId="2E72848B"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Invitrogen, USA</w:t>
            </w:r>
          </w:p>
        </w:tc>
      </w:tr>
      <w:tr w:rsidR="005062A3" w:rsidRPr="002E26D2" w14:paraId="703AB846"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73D2A292"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EmeraldAmp MAX PCR master mix</w:t>
            </w:r>
          </w:p>
        </w:tc>
        <w:tc>
          <w:tcPr>
            <w:tcW w:w="3776" w:type="dxa"/>
            <w:noWrap/>
          </w:tcPr>
          <w:p w14:paraId="72B3A12A"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TakaraBio, Europe</w:t>
            </w:r>
          </w:p>
        </w:tc>
      </w:tr>
      <w:tr w:rsidR="005062A3" w:rsidRPr="002E26D2" w14:paraId="5B16F3DE"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17BC448D"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Expand ™ long template PCR system</w:t>
            </w:r>
          </w:p>
        </w:tc>
        <w:tc>
          <w:tcPr>
            <w:tcW w:w="3776" w:type="dxa"/>
            <w:noWrap/>
          </w:tcPr>
          <w:p w14:paraId="2C9E9716"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5062A3" w:rsidRPr="002E26D2" w14:paraId="074374AF"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1A96736D"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FastDigest green buffer FD10</w:t>
            </w:r>
            <w:r w:rsidRPr="002E26D2">
              <w:rPr>
                <w:rFonts w:ascii="Times New Roman" w:hAnsi="Times New Roman" w:cs="Times New Roman"/>
                <w:sz w:val="24"/>
                <w:szCs w:val="24"/>
              </w:rPr>
              <w:t>×</w:t>
            </w:r>
          </w:p>
        </w:tc>
        <w:tc>
          <w:tcPr>
            <w:tcW w:w="3776" w:type="dxa"/>
            <w:noWrap/>
          </w:tcPr>
          <w:p w14:paraId="18D6E608"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5062A3" w:rsidRPr="002E26D2" w14:paraId="3F625253"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1E024C2"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FLAG agarose</w:t>
            </w:r>
          </w:p>
        </w:tc>
        <w:tc>
          <w:tcPr>
            <w:tcW w:w="3776" w:type="dxa"/>
            <w:noWrap/>
            <w:hideMark/>
          </w:tcPr>
          <w:p w14:paraId="4EEEEF62"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5062A3" w:rsidRPr="002E26D2" w14:paraId="2B36066F"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39FD1E2F"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Fluorescence mounting medium</w:t>
            </w:r>
          </w:p>
        </w:tc>
        <w:tc>
          <w:tcPr>
            <w:tcW w:w="3776" w:type="dxa"/>
            <w:noWrap/>
          </w:tcPr>
          <w:p w14:paraId="3E7BB75B"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Dako, Denmark</w:t>
            </w:r>
          </w:p>
        </w:tc>
      </w:tr>
      <w:tr w:rsidR="005062A3" w:rsidRPr="002E26D2" w14:paraId="724D8A6D"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52A1AB23"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GenElute™ plasmid miniprep kit</w:t>
            </w:r>
          </w:p>
        </w:tc>
        <w:tc>
          <w:tcPr>
            <w:tcW w:w="3776" w:type="dxa"/>
            <w:noWrap/>
          </w:tcPr>
          <w:p w14:paraId="1F2F3D40" w14:textId="77777777" w:rsidR="000E15A3" w:rsidRPr="002E26D2" w:rsidRDefault="000E15A3"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5062A3" w:rsidRPr="002E26D2" w14:paraId="15BD9B8B"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23C4710F" w14:textId="77777777" w:rsidR="000E15A3" w:rsidRPr="002E26D2" w:rsidRDefault="000E15A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LDH, Lactate dehydrogenase enzyme</w:t>
            </w:r>
          </w:p>
        </w:tc>
        <w:tc>
          <w:tcPr>
            <w:tcW w:w="3776" w:type="dxa"/>
            <w:noWrap/>
          </w:tcPr>
          <w:p w14:paraId="423210DC" w14:textId="77777777" w:rsidR="000E15A3" w:rsidRPr="002E26D2" w:rsidRDefault="000E15A3"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0E15A3" w:rsidRPr="000E15A3" w14:paraId="3A0B2299" w14:textId="77777777" w:rsidTr="005062A3">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0" w:type="auto"/>
            <w:gridSpan w:val="2"/>
            <w:tcBorders>
              <w:top w:val="nil"/>
              <w:left w:val="nil"/>
              <w:right w:val="nil"/>
            </w:tcBorders>
            <w:shd w:val="clear" w:color="auto" w:fill="FFFFFF" w:themeFill="background1"/>
            <w:noWrap/>
          </w:tcPr>
          <w:p w14:paraId="3D8BDF87" w14:textId="47E2C030" w:rsidR="000E15A3" w:rsidRPr="000E15A3" w:rsidRDefault="000E15A3" w:rsidP="000E15A3">
            <w:pPr>
              <w:pStyle w:val="Caption"/>
              <w:keepNext/>
              <w:spacing w:line="360" w:lineRule="auto"/>
              <w:rPr>
                <w:rFonts w:ascii="Times New Roman" w:hAnsi="Times New Roman" w:cs="Times New Roman"/>
                <w:b w:val="0"/>
                <w:sz w:val="24"/>
                <w:szCs w:val="24"/>
              </w:rPr>
            </w:pPr>
            <w:r w:rsidRPr="000E15A3">
              <w:rPr>
                <w:rFonts w:ascii="Times New Roman" w:hAnsi="Times New Roman" w:cs="Times New Roman"/>
                <w:b w:val="0"/>
                <w:sz w:val="24"/>
                <w:szCs w:val="24"/>
              </w:rPr>
              <w:lastRenderedPageBreak/>
              <w:t xml:space="preserve">Table </w:t>
            </w:r>
            <w:r w:rsidR="00B06E21">
              <w:rPr>
                <w:rFonts w:ascii="Times New Roman" w:hAnsi="Times New Roman" w:cs="Times New Roman"/>
                <w:b w:val="0"/>
                <w:sz w:val="24"/>
                <w:szCs w:val="24"/>
              </w:rPr>
              <w:t>6</w:t>
            </w:r>
            <w:r w:rsidRPr="000E15A3">
              <w:rPr>
                <w:rFonts w:ascii="Times New Roman" w:hAnsi="Times New Roman" w:cs="Times New Roman"/>
                <w:b w:val="0"/>
                <w:sz w:val="24"/>
                <w:szCs w:val="24"/>
              </w:rPr>
              <w:t xml:space="preserve"> :</w:t>
            </w:r>
            <w:r>
              <w:rPr>
                <w:rFonts w:ascii="Times New Roman" w:hAnsi="Times New Roman" w:cs="Times New Roman"/>
                <w:b w:val="0"/>
                <w:sz w:val="24"/>
                <w:szCs w:val="24"/>
              </w:rPr>
              <w:t xml:space="preserve"> - Continued -</w:t>
            </w:r>
            <w:r w:rsidRPr="000E15A3">
              <w:rPr>
                <w:rFonts w:ascii="Times New Roman" w:hAnsi="Times New Roman" w:cs="Times New Roman"/>
                <w:b w:val="0"/>
                <w:sz w:val="24"/>
                <w:szCs w:val="24"/>
              </w:rPr>
              <w:t xml:space="preserve"> List of commercial kit, enzymes and standards</w:t>
            </w:r>
          </w:p>
        </w:tc>
      </w:tr>
      <w:tr w:rsidR="005062A3" w:rsidRPr="002E26D2" w14:paraId="720F7CCD"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4B449EB1" w14:textId="2373F941"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Product</w:t>
            </w:r>
          </w:p>
        </w:tc>
        <w:tc>
          <w:tcPr>
            <w:tcW w:w="3776" w:type="dxa"/>
            <w:noWrap/>
          </w:tcPr>
          <w:p w14:paraId="2288B835" w14:textId="332E0316" w:rsidR="000E15A3" w:rsidRPr="000E15A3"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rPr>
            </w:pPr>
            <w:r w:rsidRPr="000E15A3">
              <w:rPr>
                <w:rFonts w:ascii="Times New Roman" w:eastAsia="Times New Roman" w:hAnsi="Times New Roman" w:cs="Times New Roman"/>
                <w:b/>
                <w:color w:val="000000"/>
                <w:sz w:val="24"/>
                <w:szCs w:val="24"/>
              </w:rPr>
              <w:t>Manufacturer</w:t>
            </w:r>
          </w:p>
        </w:tc>
      </w:tr>
      <w:tr w:rsidR="005062A3" w:rsidRPr="002E26D2" w14:paraId="4F3CBB94"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2604F23F"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Midori green</w:t>
            </w:r>
          </w:p>
        </w:tc>
        <w:tc>
          <w:tcPr>
            <w:tcW w:w="3776" w:type="dxa"/>
            <w:noWrap/>
          </w:tcPr>
          <w:p w14:paraId="26CE310E"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Bulldog-Bio, USA</w:t>
            </w:r>
          </w:p>
        </w:tc>
      </w:tr>
      <w:tr w:rsidR="005062A3" w:rsidRPr="002E26D2" w14:paraId="655AF777"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67F50045"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MitoTracker™ </w:t>
            </w:r>
            <w:r>
              <w:rPr>
                <w:rFonts w:ascii="Times New Roman" w:eastAsia="Times New Roman" w:hAnsi="Times New Roman" w:cs="Times New Roman"/>
                <w:color w:val="000000"/>
                <w:sz w:val="24"/>
                <w:szCs w:val="24"/>
              </w:rPr>
              <w:t>D</w:t>
            </w:r>
            <w:r w:rsidRPr="002E26D2">
              <w:rPr>
                <w:rFonts w:ascii="Times New Roman" w:eastAsia="Times New Roman" w:hAnsi="Times New Roman" w:cs="Times New Roman"/>
                <w:color w:val="000000"/>
                <w:sz w:val="24"/>
                <w:szCs w:val="24"/>
              </w:rPr>
              <w:t xml:space="preserve">eep </w:t>
            </w:r>
            <w:r>
              <w:rPr>
                <w:rFonts w:ascii="Times New Roman" w:eastAsia="Times New Roman" w:hAnsi="Times New Roman" w:cs="Times New Roman"/>
                <w:color w:val="000000"/>
                <w:sz w:val="24"/>
                <w:szCs w:val="24"/>
              </w:rPr>
              <w:t>R</w:t>
            </w:r>
            <w:r w:rsidRPr="002E26D2">
              <w:rPr>
                <w:rFonts w:ascii="Times New Roman" w:eastAsia="Times New Roman" w:hAnsi="Times New Roman" w:cs="Times New Roman"/>
                <w:color w:val="000000"/>
                <w:sz w:val="24"/>
                <w:szCs w:val="24"/>
              </w:rPr>
              <w:t>ed FM</w:t>
            </w:r>
          </w:p>
        </w:tc>
        <w:tc>
          <w:tcPr>
            <w:tcW w:w="3776" w:type="dxa"/>
            <w:noWrap/>
            <w:hideMark/>
          </w:tcPr>
          <w:p w14:paraId="3D18394C"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5062A3" w:rsidRPr="002E26D2" w14:paraId="741FCD6E"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6DD48EC8"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NEBuffer 3</w:t>
            </w:r>
          </w:p>
        </w:tc>
        <w:tc>
          <w:tcPr>
            <w:tcW w:w="3776" w:type="dxa"/>
            <w:noWrap/>
          </w:tcPr>
          <w:p w14:paraId="0E7686D8"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New England Biolabs, USA</w:t>
            </w:r>
          </w:p>
        </w:tc>
      </w:tr>
      <w:tr w:rsidR="005062A3" w:rsidRPr="002E26D2" w14:paraId="46E52F91"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0318E150" w14:textId="77ECA6AA" w:rsidR="000E15A3" w:rsidRPr="002E26D2" w:rsidRDefault="000E15A3" w:rsidP="000E15A3">
            <w:pPr>
              <w:spacing w:line="360" w:lineRule="auto"/>
              <w:jc w:val="both"/>
              <w:rPr>
                <w:rFonts w:ascii="Times New Roman" w:eastAsia="Times New Roman" w:hAnsi="Times New Roman" w:cs="Times New Roman"/>
                <w:color w:val="000000"/>
                <w:sz w:val="24"/>
                <w:szCs w:val="24"/>
              </w:rPr>
            </w:pPr>
            <w:bookmarkStart w:id="68" w:name="_Hlk97122539"/>
            <w:r w:rsidRPr="002E26D2">
              <w:rPr>
                <w:rFonts w:ascii="Times New Roman" w:hAnsi="Times New Roman" w:cs="Times New Roman"/>
                <w:sz w:val="24"/>
                <w:szCs w:val="24"/>
              </w:rPr>
              <w:t>NME6 human gene knockout kit (</w:t>
            </w:r>
            <w:bookmarkEnd w:id="68"/>
            <w:r w:rsidRPr="002E26D2">
              <w:rPr>
                <w:rFonts w:ascii="Times New Roman" w:hAnsi="Times New Roman" w:cs="Times New Roman"/>
                <w:sz w:val="24"/>
                <w:szCs w:val="24"/>
              </w:rPr>
              <w:t>CRISPR) KN200541BN</w:t>
            </w:r>
          </w:p>
        </w:tc>
        <w:tc>
          <w:tcPr>
            <w:tcW w:w="3776" w:type="dxa"/>
            <w:noWrap/>
          </w:tcPr>
          <w:p w14:paraId="6C886059"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Origene, USA</w:t>
            </w:r>
          </w:p>
        </w:tc>
      </w:tr>
      <w:tr w:rsidR="005062A3" w:rsidRPr="002E26D2" w14:paraId="242B97BF"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615EBA8B"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Pierce BCA protein assay kit</w:t>
            </w:r>
          </w:p>
        </w:tc>
        <w:tc>
          <w:tcPr>
            <w:tcW w:w="3776" w:type="dxa"/>
            <w:noWrap/>
          </w:tcPr>
          <w:p w14:paraId="0A2763C8"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5062A3" w:rsidRPr="002E26D2" w14:paraId="3A305C72"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76934AF"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PK, Pyruvate kinase enzyme</w:t>
            </w:r>
          </w:p>
        </w:tc>
        <w:tc>
          <w:tcPr>
            <w:tcW w:w="3776" w:type="dxa"/>
            <w:noWrap/>
            <w:hideMark/>
          </w:tcPr>
          <w:p w14:paraId="5A16DD30"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 Aldrich, USA</w:t>
            </w:r>
          </w:p>
        </w:tc>
      </w:tr>
      <w:tr w:rsidR="005062A3" w:rsidRPr="002E26D2" w14:paraId="6CF97F3C"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6C574B5E"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Precision plus protein dual color standard</w:t>
            </w:r>
          </w:p>
        </w:tc>
        <w:tc>
          <w:tcPr>
            <w:tcW w:w="3776" w:type="dxa"/>
            <w:noWrap/>
          </w:tcPr>
          <w:p w14:paraId="6BF339B3"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Bio-Rad, USA</w:t>
            </w:r>
          </w:p>
        </w:tc>
      </w:tr>
      <w:tr w:rsidR="005062A3" w:rsidRPr="002E26D2" w14:paraId="589FAE2E"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3A9320B3"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Protein assay dye reagent concentrate</w:t>
            </w:r>
          </w:p>
        </w:tc>
        <w:tc>
          <w:tcPr>
            <w:tcW w:w="3776" w:type="dxa"/>
            <w:noWrap/>
            <w:hideMark/>
          </w:tcPr>
          <w:p w14:paraId="395A4F44"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Bio-Rad, USA</w:t>
            </w:r>
          </w:p>
        </w:tc>
      </w:tr>
      <w:tr w:rsidR="005062A3" w:rsidRPr="002E26D2" w14:paraId="76D54DBF"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00EA09AF"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QIAprep spin miniprep kit</w:t>
            </w:r>
          </w:p>
        </w:tc>
        <w:tc>
          <w:tcPr>
            <w:tcW w:w="3776" w:type="dxa"/>
            <w:noWrap/>
          </w:tcPr>
          <w:p w14:paraId="2D82326D"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Qiagen, Germany</w:t>
            </w:r>
          </w:p>
        </w:tc>
      </w:tr>
      <w:tr w:rsidR="005062A3" w:rsidRPr="002E26D2" w14:paraId="6A408962"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0148F08"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QIAquick gel extraction kit</w:t>
            </w:r>
          </w:p>
        </w:tc>
        <w:tc>
          <w:tcPr>
            <w:tcW w:w="3776" w:type="dxa"/>
            <w:noWrap/>
            <w:hideMark/>
          </w:tcPr>
          <w:p w14:paraId="5FC02B0D"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Qiagen, Germany</w:t>
            </w:r>
          </w:p>
        </w:tc>
      </w:tr>
      <w:tr w:rsidR="005062A3" w:rsidRPr="002E26D2" w14:paraId="45CC861D"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8E35183"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QIAquick PCR purification kit</w:t>
            </w:r>
          </w:p>
        </w:tc>
        <w:tc>
          <w:tcPr>
            <w:tcW w:w="3776" w:type="dxa"/>
            <w:noWrap/>
            <w:hideMark/>
          </w:tcPr>
          <w:p w14:paraId="53BAF16B"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Qiagen, Germany</w:t>
            </w:r>
          </w:p>
        </w:tc>
      </w:tr>
      <w:tr w:rsidR="005062A3" w:rsidRPr="002E26D2" w14:paraId="5F9546C8"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241E41F"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Restriction enzymes (XhoI, EcoRI, NdeI, BamHI)</w:t>
            </w:r>
          </w:p>
        </w:tc>
        <w:tc>
          <w:tcPr>
            <w:tcW w:w="3776" w:type="dxa"/>
            <w:noWrap/>
            <w:hideMark/>
          </w:tcPr>
          <w:p w14:paraId="44D94E15"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5062A3" w:rsidRPr="002E26D2" w14:paraId="6A583F46"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7CC9479C"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Supersignal west femto maximum sensitivity substrate</w:t>
            </w:r>
          </w:p>
        </w:tc>
        <w:tc>
          <w:tcPr>
            <w:tcW w:w="3776" w:type="dxa"/>
            <w:noWrap/>
            <w:hideMark/>
          </w:tcPr>
          <w:p w14:paraId="50CD2D86"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5062A3" w:rsidRPr="002E26D2" w14:paraId="259B12E5"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6805937"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Supersignal west pico chemiluminescent substrate</w:t>
            </w:r>
          </w:p>
        </w:tc>
        <w:tc>
          <w:tcPr>
            <w:tcW w:w="3776" w:type="dxa"/>
            <w:noWrap/>
            <w:hideMark/>
          </w:tcPr>
          <w:p w14:paraId="14EB6554"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5062A3" w:rsidRPr="002E26D2" w14:paraId="09BC833F"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930AAB1"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T4 DNA ligase</w:t>
            </w:r>
          </w:p>
        </w:tc>
        <w:tc>
          <w:tcPr>
            <w:tcW w:w="3776" w:type="dxa"/>
            <w:noWrap/>
            <w:hideMark/>
          </w:tcPr>
          <w:p w14:paraId="6B11176C"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New England Biolabs, USA</w:t>
            </w:r>
          </w:p>
        </w:tc>
      </w:tr>
      <w:tr w:rsidR="005062A3" w:rsidRPr="002E26D2" w14:paraId="5EFBC636"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2003C8DA"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T4 DNA ligase reaction buffer 10</w:t>
            </w:r>
            <w:r w:rsidRPr="002E26D2">
              <w:rPr>
                <w:rFonts w:ascii="Times New Roman" w:hAnsi="Times New Roman" w:cs="Times New Roman"/>
                <w:sz w:val="24"/>
                <w:szCs w:val="24"/>
              </w:rPr>
              <w:t>×</w:t>
            </w:r>
          </w:p>
        </w:tc>
        <w:tc>
          <w:tcPr>
            <w:tcW w:w="3776" w:type="dxa"/>
            <w:noWrap/>
            <w:hideMark/>
          </w:tcPr>
          <w:p w14:paraId="4C3D192E"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New England Biolabs, USA</w:t>
            </w:r>
          </w:p>
        </w:tc>
      </w:tr>
      <w:tr w:rsidR="005062A3" w:rsidRPr="002E26D2" w14:paraId="1C85C157"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7BEFF0E9"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Talon metal affinity resin</w:t>
            </w:r>
          </w:p>
        </w:tc>
        <w:tc>
          <w:tcPr>
            <w:tcW w:w="3776" w:type="dxa"/>
            <w:noWrap/>
          </w:tcPr>
          <w:p w14:paraId="3EFA1F0B"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TakaraBio, Europe</w:t>
            </w:r>
          </w:p>
        </w:tc>
      </w:tr>
      <w:tr w:rsidR="005062A3" w:rsidRPr="002E26D2" w14:paraId="416CF5BA"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5256E000"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Thrombin sepharose beads</w:t>
            </w:r>
          </w:p>
        </w:tc>
        <w:tc>
          <w:tcPr>
            <w:tcW w:w="3776" w:type="dxa"/>
            <w:noWrap/>
            <w:hideMark/>
          </w:tcPr>
          <w:p w14:paraId="69DC3F15"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BioVision, USA</w:t>
            </w:r>
          </w:p>
        </w:tc>
      </w:tr>
      <w:tr w:rsidR="005062A3" w:rsidRPr="002E26D2" w14:paraId="46BFEC0E" w14:textId="77777777" w:rsidTr="005062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240" w:type="dxa"/>
            <w:noWrap/>
          </w:tcPr>
          <w:p w14:paraId="0C1BA608"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Turbofect</w:t>
            </w:r>
            <w:r>
              <w:rPr>
                <w:rFonts w:ascii="Times New Roman" w:eastAsia="Times New Roman" w:hAnsi="Times New Roman" w:cs="Times New Roman"/>
                <w:color w:val="000000"/>
                <w:sz w:val="24"/>
                <w:szCs w:val="24"/>
              </w:rPr>
              <w:t xml:space="preserve"> transfection reagent</w:t>
            </w:r>
          </w:p>
        </w:tc>
        <w:tc>
          <w:tcPr>
            <w:tcW w:w="3776" w:type="dxa"/>
            <w:noWrap/>
          </w:tcPr>
          <w:p w14:paraId="1BBD42FF" w14:textId="77777777" w:rsidR="000E15A3" w:rsidRPr="002E26D2" w:rsidRDefault="000E15A3" w:rsidP="000E15A3">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w:t>
            </w:r>
          </w:p>
        </w:tc>
      </w:tr>
      <w:tr w:rsidR="005062A3" w:rsidRPr="002E26D2" w14:paraId="5FA38DA8" w14:textId="77777777" w:rsidTr="005062A3">
        <w:trPr>
          <w:trHeight w:val="300"/>
        </w:trPr>
        <w:tc>
          <w:tcPr>
            <w:cnfStyle w:val="001000000000" w:firstRow="0" w:lastRow="0" w:firstColumn="1" w:lastColumn="0" w:oddVBand="0" w:evenVBand="0" w:oddHBand="0" w:evenHBand="0" w:firstRowFirstColumn="0" w:firstRowLastColumn="0" w:lastRowFirstColumn="0" w:lastRowLastColumn="0"/>
            <w:tcW w:w="5240" w:type="dxa"/>
            <w:noWrap/>
            <w:hideMark/>
          </w:tcPr>
          <w:p w14:paraId="4BCFB080" w14:textId="77777777" w:rsidR="000E15A3" w:rsidRPr="002E26D2" w:rsidRDefault="000E15A3" w:rsidP="000E15A3">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Western lighting plus ECL enhanced chemiluminescent substrate</w:t>
            </w:r>
          </w:p>
        </w:tc>
        <w:tc>
          <w:tcPr>
            <w:tcW w:w="3776" w:type="dxa"/>
            <w:noWrap/>
            <w:hideMark/>
          </w:tcPr>
          <w:p w14:paraId="79B2E90D" w14:textId="77777777" w:rsidR="000E15A3" w:rsidRPr="002E26D2" w:rsidRDefault="000E15A3" w:rsidP="000E15A3">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PerkinElmer, USA</w:t>
            </w:r>
          </w:p>
        </w:tc>
      </w:tr>
    </w:tbl>
    <w:p w14:paraId="01B3E85B" w14:textId="77777777" w:rsidR="000B3AF7" w:rsidRPr="002E26D2" w:rsidRDefault="000B3AF7" w:rsidP="004927BB">
      <w:pPr>
        <w:spacing w:line="360" w:lineRule="auto"/>
        <w:jc w:val="both"/>
        <w:rPr>
          <w:rFonts w:ascii="Times New Roman" w:hAnsi="Times New Roman" w:cs="Times New Roman"/>
          <w:sz w:val="24"/>
          <w:szCs w:val="24"/>
        </w:rPr>
      </w:pPr>
    </w:p>
    <w:p w14:paraId="30376EED" w14:textId="4D8B628C" w:rsidR="000B3AF7" w:rsidRDefault="000B3AF7" w:rsidP="004927BB">
      <w:pPr>
        <w:spacing w:line="360" w:lineRule="auto"/>
        <w:jc w:val="both"/>
        <w:rPr>
          <w:rFonts w:ascii="Times New Roman" w:hAnsi="Times New Roman" w:cs="Times New Roman"/>
          <w:sz w:val="24"/>
          <w:szCs w:val="24"/>
        </w:rPr>
      </w:pPr>
    </w:p>
    <w:p w14:paraId="77506E05" w14:textId="3A4AA8E1" w:rsidR="00431192" w:rsidRDefault="00431192" w:rsidP="004927BB">
      <w:pPr>
        <w:spacing w:line="360" w:lineRule="auto"/>
        <w:jc w:val="both"/>
        <w:rPr>
          <w:rFonts w:ascii="Times New Roman" w:hAnsi="Times New Roman" w:cs="Times New Roman"/>
          <w:sz w:val="24"/>
          <w:szCs w:val="24"/>
        </w:rPr>
      </w:pPr>
    </w:p>
    <w:p w14:paraId="5D3D9EAC" w14:textId="0A4FD28E" w:rsidR="00431192" w:rsidRDefault="00431192" w:rsidP="004927BB">
      <w:pPr>
        <w:spacing w:line="360" w:lineRule="auto"/>
        <w:jc w:val="both"/>
        <w:rPr>
          <w:rFonts w:ascii="Times New Roman" w:hAnsi="Times New Roman" w:cs="Times New Roman"/>
          <w:sz w:val="24"/>
          <w:szCs w:val="24"/>
        </w:rPr>
      </w:pPr>
    </w:p>
    <w:p w14:paraId="334D5399" w14:textId="221AD22B" w:rsidR="00C929EC" w:rsidRDefault="00C929EC">
      <w:pPr>
        <w:rPr>
          <w:rFonts w:ascii="Times New Roman" w:hAnsi="Times New Roman" w:cs="Times New Roman"/>
          <w:sz w:val="24"/>
          <w:szCs w:val="24"/>
        </w:rPr>
      </w:pPr>
      <w:r>
        <w:rPr>
          <w:rFonts w:ascii="Times New Roman" w:hAnsi="Times New Roman" w:cs="Times New Roman"/>
          <w:sz w:val="24"/>
          <w:szCs w:val="24"/>
        </w:rPr>
        <w:br w:type="page"/>
      </w:r>
    </w:p>
    <w:p w14:paraId="605AD792" w14:textId="074E5823" w:rsidR="000517EA" w:rsidRPr="002E26D2" w:rsidRDefault="000517EA" w:rsidP="004927BB">
      <w:pPr>
        <w:pStyle w:val="Caption"/>
        <w:keepNext/>
        <w:spacing w:line="360" w:lineRule="auto"/>
        <w:rPr>
          <w:rFonts w:ascii="Times New Roman" w:hAnsi="Times New Roman" w:cs="Times New Roman"/>
          <w:sz w:val="24"/>
          <w:szCs w:val="24"/>
        </w:rPr>
      </w:pPr>
      <w:r w:rsidRPr="002E26D2">
        <w:rPr>
          <w:rFonts w:ascii="Times New Roman" w:hAnsi="Times New Roman" w:cs="Times New Roman"/>
          <w:sz w:val="24"/>
          <w:szCs w:val="24"/>
        </w:rPr>
        <w:lastRenderedPageBreak/>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7</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 Primary antibodies</w:t>
      </w:r>
    </w:p>
    <w:tbl>
      <w:tblPr>
        <w:tblStyle w:val="PlainTable1"/>
        <w:tblW w:w="5000" w:type="pct"/>
        <w:tblLayout w:type="fixed"/>
        <w:tblLook w:val="04A0" w:firstRow="1" w:lastRow="0" w:firstColumn="1" w:lastColumn="0" w:noHBand="0" w:noVBand="1"/>
      </w:tblPr>
      <w:tblGrid>
        <w:gridCol w:w="2829"/>
        <w:gridCol w:w="994"/>
        <w:gridCol w:w="1417"/>
        <w:gridCol w:w="3776"/>
      </w:tblGrid>
      <w:tr w:rsidR="000B3AF7" w:rsidRPr="002E26D2" w14:paraId="5C8D1AED" w14:textId="77777777" w:rsidTr="2ACD72A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59A75057"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Primary Antibodies</w:t>
            </w:r>
          </w:p>
        </w:tc>
        <w:tc>
          <w:tcPr>
            <w:tcW w:w="551" w:type="pct"/>
            <w:noWrap/>
            <w:hideMark/>
          </w:tcPr>
          <w:p w14:paraId="02C1F612" w14:textId="77777777" w:rsidR="000B3AF7" w:rsidRPr="002E26D2" w:rsidRDefault="000B3AF7"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Host</w:t>
            </w:r>
          </w:p>
        </w:tc>
        <w:tc>
          <w:tcPr>
            <w:tcW w:w="786" w:type="pct"/>
            <w:noWrap/>
            <w:hideMark/>
          </w:tcPr>
          <w:p w14:paraId="6609C98F" w14:textId="77777777" w:rsidR="000B3AF7" w:rsidRPr="002E26D2" w:rsidRDefault="000B3AF7"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Reference</w:t>
            </w:r>
          </w:p>
        </w:tc>
        <w:tc>
          <w:tcPr>
            <w:tcW w:w="2094" w:type="pct"/>
            <w:noWrap/>
            <w:hideMark/>
          </w:tcPr>
          <w:p w14:paraId="2086558F" w14:textId="77777777" w:rsidR="000B3AF7" w:rsidRPr="002E26D2" w:rsidRDefault="000B3AF7"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Manufacturer</w:t>
            </w:r>
          </w:p>
        </w:tc>
      </w:tr>
      <w:tr w:rsidR="000B3AF7" w:rsidRPr="00471728" w14:paraId="6764B652"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2C4ED6FB"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1-pHis</w:t>
            </w:r>
          </w:p>
        </w:tc>
        <w:tc>
          <w:tcPr>
            <w:tcW w:w="551" w:type="pct"/>
            <w:noWrap/>
            <w:hideMark/>
          </w:tcPr>
          <w:p w14:paraId="679A2FB3"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2124E209"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SC1-1</w:t>
            </w:r>
          </w:p>
        </w:tc>
        <w:tc>
          <w:tcPr>
            <w:tcW w:w="2094" w:type="pct"/>
            <w:noWrap/>
            <w:hideMark/>
          </w:tcPr>
          <w:p w14:paraId="1F003E5A"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Hunter Lab, La Jolla, CA, USA, Salk</w:t>
            </w:r>
          </w:p>
        </w:tc>
      </w:tr>
      <w:tr w:rsidR="000B3AF7" w:rsidRPr="00471728" w14:paraId="1A15888F"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1DB34766"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3-pHis</w:t>
            </w:r>
          </w:p>
        </w:tc>
        <w:tc>
          <w:tcPr>
            <w:tcW w:w="551" w:type="pct"/>
            <w:noWrap/>
            <w:hideMark/>
          </w:tcPr>
          <w:p w14:paraId="01C6E535"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4653CADD"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SC44-1</w:t>
            </w:r>
          </w:p>
        </w:tc>
        <w:tc>
          <w:tcPr>
            <w:tcW w:w="2094" w:type="pct"/>
            <w:noWrap/>
            <w:hideMark/>
          </w:tcPr>
          <w:p w14:paraId="179A6B5D"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fr-FR"/>
              </w:rPr>
            </w:pPr>
            <w:r w:rsidRPr="002E26D2">
              <w:rPr>
                <w:rFonts w:ascii="Times New Roman" w:eastAsia="Times New Roman" w:hAnsi="Times New Roman" w:cs="Times New Roman"/>
                <w:color w:val="000000"/>
                <w:sz w:val="24"/>
                <w:szCs w:val="24"/>
                <w:lang w:val="fr-FR"/>
              </w:rPr>
              <w:t>Hunter Lab, La Jolla, CA, USA, Salk</w:t>
            </w:r>
          </w:p>
        </w:tc>
      </w:tr>
      <w:tr w:rsidR="000B3AF7" w:rsidRPr="002E26D2" w14:paraId="1D06B52D"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47248B26" w14:textId="36F0A2E1"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6</w:t>
            </w:r>
            <w:r w:rsidR="00C6769A" w:rsidRPr="002E26D2">
              <w:rPr>
                <w:rFonts w:ascii="Times New Roman" w:hAnsi="Times New Roman" w:cs="Times New Roman"/>
                <w:sz w:val="24"/>
                <w:szCs w:val="24"/>
              </w:rPr>
              <w:t>×</w:t>
            </w:r>
            <w:r w:rsidRPr="002E26D2">
              <w:rPr>
                <w:rFonts w:ascii="Times New Roman" w:eastAsia="Times New Roman" w:hAnsi="Times New Roman" w:cs="Times New Roman"/>
                <w:color w:val="000000"/>
                <w:sz w:val="24"/>
                <w:szCs w:val="24"/>
              </w:rPr>
              <w:t xml:space="preserve"> His</w:t>
            </w:r>
            <w:r w:rsidR="00E913D6">
              <w:rPr>
                <w:rFonts w:ascii="Times New Roman" w:eastAsia="Times New Roman" w:hAnsi="Times New Roman" w:cs="Times New Roman"/>
                <w:color w:val="000000"/>
                <w:sz w:val="24"/>
                <w:szCs w:val="24"/>
              </w:rPr>
              <w:t>-</w:t>
            </w:r>
            <w:r w:rsidRPr="002E26D2">
              <w:rPr>
                <w:rFonts w:ascii="Times New Roman" w:eastAsia="Times New Roman" w:hAnsi="Times New Roman" w:cs="Times New Roman"/>
                <w:color w:val="000000"/>
                <w:sz w:val="24"/>
                <w:szCs w:val="24"/>
              </w:rPr>
              <w:t>tag</w:t>
            </w:r>
          </w:p>
        </w:tc>
        <w:tc>
          <w:tcPr>
            <w:tcW w:w="551" w:type="pct"/>
            <w:noWrap/>
            <w:hideMark/>
          </w:tcPr>
          <w:p w14:paraId="5FFB094B"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3CA06FF1"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ab18184</w:t>
            </w:r>
          </w:p>
        </w:tc>
        <w:tc>
          <w:tcPr>
            <w:tcW w:w="2094" w:type="pct"/>
            <w:noWrap/>
            <w:hideMark/>
          </w:tcPr>
          <w:p w14:paraId="71F34764"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0B3AF7" w:rsidRPr="002E26D2" w14:paraId="20FE3493"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25613DEA"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AK2</w:t>
            </w:r>
          </w:p>
        </w:tc>
        <w:tc>
          <w:tcPr>
            <w:tcW w:w="551" w:type="pct"/>
            <w:noWrap/>
            <w:hideMark/>
          </w:tcPr>
          <w:p w14:paraId="1E910730"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3CCD735C"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AP8134B</w:t>
            </w:r>
          </w:p>
        </w:tc>
        <w:tc>
          <w:tcPr>
            <w:tcW w:w="2094" w:type="pct"/>
            <w:noWrap/>
            <w:hideMark/>
          </w:tcPr>
          <w:p w14:paraId="30CF6FBB"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Abgent, USA</w:t>
            </w:r>
          </w:p>
        </w:tc>
      </w:tr>
      <w:tr w:rsidR="000B3AF7" w:rsidRPr="002E26D2" w14:paraId="2824A411"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5333A47F"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ANT</w:t>
            </w:r>
          </w:p>
        </w:tc>
        <w:tc>
          <w:tcPr>
            <w:tcW w:w="551" w:type="pct"/>
            <w:noWrap/>
            <w:hideMark/>
          </w:tcPr>
          <w:p w14:paraId="7F3A85B5"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03286E56"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ab110322</w:t>
            </w:r>
          </w:p>
        </w:tc>
        <w:tc>
          <w:tcPr>
            <w:tcW w:w="2094" w:type="pct"/>
            <w:noWrap/>
            <w:hideMark/>
          </w:tcPr>
          <w:p w14:paraId="411D9D34"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0B3AF7" w:rsidRPr="002E26D2" w14:paraId="7E5AAE79" w14:textId="77777777" w:rsidTr="2ACD72AF">
        <w:trPr>
          <w:trHeight w:val="765"/>
        </w:trPr>
        <w:tc>
          <w:tcPr>
            <w:cnfStyle w:val="001000000000" w:firstRow="0" w:lastRow="0" w:firstColumn="1" w:lastColumn="0" w:oddVBand="0" w:evenVBand="0" w:oddHBand="0" w:evenHBand="0" w:firstRowFirstColumn="0" w:firstRowLastColumn="0" w:lastRowFirstColumn="0" w:lastRowLastColumn="0"/>
            <w:tcW w:w="1569" w:type="pct"/>
            <w:hideMark/>
          </w:tcPr>
          <w:p w14:paraId="20B6F84B"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Antibody cocktail apoptosis (Cytochrome C, GAPDH, PDH-E1 α, ATP synthase α)</w:t>
            </w:r>
          </w:p>
        </w:tc>
        <w:tc>
          <w:tcPr>
            <w:tcW w:w="551" w:type="pct"/>
            <w:noWrap/>
            <w:hideMark/>
          </w:tcPr>
          <w:p w14:paraId="2660201A"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50BC4A87"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ab110415</w:t>
            </w:r>
          </w:p>
        </w:tc>
        <w:tc>
          <w:tcPr>
            <w:tcW w:w="2094" w:type="pct"/>
            <w:noWrap/>
            <w:hideMark/>
          </w:tcPr>
          <w:p w14:paraId="62840903"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0B3AF7" w:rsidRPr="002E26D2" w14:paraId="29E823CA"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hideMark/>
          </w:tcPr>
          <w:p w14:paraId="77E457DB"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Antibody cocktail OXPHOS (CI-NDUFA9, CII-SDHA, CIII-UQCRC2, CIV-COX IV, CV-ATP5A)</w:t>
            </w:r>
          </w:p>
        </w:tc>
        <w:tc>
          <w:tcPr>
            <w:tcW w:w="551" w:type="pct"/>
            <w:noWrap/>
            <w:hideMark/>
          </w:tcPr>
          <w:p w14:paraId="0E0B6F29"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67B44272"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ab110412</w:t>
            </w:r>
          </w:p>
        </w:tc>
        <w:tc>
          <w:tcPr>
            <w:tcW w:w="2094" w:type="pct"/>
            <w:noWrap/>
            <w:hideMark/>
          </w:tcPr>
          <w:p w14:paraId="0966055B"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0B3AF7" w:rsidRPr="002E26D2" w14:paraId="2A761984"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49B1CAE8"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Calreticulin</w:t>
            </w:r>
          </w:p>
        </w:tc>
        <w:tc>
          <w:tcPr>
            <w:tcW w:w="551" w:type="pct"/>
            <w:noWrap/>
            <w:hideMark/>
          </w:tcPr>
          <w:p w14:paraId="44C20DE8"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639C5F23"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C41720</w:t>
            </w:r>
          </w:p>
        </w:tc>
        <w:tc>
          <w:tcPr>
            <w:tcW w:w="2094" w:type="pct"/>
            <w:noWrap/>
            <w:hideMark/>
          </w:tcPr>
          <w:p w14:paraId="00FAA41A"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BD Biosciences, USA</w:t>
            </w:r>
          </w:p>
        </w:tc>
      </w:tr>
      <w:tr w:rsidR="000B3AF7" w:rsidRPr="002E26D2" w14:paraId="64F991A6"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0FBDACE8"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Drp1</w:t>
            </w:r>
          </w:p>
        </w:tc>
        <w:tc>
          <w:tcPr>
            <w:tcW w:w="551" w:type="pct"/>
            <w:noWrap/>
            <w:hideMark/>
          </w:tcPr>
          <w:p w14:paraId="7A9EF7FD"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3F9C93D8"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8570s</w:t>
            </w:r>
          </w:p>
        </w:tc>
        <w:tc>
          <w:tcPr>
            <w:tcW w:w="2094" w:type="pct"/>
            <w:noWrap/>
            <w:hideMark/>
          </w:tcPr>
          <w:p w14:paraId="74E08920"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Signaling Technology, USA</w:t>
            </w:r>
          </w:p>
        </w:tc>
      </w:tr>
      <w:tr w:rsidR="000B3AF7" w:rsidRPr="002E26D2" w14:paraId="0C8147FC"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5555856A"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FLAG M2</w:t>
            </w:r>
          </w:p>
        </w:tc>
        <w:tc>
          <w:tcPr>
            <w:tcW w:w="551" w:type="pct"/>
            <w:noWrap/>
            <w:hideMark/>
          </w:tcPr>
          <w:p w14:paraId="4CEC13DD"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17C2F5C1"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F1804</w:t>
            </w:r>
          </w:p>
        </w:tc>
        <w:tc>
          <w:tcPr>
            <w:tcW w:w="2094" w:type="pct"/>
            <w:noWrap/>
            <w:hideMark/>
          </w:tcPr>
          <w:p w14:paraId="2D5AB93E"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Sigma-Aldrich, USA</w:t>
            </w:r>
          </w:p>
        </w:tc>
      </w:tr>
      <w:tr w:rsidR="000B3AF7" w:rsidRPr="002E26D2" w14:paraId="2C4559CF"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56B33476"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FLAG M2</w:t>
            </w:r>
          </w:p>
        </w:tc>
        <w:tc>
          <w:tcPr>
            <w:tcW w:w="551" w:type="pct"/>
            <w:noWrap/>
            <w:hideMark/>
          </w:tcPr>
          <w:p w14:paraId="33F06943"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2902F360"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8146s</w:t>
            </w:r>
          </w:p>
        </w:tc>
        <w:tc>
          <w:tcPr>
            <w:tcW w:w="2094" w:type="pct"/>
            <w:noWrap/>
            <w:hideMark/>
          </w:tcPr>
          <w:p w14:paraId="713F8104"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Signaling Technology, USA</w:t>
            </w:r>
          </w:p>
        </w:tc>
      </w:tr>
      <w:tr w:rsidR="000B3AF7" w:rsidRPr="002E26D2" w14:paraId="33021214"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7B932EA4"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Histone H3</w:t>
            </w:r>
          </w:p>
        </w:tc>
        <w:tc>
          <w:tcPr>
            <w:tcW w:w="551" w:type="pct"/>
            <w:noWrap/>
            <w:hideMark/>
          </w:tcPr>
          <w:p w14:paraId="58713E9D"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0B7C02C0"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ab1791</w:t>
            </w:r>
          </w:p>
        </w:tc>
        <w:tc>
          <w:tcPr>
            <w:tcW w:w="2094" w:type="pct"/>
            <w:noWrap/>
            <w:hideMark/>
          </w:tcPr>
          <w:p w14:paraId="2F8240F0"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0B3AF7" w:rsidRPr="002E26D2" w14:paraId="5866EF37"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717C4967"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Histone H3</w:t>
            </w:r>
          </w:p>
        </w:tc>
        <w:tc>
          <w:tcPr>
            <w:tcW w:w="551" w:type="pct"/>
            <w:noWrap/>
            <w:hideMark/>
          </w:tcPr>
          <w:p w14:paraId="4818E0D7"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7D766BA6"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#14269</w:t>
            </w:r>
          </w:p>
        </w:tc>
        <w:tc>
          <w:tcPr>
            <w:tcW w:w="2094" w:type="pct"/>
            <w:noWrap/>
            <w:hideMark/>
          </w:tcPr>
          <w:p w14:paraId="430CAD73"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Signaling Technology, USA</w:t>
            </w:r>
          </w:p>
        </w:tc>
      </w:tr>
      <w:tr w:rsidR="000B3AF7" w:rsidRPr="002E26D2" w14:paraId="4ABF666C"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tcPr>
          <w:p w14:paraId="7FF3F408"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Irrelevant IgG</w:t>
            </w:r>
          </w:p>
        </w:tc>
        <w:tc>
          <w:tcPr>
            <w:tcW w:w="551" w:type="pct"/>
            <w:noWrap/>
          </w:tcPr>
          <w:p w14:paraId="4CE5DC0E"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tcPr>
          <w:p w14:paraId="2937D663"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556648</w:t>
            </w:r>
          </w:p>
        </w:tc>
        <w:tc>
          <w:tcPr>
            <w:tcW w:w="2094" w:type="pct"/>
            <w:noWrap/>
          </w:tcPr>
          <w:p w14:paraId="5E284A83"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BD Biosciences, USA</w:t>
            </w:r>
          </w:p>
        </w:tc>
      </w:tr>
      <w:tr w:rsidR="000B3AF7" w:rsidRPr="002E26D2" w14:paraId="77D5989D"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2BC9071D"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Irrelevant IgG</w:t>
            </w:r>
          </w:p>
        </w:tc>
        <w:tc>
          <w:tcPr>
            <w:tcW w:w="551" w:type="pct"/>
            <w:noWrap/>
            <w:hideMark/>
          </w:tcPr>
          <w:p w14:paraId="5A22C11F"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02579716"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2729p</w:t>
            </w:r>
          </w:p>
        </w:tc>
        <w:tc>
          <w:tcPr>
            <w:tcW w:w="2094" w:type="pct"/>
            <w:noWrap/>
            <w:hideMark/>
          </w:tcPr>
          <w:p w14:paraId="754BCBC7"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Signaling Technology, USA</w:t>
            </w:r>
          </w:p>
        </w:tc>
      </w:tr>
      <w:tr w:rsidR="000B3AF7" w:rsidRPr="002E26D2" w14:paraId="23012D8C"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584CB199"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Lamp1</w:t>
            </w:r>
          </w:p>
        </w:tc>
        <w:tc>
          <w:tcPr>
            <w:tcW w:w="551" w:type="pct"/>
            <w:noWrap/>
            <w:hideMark/>
          </w:tcPr>
          <w:p w14:paraId="11463073"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4CBD548A"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15665</w:t>
            </w:r>
          </w:p>
        </w:tc>
        <w:tc>
          <w:tcPr>
            <w:tcW w:w="2094" w:type="pct"/>
            <w:noWrap/>
            <w:hideMark/>
          </w:tcPr>
          <w:p w14:paraId="166104C8"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Signaling Technology, USA</w:t>
            </w:r>
          </w:p>
        </w:tc>
      </w:tr>
      <w:tr w:rsidR="000B3AF7" w:rsidRPr="002E26D2" w14:paraId="319C74BC"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7F3D12DF"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MFN1</w:t>
            </w:r>
          </w:p>
        </w:tc>
        <w:tc>
          <w:tcPr>
            <w:tcW w:w="551" w:type="pct"/>
            <w:noWrap/>
            <w:hideMark/>
          </w:tcPr>
          <w:p w14:paraId="6509EBFF"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48AF808F"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ab56889</w:t>
            </w:r>
          </w:p>
        </w:tc>
        <w:tc>
          <w:tcPr>
            <w:tcW w:w="2094" w:type="pct"/>
            <w:noWrap/>
            <w:hideMark/>
          </w:tcPr>
          <w:p w14:paraId="0FE3CF82"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0B3AF7" w:rsidRPr="002E26D2" w14:paraId="14B0FAE2"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5A372736"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MFN2</w:t>
            </w:r>
          </w:p>
        </w:tc>
        <w:tc>
          <w:tcPr>
            <w:tcW w:w="551" w:type="pct"/>
            <w:noWrap/>
            <w:hideMark/>
          </w:tcPr>
          <w:p w14:paraId="10E8376F"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37A3579F"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ab57602</w:t>
            </w:r>
          </w:p>
        </w:tc>
        <w:tc>
          <w:tcPr>
            <w:tcW w:w="2094" w:type="pct"/>
            <w:noWrap/>
            <w:hideMark/>
          </w:tcPr>
          <w:p w14:paraId="10652E61"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0B3AF7" w:rsidRPr="002E26D2" w14:paraId="3A57893A"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64957A0E" w14:textId="77777777"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Na</w:t>
            </w:r>
            <w:r w:rsidRPr="002E26D2">
              <w:rPr>
                <w:rFonts w:ascii="Times New Roman" w:eastAsia="Times New Roman" w:hAnsi="Times New Roman" w:cs="Times New Roman"/>
                <w:color w:val="000000"/>
                <w:sz w:val="24"/>
                <w:szCs w:val="24"/>
                <w:vertAlign w:val="superscript"/>
              </w:rPr>
              <w:t>+</w:t>
            </w:r>
            <w:r w:rsidRPr="002E26D2">
              <w:rPr>
                <w:rFonts w:ascii="Times New Roman" w:eastAsia="Times New Roman" w:hAnsi="Times New Roman" w:cs="Times New Roman"/>
                <w:color w:val="000000"/>
                <w:sz w:val="24"/>
                <w:szCs w:val="24"/>
              </w:rPr>
              <w:t>K</w:t>
            </w:r>
            <w:r w:rsidRPr="002E26D2">
              <w:rPr>
                <w:rFonts w:ascii="Times New Roman" w:eastAsia="Times New Roman" w:hAnsi="Times New Roman" w:cs="Times New Roman"/>
                <w:color w:val="000000"/>
                <w:sz w:val="24"/>
                <w:szCs w:val="24"/>
                <w:vertAlign w:val="superscript"/>
              </w:rPr>
              <w:t>+</w:t>
            </w:r>
            <w:r w:rsidRPr="002E26D2">
              <w:rPr>
                <w:rFonts w:ascii="Times New Roman" w:eastAsia="Times New Roman" w:hAnsi="Times New Roman" w:cs="Times New Roman"/>
                <w:color w:val="000000"/>
                <w:sz w:val="24"/>
                <w:szCs w:val="24"/>
              </w:rPr>
              <w:t xml:space="preserve"> ATPase</w:t>
            </w:r>
          </w:p>
        </w:tc>
        <w:tc>
          <w:tcPr>
            <w:tcW w:w="551" w:type="pct"/>
            <w:noWrap/>
            <w:hideMark/>
          </w:tcPr>
          <w:p w14:paraId="55784FA4"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03941748"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05-369</w:t>
            </w:r>
          </w:p>
        </w:tc>
        <w:tc>
          <w:tcPr>
            <w:tcW w:w="2094" w:type="pct"/>
            <w:noWrap/>
            <w:hideMark/>
          </w:tcPr>
          <w:p w14:paraId="634DCA52"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Merck Millipore, USA</w:t>
            </w:r>
          </w:p>
        </w:tc>
      </w:tr>
      <w:tr w:rsidR="000B3AF7" w:rsidRPr="002E26D2" w14:paraId="6E1F7290"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4B383CF4" w14:textId="512CCBFB"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w:t>
            </w:r>
            <w:r w:rsidR="00590FE3">
              <w:rPr>
                <w:rFonts w:ascii="Times New Roman" w:eastAsia="Times New Roman" w:hAnsi="Times New Roman" w:cs="Times New Roman"/>
                <w:color w:val="000000"/>
                <w:sz w:val="24"/>
                <w:szCs w:val="24"/>
              </w:rPr>
              <w:t>ME</w:t>
            </w:r>
            <w:r w:rsidRPr="002E26D2">
              <w:rPr>
                <w:rFonts w:ascii="Times New Roman" w:eastAsia="Times New Roman" w:hAnsi="Times New Roman" w:cs="Times New Roman"/>
                <w:color w:val="000000"/>
                <w:sz w:val="24"/>
                <w:szCs w:val="24"/>
              </w:rPr>
              <w:t>1</w:t>
            </w:r>
          </w:p>
        </w:tc>
        <w:tc>
          <w:tcPr>
            <w:tcW w:w="551" w:type="pct"/>
            <w:noWrap/>
            <w:hideMark/>
          </w:tcPr>
          <w:p w14:paraId="47873009"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284AA97B"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OP48</w:t>
            </w:r>
          </w:p>
        </w:tc>
        <w:tc>
          <w:tcPr>
            <w:tcW w:w="2094" w:type="pct"/>
            <w:noWrap/>
            <w:hideMark/>
          </w:tcPr>
          <w:p w14:paraId="53548FDA"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Calbiochem, USA</w:t>
            </w:r>
          </w:p>
        </w:tc>
      </w:tr>
      <w:tr w:rsidR="000B3AF7" w:rsidRPr="002E26D2" w14:paraId="29E5ED72"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477AEC62" w14:textId="5227B92E" w:rsidR="000B3AF7" w:rsidRPr="002E26D2" w:rsidRDefault="000B3AF7"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w:t>
            </w:r>
            <w:r w:rsidR="00590FE3">
              <w:rPr>
                <w:rFonts w:ascii="Times New Roman" w:eastAsia="Times New Roman" w:hAnsi="Times New Roman" w:cs="Times New Roman"/>
                <w:color w:val="000000"/>
                <w:sz w:val="24"/>
                <w:szCs w:val="24"/>
              </w:rPr>
              <w:t>ME</w:t>
            </w:r>
            <w:r w:rsidRPr="002E26D2">
              <w:rPr>
                <w:rFonts w:ascii="Times New Roman" w:eastAsia="Times New Roman" w:hAnsi="Times New Roman" w:cs="Times New Roman"/>
                <w:color w:val="000000"/>
                <w:sz w:val="24"/>
                <w:szCs w:val="24"/>
              </w:rPr>
              <w:t>1</w:t>
            </w:r>
          </w:p>
        </w:tc>
        <w:tc>
          <w:tcPr>
            <w:tcW w:w="551" w:type="pct"/>
            <w:noWrap/>
            <w:hideMark/>
          </w:tcPr>
          <w:p w14:paraId="51CB3EFF"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7D3C9CD7"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UM800025</w:t>
            </w:r>
          </w:p>
        </w:tc>
        <w:tc>
          <w:tcPr>
            <w:tcW w:w="2094" w:type="pct"/>
            <w:noWrap/>
            <w:hideMark/>
          </w:tcPr>
          <w:p w14:paraId="1959ED01"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Origene, USA</w:t>
            </w:r>
          </w:p>
        </w:tc>
      </w:tr>
      <w:tr w:rsidR="000B3AF7" w:rsidRPr="002E26D2" w14:paraId="3C3942AD"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74D2FD16" w14:textId="28C5ACD4" w:rsidR="000B3AF7" w:rsidRPr="002E26D2" w:rsidRDefault="00590FE3"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NME1/2 </w:t>
            </w:r>
          </w:p>
        </w:tc>
        <w:tc>
          <w:tcPr>
            <w:tcW w:w="551" w:type="pct"/>
            <w:noWrap/>
            <w:hideMark/>
          </w:tcPr>
          <w:p w14:paraId="5D442A8E"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1B216347" w14:textId="576E6697" w:rsidR="000B3AF7" w:rsidRPr="002E26D2" w:rsidRDefault="000B3AF7" w:rsidP="00C929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w:t>
            </w:r>
          </w:p>
        </w:tc>
        <w:tc>
          <w:tcPr>
            <w:tcW w:w="2094" w:type="pct"/>
            <w:noWrap/>
            <w:hideMark/>
          </w:tcPr>
          <w:p w14:paraId="6AEA5E87"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Gift from Dr. I. Lascu and Dr. S. Volarević</w:t>
            </w:r>
          </w:p>
        </w:tc>
      </w:tr>
      <w:tr w:rsidR="00C929EC" w:rsidRPr="002E26D2" w14:paraId="59528B3C" w14:textId="77777777" w:rsidTr="2ACD72AF">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5000" w:type="pct"/>
            <w:gridSpan w:val="4"/>
            <w:tcBorders>
              <w:top w:val="nil"/>
              <w:left w:val="nil"/>
              <w:right w:val="nil"/>
            </w:tcBorders>
            <w:shd w:val="clear" w:color="auto" w:fill="FFFFFF" w:themeFill="background1"/>
            <w:noWrap/>
          </w:tcPr>
          <w:p w14:paraId="38E58CAD" w14:textId="59A48BE8" w:rsidR="00C929EC" w:rsidRPr="00C929EC" w:rsidRDefault="00C929EC" w:rsidP="004927BB">
            <w:pPr>
              <w:spacing w:line="360" w:lineRule="auto"/>
              <w:jc w:val="both"/>
              <w:rPr>
                <w:rFonts w:ascii="Times New Roman" w:eastAsia="Times New Roman" w:hAnsi="Times New Roman" w:cs="Times New Roman"/>
                <w:b w:val="0"/>
                <w:i/>
                <w:color w:val="000000"/>
                <w:sz w:val="24"/>
                <w:szCs w:val="24"/>
              </w:rPr>
            </w:pPr>
            <w:r w:rsidRPr="00C929EC">
              <w:rPr>
                <w:rFonts w:ascii="Times New Roman" w:hAnsi="Times New Roman" w:cs="Times New Roman"/>
                <w:b w:val="0"/>
                <w:i/>
                <w:sz w:val="24"/>
                <w:szCs w:val="24"/>
              </w:rPr>
              <w:lastRenderedPageBreak/>
              <w:t xml:space="preserve">Table </w:t>
            </w:r>
            <w:r w:rsidR="00B06E21">
              <w:rPr>
                <w:rFonts w:ascii="Times New Roman" w:hAnsi="Times New Roman" w:cs="Times New Roman"/>
                <w:b w:val="0"/>
                <w:i/>
                <w:sz w:val="24"/>
                <w:szCs w:val="24"/>
              </w:rPr>
              <w:t>7</w:t>
            </w:r>
            <w:r w:rsidRPr="00C929EC">
              <w:rPr>
                <w:rFonts w:ascii="Times New Roman" w:hAnsi="Times New Roman" w:cs="Times New Roman"/>
                <w:b w:val="0"/>
                <w:i/>
                <w:sz w:val="24"/>
                <w:szCs w:val="24"/>
              </w:rPr>
              <w:t xml:space="preserve"> :</w:t>
            </w:r>
            <w:r>
              <w:rPr>
                <w:rFonts w:ascii="Times New Roman" w:hAnsi="Times New Roman" w:cs="Times New Roman"/>
                <w:b w:val="0"/>
                <w:i/>
                <w:sz w:val="24"/>
                <w:szCs w:val="24"/>
              </w:rPr>
              <w:t xml:space="preserve"> - Continued -</w:t>
            </w:r>
            <w:r w:rsidRPr="00C929EC">
              <w:rPr>
                <w:rFonts w:ascii="Times New Roman" w:hAnsi="Times New Roman" w:cs="Times New Roman"/>
                <w:b w:val="0"/>
                <w:i/>
                <w:sz w:val="24"/>
                <w:szCs w:val="24"/>
              </w:rPr>
              <w:t xml:space="preserve"> Primary antibodies</w:t>
            </w:r>
          </w:p>
        </w:tc>
      </w:tr>
      <w:tr w:rsidR="00C929EC" w:rsidRPr="002E26D2" w14:paraId="4A40FAA5"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tcPr>
          <w:p w14:paraId="644CD497" w14:textId="4AE58C61"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Primary Antibodies</w:t>
            </w:r>
          </w:p>
        </w:tc>
        <w:tc>
          <w:tcPr>
            <w:tcW w:w="551" w:type="pct"/>
            <w:noWrap/>
          </w:tcPr>
          <w:p w14:paraId="72849E50" w14:textId="63473449" w:rsidR="00C929EC" w:rsidRPr="00C929EC"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rPr>
            </w:pPr>
            <w:r w:rsidRPr="00C929EC">
              <w:rPr>
                <w:rFonts w:ascii="Times New Roman" w:eastAsia="Times New Roman" w:hAnsi="Times New Roman" w:cs="Times New Roman"/>
                <w:b/>
                <w:color w:val="000000"/>
                <w:sz w:val="24"/>
                <w:szCs w:val="24"/>
              </w:rPr>
              <w:t>Host</w:t>
            </w:r>
          </w:p>
        </w:tc>
        <w:tc>
          <w:tcPr>
            <w:tcW w:w="786" w:type="pct"/>
            <w:noWrap/>
          </w:tcPr>
          <w:p w14:paraId="64BA4DC2" w14:textId="3DADC690" w:rsidR="00C929EC" w:rsidRPr="00C929EC"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rPr>
            </w:pPr>
            <w:r w:rsidRPr="00C929EC">
              <w:rPr>
                <w:rFonts w:ascii="Times New Roman" w:eastAsia="Times New Roman" w:hAnsi="Times New Roman" w:cs="Times New Roman"/>
                <w:b/>
                <w:color w:val="000000"/>
                <w:sz w:val="24"/>
                <w:szCs w:val="24"/>
              </w:rPr>
              <w:t>Reference</w:t>
            </w:r>
          </w:p>
        </w:tc>
        <w:tc>
          <w:tcPr>
            <w:tcW w:w="2094" w:type="pct"/>
            <w:noWrap/>
          </w:tcPr>
          <w:p w14:paraId="5A45FE7D" w14:textId="4EA74752" w:rsidR="00C929EC" w:rsidRPr="00C929EC"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24"/>
                <w:szCs w:val="24"/>
              </w:rPr>
            </w:pPr>
            <w:r w:rsidRPr="00C929EC">
              <w:rPr>
                <w:rFonts w:ascii="Times New Roman" w:eastAsia="Times New Roman" w:hAnsi="Times New Roman" w:cs="Times New Roman"/>
                <w:b/>
                <w:color w:val="000000"/>
                <w:sz w:val="24"/>
                <w:szCs w:val="24"/>
              </w:rPr>
              <w:t>Manufacturer</w:t>
            </w:r>
          </w:p>
        </w:tc>
      </w:tr>
      <w:tr w:rsidR="00C929EC" w:rsidRPr="002E26D2" w14:paraId="59EA49A6"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7BBFB465" w14:textId="6023FF72"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NME3</w:t>
            </w:r>
          </w:p>
        </w:tc>
        <w:tc>
          <w:tcPr>
            <w:tcW w:w="551" w:type="pct"/>
            <w:noWrap/>
            <w:hideMark/>
          </w:tcPr>
          <w:p w14:paraId="047886D3"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1ED8F125"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 xml:space="preserve">PA5-49708 </w:t>
            </w:r>
          </w:p>
        </w:tc>
        <w:tc>
          <w:tcPr>
            <w:tcW w:w="2094" w:type="pct"/>
            <w:noWrap/>
            <w:hideMark/>
          </w:tcPr>
          <w:p w14:paraId="03A7DD88"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Invitrogen, USA</w:t>
            </w:r>
          </w:p>
        </w:tc>
      </w:tr>
      <w:tr w:rsidR="00C929EC" w:rsidRPr="002E26D2" w14:paraId="0E08467F"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0C185BB2" w14:textId="39B119DC"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NME4</w:t>
            </w:r>
          </w:p>
        </w:tc>
        <w:tc>
          <w:tcPr>
            <w:tcW w:w="551" w:type="pct"/>
            <w:noWrap/>
            <w:hideMark/>
          </w:tcPr>
          <w:p w14:paraId="1D826ED8"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2FE30A45" w14:textId="77777777" w:rsidR="00C929EC" w:rsidRPr="002E26D2" w:rsidRDefault="00C929EC" w:rsidP="00C929E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w:t>
            </w:r>
          </w:p>
        </w:tc>
        <w:tc>
          <w:tcPr>
            <w:tcW w:w="2094" w:type="pct"/>
            <w:noWrap/>
            <w:hideMark/>
          </w:tcPr>
          <w:p w14:paraId="340DBC94"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Homemade</w:t>
            </w:r>
          </w:p>
        </w:tc>
      </w:tr>
      <w:tr w:rsidR="00C929EC" w:rsidRPr="002E26D2" w14:paraId="057646A9"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6E85299C" w14:textId="79AD0024"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NME4</w:t>
            </w:r>
          </w:p>
        </w:tc>
        <w:tc>
          <w:tcPr>
            <w:tcW w:w="551" w:type="pct"/>
            <w:noWrap/>
            <w:hideMark/>
          </w:tcPr>
          <w:p w14:paraId="059A3DB6"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093E224C"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HPA072588</w:t>
            </w:r>
          </w:p>
        </w:tc>
        <w:tc>
          <w:tcPr>
            <w:tcW w:w="2094" w:type="pct"/>
            <w:noWrap/>
            <w:hideMark/>
          </w:tcPr>
          <w:p w14:paraId="2FB67369"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Sigma-Aldrich, USA</w:t>
            </w:r>
          </w:p>
        </w:tc>
      </w:tr>
      <w:tr w:rsidR="00C929EC" w:rsidRPr="002E26D2" w14:paraId="407CF7EC"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258167C2" w14:textId="69B99998"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NME6</w:t>
            </w:r>
          </w:p>
        </w:tc>
        <w:tc>
          <w:tcPr>
            <w:tcW w:w="551" w:type="pct"/>
            <w:noWrap/>
            <w:hideMark/>
          </w:tcPr>
          <w:p w14:paraId="70765750"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0700901A"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HPA017909</w:t>
            </w:r>
          </w:p>
        </w:tc>
        <w:tc>
          <w:tcPr>
            <w:tcW w:w="2094" w:type="pct"/>
            <w:noWrap/>
            <w:hideMark/>
          </w:tcPr>
          <w:p w14:paraId="3BA4E89F"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Sigma-Aldrich, USA</w:t>
            </w:r>
          </w:p>
        </w:tc>
      </w:tr>
      <w:tr w:rsidR="00C929EC" w:rsidRPr="002E26D2" w14:paraId="227686AD"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1540029C" w14:textId="77777777"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OPA1</w:t>
            </w:r>
          </w:p>
        </w:tc>
        <w:tc>
          <w:tcPr>
            <w:tcW w:w="551" w:type="pct"/>
            <w:noWrap/>
            <w:hideMark/>
          </w:tcPr>
          <w:p w14:paraId="53B0E766"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44AA0DE5"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612607</w:t>
            </w:r>
          </w:p>
        </w:tc>
        <w:tc>
          <w:tcPr>
            <w:tcW w:w="2094" w:type="pct"/>
            <w:noWrap/>
            <w:hideMark/>
          </w:tcPr>
          <w:p w14:paraId="4AE3DBDD"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BD Biosciences, USA</w:t>
            </w:r>
          </w:p>
        </w:tc>
      </w:tr>
      <w:tr w:rsidR="00C929EC" w:rsidRPr="002E26D2" w14:paraId="15ACFC32"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38196913" w14:textId="77777777"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RCC1-L</w:t>
            </w:r>
          </w:p>
        </w:tc>
        <w:tc>
          <w:tcPr>
            <w:tcW w:w="551" w:type="pct"/>
            <w:noWrap/>
            <w:hideMark/>
          </w:tcPr>
          <w:p w14:paraId="41E0C9A8"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67A4FE02"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SAB1401860</w:t>
            </w:r>
          </w:p>
        </w:tc>
        <w:tc>
          <w:tcPr>
            <w:tcW w:w="2094" w:type="pct"/>
            <w:noWrap/>
            <w:hideMark/>
          </w:tcPr>
          <w:p w14:paraId="3FB1739C"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Sigma-Aldrich, USA</w:t>
            </w:r>
          </w:p>
        </w:tc>
      </w:tr>
      <w:tr w:rsidR="00C929EC" w:rsidRPr="002E26D2" w14:paraId="315000ED"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2853B972" w14:textId="77777777"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RCC1-L</w:t>
            </w:r>
          </w:p>
        </w:tc>
        <w:tc>
          <w:tcPr>
            <w:tcW w:w="551" w:type="pct"/>
            <w:noWrap/>
            <w:hideMark/>
          </w:tcPr>
          <w:p w14:paraId="2EFE157E"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648B5CC3"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212121"/>
                <w:sz w:val="24"/>
                <w:szCs w:val="24"/>
              </w:rPr>
              <w:t>ab247142</w:t>
            </w:r>
          </w:p>
        </w:tc>
        <w:tc>
          <w:tcPr>
            <w:tcW w:w="2094" w:type="pct"/>
            <w:noWrap/>
            <w:hideMark/>
          </w:tcPr>
          <w:p w14:paraId="51728473"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C929EC" w:rsidRPr="002E26D2" w14:paraId="24929322"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65405312" w14:textId="77777777"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TOM22</w:t>
            </w:r>
          </w:p>
        </w:tc>
        <w:tc>
          <w:tcPr>
            <w:tcW w:w="551" w:type="pct"/>
            <w:noWrap/>
            <w:hideMark/>
          </w:tcPr>
          <w:p w14:paraId="6FBFC49C"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hideMark/>
          </w:tcPr>
          <w:p w14:paraId="2AE6842B"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212121"/>
                <w:sz w:val="24"/>
                <w:szCs w:val="24"/>
              </w:rPr>
            </w:pPr>
            <w:r w:rsidRPr="002E26D2">
              <w:rPr>
                <w:rFonts w:ascii="Times New Roman" w:eastAsia="Times New Roman" w:hAnsi="Times New Roman" w:cs="Times New Roman"/>
                <w:color w:val="000000"/>
                <w:sz w:val="24"/>
                <w:szCs w:val="24"/>
              </w:rPr>
              <w:t>sc-58308</w:t>
            </w:r>
          </w:p>
        </w:tc>
        <w:tc>
          <w:tcPr>
            <w:tcW w:w="2094" w:type="pct"/>
            <w:noWrap/>
            <w:hideMark/>
          </w:tcPr>
          <w:p w14:paraId="686923E2"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Santa Cruz Biotechnology, USA</w:t>
            </w:r>
          </w:p>
        </w:tc>
      </w:tr>
      <w:tr w:rsidR="00C929EC" w:rsidRPr="002E26D2" w14:paraId="7423E1ED"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tcPr>
          <w:p w14:paraId="262346C3" w14:textId="77777777" w:rsidR="00C929EC" w:rsidRPr="002E26D2" w:rsidRDefault="00C929EC" w:rsidP="00C929EC">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VDAC</w:t>
            </w:r>
          </w:p>
        </w:tc>
        <w:tc>
          <w:tcPr>
            <w:tcW w:w="551" w:type="pct"/>
            <w:noWrap/>
          </w:tcPr>
          <w:p w14:paraId="325E5E4A"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tcPr>
          <w:p w14:paraId="6954003E" w14:textId="77777777" w:rsidR="00C929EC" w:rsidRPr="002E26D2" w:rsidRDefault="00C929EC" w:rsidP="00C929EC">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w:t>
            </w:r>
          </w:p>
        </w:tc>
        <w:tc>
          <w:tcPr>
            <w:tcW w:w="2094" w:type="pct"/>
            <w:noWrap/>
          </w:tcPr>
          <w:p w14:paraId="569A2FAD" w14:textId="419FA6C6"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gift from Dr</w:t>
            </w:r>
            <w:r>
              <w:rPr>
                <w:rFonts w:ascii="Times New Roman" w:eastAsia="Times New Roman" w:hAnsi="Times New Roman" w:cs="Times New Roman"/>
                <w:color w:val="000000"/>
                <w:sz w:val="24"/>
                <w:szCs w:val="24"/>
              </w:rPr>
              <w:t>.</w:t>
            </w:r>
            <w:r w:rsidRPr="002E26D2">
              <w:rPr>
                <w:rFonts w:ascii="Times New Roman" w:eastAsia="Times New Roman" w:hAnsi="Times New Roman" w:cs="Times New Roman"/>
                <w:color w:val="000000"/>
                <w:sz w:val="24"/>
                <w:szCs w:val="24"/>
              </w:rPr>
              <w:t xml:space="preserve"> Marco Colombini</w:t>
            </w:r>
          </w:p>
        </w:tc>
      </w:tr>
      <w:tr w:rsidR="00C929EC" w:rsidRPr="002E26D2" w14:paraId="77FA7CA6" w14:textId="77777777" w:rsidTr="2ACD72AF">
        <w:trPr>
          <w:trHeight w:val="300"/>
        </w:trPr>
        <w:tc>
          <w:tcPr>
            <w:cnfStyle w:val="001000000000" w:firstRow="0" w:lastRow="0" w:firstColumn="1" w:lastColumn="0" w:oddVBand="0" w:evenVBand="0" w:oddHBand="0" w:evenHBand="0" w:firstRowFirstColumn="0" w:firstRowLastColumn="0" w:lastRowFirstColumn="0" w:lastRowLastColumn="0"/>
            <w:tcW w:w="1569" w:type="pct"/>
            <w:noWrap/>
          </w:tcPr>
          <w:p w14:paraId="1F9F3863" w14:textId="77777777" w:rsidR="00C929EC" w:rsidRPr="0011755E" w:rsidRDefault="00C929EC" w:rsidP="2ACD72AF">
            <w:pPr>
              <w:spacing w:line="360" w:lineRule="auto"/>
              <w:jc w:val="both"/>
              <w:rPr>
                <w:rFonts w:ascii="Times New Roman" w:eastAsia="Times New Roman" w:hAnsi="Times New Roman" w:cs="Times New Roman"/>
                <w:color w:val="000000"/>
                <w:sz w:val="24"/>
                <w:szCs w:val="24"/>
              </w:rPr>
            </w:pPr>
            <w:r w:rsidRPr="2ACD72AF">
              <w:rPr>
                <w:rFonts w:ascii="Times New Roman" w:eastAsia="Times New Roman" w:hAnsi="Times New Roman" w:cs="Times New Roman"/>
                <w:color w:val="000000" w:themeColor="text1"/>
                <w:sz w:val="24"/>
                <w:szCs w:val="24"/>
              </w:rPr>
              <w:t>β Actin</w:t>
            </w:r>
          </w:p>
        </w:tc>
        <w:tc>
          <w:tcPr>
            <w:tcW w:w="551" w:type="pct"/>
            <w:noWrap/>
          </w:tcPr>
          <w:p w14:paraId="3A42E809"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Mouse</w:t>
            </w:r>
          </w:p>
        </w:tc>
        <w:tc>
          <w:tcPr>
            <w:tcW w:w="786" w:type="pct"/>
            <w:noWrap/>
          </w:tcPr>
          <w:p w14:paraId="33CC7258"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60008-1-Ig</w:t>
            </w:r>
          </w:p>
        </w:tc>
        <w:tc>
          <w:tcPr>
            <w:tcW w:w="2094" w:type="pct"/>
            <w:noWrap/>
          </w:tcPr>
          <w:p w14:paraId="454B61FA" w14:textId="77777777" w:rsidR="00C929EC" w:rsidRPr="002E26D2" w:rsidRDefault="00C929EC" w:rsidP="00C929EC">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Proteintech, USA</w:t>
            </w:r>
          </w:p>
        </w:tc>
      </w:tr>
      <w:tr w:rsidR="00C929EC" w:rsidRPr="002E26D2" w14:paraId="72D632E6" w14:textId="77777777" w:rsidTr="2ACD72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9" w:type="pct"/>
            <w:noWrap/>
            <w:hideMark/>
          </w:tcPr>
          <w:p w14:paraId="5F8CDB6C" w14:textId="77777777" w:rsidR="00C929EC" w:rsidRPr="0011755E" w:rsidRDefault="00C929EC" w:rsidP="2ACD72AF">
            <w:pPr>
              <w:spacing w:line="360" w:lineRule="auto"/>
              <w:jc w:val="both"/>
              <w:rPr>
                <w:rFonts w:ascii="Times New Roman" w:eastAsia="Times New Roman" w:hAnsi="Times New Roman" w:cs="Times New Roman"/>
                <w:color w:val="000000"/>
                <w:sz w:val="24"/>
                <w:szCs w:val="24"/>
              </w:rPr>
            </w:pPr>
            <w:r w:rsidRPr="2ACD72AF">
              <w:rPr>
                <w:rFonts w:ascii="Times New Roman" w:eastAsia="Times New Roman" w:hAnsi="Times New Roman" w:cs="Times New Roman"/>
                <w:color w:val="000000" w:themeColor="text1"/>
                <w:sz w:val="24"/>
                <w:szCs w:val="24"/>
              </w:rPr>
              <w:t>β Tubulin</w:t>
            </w:r>
          </w:p>
        </w:tc>
        <w:tc>
          <w:tcPr>
            <w:tcW w:w="551" w:type="pct"/>
            <w:noWrap/>
            <w:hideMark/>
          </w:tcPr>
          <w:p w14:paraId="39CAA676"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Rabbit</w:t>
            </w:r>
          </w:p>
        </w:tc>
        <w:tc>
          <w:tcPr>
            <w:tcW w:w="786" w:type="pct"/>
            <w:noWrap/>
            <w:hideMark/>
          </w:tcPr>
          <w:p w14:paraId="2E60C9BF"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2128S</w:t>
            </w:r>
          </w:p>
        </w:tc>
        <w:tc>
          <w:tcPr>
            <w:tcW w:w="2094" w:type="pct"/>
            <w:noWrap/>
            <w:hideMark/>
          </w:tcPr>
          <w:p w14:paraId="522865CC" w14:textId="77777777" w:rsidR="00C929EC" w:rsidRPr="002E26D2" w:rsidRDefault="00C929EC" w:rsidP="00C929EC">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Signaling Technology, USA</w:t>
            </w:r>
          </w:p>
        </w:tc>
      </w:tr>
    </w:tbl>
    <w:p w14:paraId="01212CFD" w14:textId="392DEBF0" w:rsidR="000B3AF7" w:rsidRPr="002E26D2" w:rsidRDefault="000B3AF7" w:rsidP="004927BB">
      <w:pPr>
        <w:spacing w:line="360" w:lineRule="auto"/>
        <w:jc w:val="both"/>
        <w:rPr>
          <w:rFonts w:ascii="Times New Roman" w:hAnsi="Times New Roman" w:cs="Times New Roman"/>
          <w:sz w:val="24"/>
          <w:szCs w:val="24"/>
        </w:rPr>
      </w:pPr>
    </w:p>
    <w:p w14:paraId="4C77EE1E" w14:textId="6938C8C4" w:rsidR="000517EA" w:rsidRPr="002E26D2" w:rsidRDefault="000517EA" w:rsidP="004927BB">
      <w:pPr>
        <w:pStyle w:val="Caption"/>
        <w:keepNext/>
        <w:spacing w:line="360" w:lineRule="auto"/>
        <w:rPr>
          <w:rFonts w:ascii="Times New Roman" w:hAnsi="Times New Roman" w:cs="Times New Roman"/>
          <w:sz w:val="24"/>
          <w:szCs w:val="24"/>
        </w:rPr>
      </w:pPr>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8</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 Secondary antibodies</w:t>
      </w:r>
    </w:p>
    <w:tbl>
      <w:tblPr>
        <w:tblStyle w:val="PlainTable1"/>
        <w:tblW w:w="5000" w:type="pct"/>
        <w:tblLook w:val="04A0" w:firstRow="1" w:lastRow="0" w:firstColumn="1" w:lastColumn="0" w:noHBand="0" w:noVBand="1"/>
      </w:tblPr>
      <w:tblGrid>
        <w:gridCol w:w="2883"/>
        <w:gridCol w:w="828"/>
        <w:gridCol w:w="1500"/>
        <w:gridCol w:w="3805"/>
      </w:tblGrid>
      <w:tr w:rsidR="000517EA" w:rsidRPr="002E26D2" w14:paraId="6F8D13B0" w14:textId="77777777" w:rsidTr="00362A1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pct"/>
            <w:noWrap/>
          </w:tcPr>
          <w:p w14:paraId="25577DA3" w14:textId="77777777" w:rsidR="000517EA" w:rsidRPr="002E26D2" w:rsidRDefault="000517EA"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Secondary Antibodies</w:t>
            </w:r>
          </w:p>
        </w:tc>
        <w:tc>
          <w:tcPr>
            <w:tcW w:w="459" w:type="pct"/>
            <w:noWrap/>
          </w:tcPr>
          <w:p w14:paraId="287B9562" w14:textId="77777777" w:rsidR="000517EA" w:rsidRPr="00590FE3" w:rsidRDefault="000517EA"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90FE3">
              <w:rPr>
                <w:rFonts w:ascii="Times New Roman" w:eastAsia="Times New Roman" w:hAnsi="Times New Roman" w:cs="Times New Roman"/>
                <w:color w:val="000000"/>
                <w:sz w:val="24"/>
                <w:szCs w:val="24"/>
              </w:rPr>
              <w:t>Host</w:t>
            </w:r>
          </w:p>
        </w:tc>
        <w:tc>
          <w:tcPr>
            <w:tcW w:w="832" w:type="pct"/>
            <w:noWrap/>
          </w:tcPr>
          <w:p w14:paraId="281E88CD" w14:textId="77777777" w:rsidR="000517EA" w:rsidRPr="00590FE3" w:rsidRDefault="000517EA"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90FE3">
              <w:rPr>
                <w:rFonts w:ascii="Times New Roman" w:eastAsia="Times New Roman" w:hAnsi="Times New Roman" w:cs="Times New Roman"/>
                <w:color w:val="000000"/>
                <w:sz w:val="24"/>
                <w:szCs w:val="24"/>
              </w:rPr>
              <w:t>Reference</w:t>
            </w:r>
          </w:p>
        </w:tc>
        <w:tc>
          <w:tcPr>
            <w:tcW w:w="2110" w:type="pct"/>
            <w:noWrap/>
          </w:tcPr>
          <w:p w14:paraId="3672DCCA" w14:textId="77777777" w:rsidR="000517EA" w:rsidRPr="00590FE3" w:rsidRDefault="000517EA"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590FE3">
              <w:rPr>
                <w:rFonts w:ascii="Times New Roman" w:eastAsia="Times New Roman" w:hAnsi="Times New Roman" w:cs="Times New Roman"/>
                <w:color w:val="000000"/>
                <w:sz w:val="24"/>
                <w:szCs w:val="24"/>
              </w:rPr>
              <w:t>Manufacturer</w:t>
            </w:r>
          </w:p>
        </w:tc>
      </w:tr>
      <w:tr w:rsidR="000517EA" w:rsidRPr="002E26D2" w14:paraId="495B0D68" w14:textId="77777777" w:rsidTr="00362A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pct"/>
            <w:noWrap/>
            <w:hideMark/>
          </w:tcPr>
          <w:p w14:paraId="12392CC5" w14:textId="77777777" w:rsidR="000517EA" w:rsidRPr="002E26D2" w:rsidRDefault="000517EA" w:rsidP="004927BB">
            <w:pPr>
              <w:spacing w:line="360" w:lineRule="auto"/>
              <w:jc w:val="both"/>
              <w:rPr>
                <w:rFonts w:ascii="Times New Roman" w:eastAsia="Times New Roman" w:hAnsi="Times New Roman" w:cs="Times New Roman"/>
                <w:sz w:val="24"/>
                <w:szCs w:val="24"/>
              </w:rPr>
            </w:pPr>
            <w:r w:rsidRPr="002E26D2">
              <w:rPr>
                <w:rFonts w:ascii="Times New Roman" w:eastAsia="Times New Roman" w:hAnsi="Times New Roman" w:cs="Times New Roman"/>
                <w:color w:val="000000"/>
                <w:sz w:val="24"/>
                <w:szCs w:val="24"/>
              </w:rPr>
              <w:t>Alexa Fluor488-Rabbit</w:t>
            </w:r>
          </w:p>
        </w:tc>
        <w:tc>
          <w:tcPr>
            <w:tcW w:w="459" w:type="pct"/>
            <w:noWrap/>
            <w:hideMark/>
          </w:tcPr>
          <w:p w14:paraId="36772F59"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E26D2">
              <w:rPr>
                <w:rFonts w:ascii="Times New Roman" w:eastAsia="Times New Roman" w:hAnsi="Times New Roman" w:cs="Times New Roman"/>
                <w:color w:val="000000"/>
                <w:sz w:val="24"/>
                <w:szCs w:val="24"/>
              </w:rPr>
              <w:t>Goat</w:t>
            </w:r>
          </w:p>
        </w:tc>
        <w:tc>
          <w:tcPr>
            <w:tcW w:w="832" w:type="pct"/>
            <w:noWrap/>
            <w:hideMark/>
          </w:tcPr>
          <w:p w14:paraId="15604280"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E26D2">
              <w:rPr>
                <w:rFonts w:ascii="Times New Roman" w:eastAsia="Times New Roman" w:hAnsi="Times New Roman" w:cs="Times New Roman"/>
                <w:color w:val="000000"/>
                <w:sz w:val="24"/>
                <w:szCs w:val="24"/>
              </w:rPr>
              <w:t>A11008</w:t>
            </w:r>
          </w:p>
        </w:tc>
        <w:tc>
          <w:tcPr>
            <w:tcW w:w="2110" w:type="pct"/>
            <w:noWrap/>
            <w:hideMark/>
          </w:tcPr>
          <w:p w14:paraId="28E3E1D2"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E26D2">
              <w:rPr>
                <w:rFonts w:ascii="Times New Roman" w:eastAsia="Times New Roman" w:hAnsi="Times New Roman" w:cs="Times New Roman"/>
                <w:color w:val="000000"/>
                <w:sz w:val="24"/>
                <w:szCs w:val="24"/>
              </w:rPr>
              <w:t>Invitrogen, USA</w:t>
            </w:r>
          </w:p>
        </w:tc>
      </w:tr>
      <w:tr w:rsidR="000517EA" w:rsidRPr="002E26D2" w14:paraId="4E032FB5" w14:textId="77777777" w:rsidTr="00362A18">
        <w:trPr>
          <w:trHeight w:val="300"/>
        </w:trPr>
        <w:tc>
          <w:tcPr>
            <w:cnfStyle w:val="001000000000" w:firstRow="0" w:lastRow="0" w:firstColumn="1" w:lastColumn="0" w:oddVBand="0" w:evenVBand="0" w:oddHBand="0" w:evenHBand="0" w:firstRowFirstColumn="0" w:firstRowLastColumn="0" w:lastRowFirstColumn="0" w:lastRowLastColumn="0"/>
            <w:tcW w:w="1599" w:type="pct"/>
            <w:noWrap/>
          </w:tcPr>
          <w:p w14:paraId="451E19A2" w14:textId="77777777" w:rsidR="000517EA" w:rsidRPr="002E26D2" w:rsidRDefault="000517EA"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Dylight 488-Rabbit</w:t>
            </w:r>
          </w:p>
        </w:tc>
        <w:tc>
          <w:tcPr>
            <w:tcW w:w="459" w:type="pct"/>
            <w:noWrap/>
          </w:tcPr>
          <w:p w14:paraId="2ECA474D" w14:textId="77777777" w:rsidR="000517EA" w:rsidRPr="002E26D2" w:rsidRDefault="000517EA"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Goat</w:t>
            </w:r>
          </w:p>
        </w:tc>
        <w:tc>
          <w:tcPr>
            <w:tcW w:w="832" w:type="pct"/>
            <w:noWrap/>
          </w:tcPr>
          <w:p w14:paraId="211E1A95" w14:textId="77777777" w:rsidR="000517EA" w:rsidRPr="002E26D2" w:rsidRDefault="000517EA"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ab96899</w:t>
            </w:r>
          </w:p>
        </w:tc>
        <w:tc>
          <w:tcPr>
            <w:tcW w:w="2110" w:type="pct"/>
            <w:noWrap/>
          </w:tcPr>
          <w:p w14:paraId="1AEE9628" w14:textId="77777777" w:rsidR="000517EA" w:rsidRPr="002E26D2" w:rsidRDefault="000517EA"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Abcam, UK</w:t>
            </w:r>
          </w:p>
        </w:tc>
      </w:tr>
      <w:tr w:rsidR="000517EA" w:rsidRPr="002E26D2" w14:paraId="5D9A3D1F" w14:textId="77777777" w:rsidTr="00362A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pct"/>
            <w:noWrap/>
          </w:tcPr>
          <w:p w14:paraId="6B4A0EEA" w14:textId="77777777" w:rsidR="000517EA" w:rsidRPr="002E26D2" w:rsidRDefault="000517EA"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HRP-Mouse</w:t>
            </w:r>
          </w:p>
        </w:tc>
        <w:tc>
          <w:tcPr>
            <w:tcW w:w="459" w:type="pct"/>
            <w:noWrap/>
          </w:tcPr>
          <w:p w14:paraId="132B10E2"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Horse</w:t>
            </w:r>
          </w:p>
        </w:tc>
        <w:tc>
          <w:tcPr>
            <w:tcW w:w="832" w:type="pct"/>
            <w:noWrap/>
          </w:tcPr>
          <w:p w14:paraId="76337AE6"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7076</w:t>
            </w:r>
          </w:p>
        </w:tc>
        <w:tc>
          <w:tcPr>
            <w:tcW w:w="2110" w:type="pct"/>
            <w:noWrap/>
          </w:tcPr>
          <w:p w14:paraId="2FFED0BA"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Signaling Technology, USA</w:t>
            </w:r>
          </w:p>
        </w:tc>
      </w:tr>
      <w:tr w:rsidR="000517EA" w:rsidRPr="002E26D2" w14:paraId="01ADF6C6" w14:textId="77777777" w:rsidTr="00362A18">
        <w:trPr>
          <w:trHeight w:val="300"/>
        </w:trPr>
        <w:tc>
          <w:tcPr>
            <w:cnfStyle w:val="001000000000" w:firstRow="0" w:lastRow="0" w:firstColumn="1" w:lastColumn="0" w:oddVBand="0" w:evenVBand="0" w:oddHBand="0" w:evenHBand="0" w:firstRowFirstColumn="0" w:firstRowLastColumn="0" w:lastRowFirstColumn="0" w:lastRowLastColumn="0"/>
            <w:tcW w:w="1599" w:type="pct"/>
            <w:noWrap/>
          </w:tcPr>
          <w:p w14:paraId="0127A808" w14:textId="77777777" w:rsidR="000517EA" w:rsidRPr="002E26D2" w:rsidRDefault="000517EA"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HRP-Rabbit</w:t>
            </w:r>
          </w:p>
        </w:tc>
        <w:tc>
          <w:tcPr>
            <w:tcW w:w="459" w:type="pct"/>
            <w:noWrap/>
          </w:tcPr>
          <w:p w14:paraId="6965DF3F" w14:textId="77777777" w:rsidR="000517EA" w:rsidRPr="002E26D2" w:rsidRDefault="000517EA"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Goat</w:t>
            </w:r>
          </w:p>
        </w:tc>
        <w:tc>
          <w:tcPr>
            <w:tcW w:w="832" w:type="pct"/>
            <w:noWrap/>
          </w:tcPr>
          <w:p w14:paraId="04325167" w14:textId="77777777" w:rsidR="000517EA" w:rsidRPr="002E26D2" w:rsidRDefault="000517EA"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7074</w:t>
            </w:r>
          </w:p>
        </w:tc>
        <w:tc>
          <w:tcPr>
            <w:tcW w:w="2110" w:type="pct"/>
            <w:noWrap/>
          </w:tcPr>
          <w:p w14:paraId="19698F5F" w14:textId="77777777" w:rsidR="000517EA" w:rsidRPr="002E26D2" w:rsidRDefault="000517EA"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Cell Signaling Technology, USA</w:t>
            </w:r>
          </w:p>
        </w:tc>
      </w:tr>
      <w:tr w:rsidR="000517EA" w:rsidRPr="002E26D2" w14:paraId="7D1C13BB" w14:textId="77777777" w:rsidTr="00362A1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9" w:type="pct"/>
            <w:noWrap/>
          </w:tcPr>
          <w:p w14:paraId="09E0B372" w14:textId="77777777" w:rsidR="000517EA" w:rsidRPr="002E26D2" w:rsidRDefault="000517EA"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IgG-Cy5-Mouse</w:t>
            </w:r>
          </w:p>
        </w:tc>
        <w:tc>
          <w:tcPr>
            <w:tcW w:w="459" w:type="pct"/>
            <w:noWrap/>
          </w:tcPr>
          <w:p w14:paraId="0C50C1A9"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Goat</w:t>
            </w:r>
          </w:p>
        </w:tc>
        <w:tc>
          <w:tcPr>
            <w:tcW w:w="832" w:type="pct"/>
            <w:noWrap/>
          </w:tcPr>
          <w:p w14:paraId="11221F12"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ab-2338714</w:t>
            </w:r>
          </w:p>
        </w:tc>
        <w:tc>
          <w:tcPr>
            <w:tcW w:w="2110" w:type="pct"/>
            <w:noWrap/>
          </w:tcPr>
          <w:p w14:paraId="650E9FFA" w14:textId="77777777" w:rsidR="000517EA" w:rsidRPr="002E26D2" w:rsidRDefault="000517EA"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Jackson ImmunoResearch, USA</w:t>
            </w:r>
          </w:p>
        </w:tc>
      </w:tr>
    </w:tbl>
    <w:p w14:paraId="75AA67A8" w14:textId="30CD86C8" w:rsidR="000517EA" w:rsidRDefault="000517EA" w:rsidP="004927BB">
      <w:pPr>
        <w:spacing w:line="360" w:lineRule="auto"/>
        <w:jc w:val="both"/>
        <w:rPr>
          <w:rFonts w:ascii="Times New Roman" w:hAnsi="Times New Roman" w:cs="Times New Roman"/>
          <w:sz w:val="24"/>
          <w:szCs w:val="24"/>
        </w:rPr>
      </w:pPr>
    </w:p>
    <w:p w14:paraId="57B86E23" w14:textId="3C905BF8" w:rsidR="00C929EC" w:rsidRDefault="00C929EC" w:rsidP="004927BB">
      <w:pPr>
        <w:spacing w:line="360" w:lineRule="auto"/>
        <w:jc w:val="both"/>
        <w:rPr>
          <w:rFonts w:ascii="Times New Roman" w:hAnsi="Times New Roman" w:cs="Times New Roman"/>
          <w:sz w:val="24"/>
          <w:szCs w:val="24"/>
        </w:rPr>
      </w:pPr>
    </w:p>
    <w:p w14:paraId="09251419" w14:textId="6F2EEF0C" w:rsidR="00C929EC" w:rsidRDefault="00C929EC" w:rsidP="004927BB">
      <w:pPr>
        <w:spacing w:line="360" w:lineRule="auto"/>
        <w:jc w:val="both"/>
        <w:rPr>
          <w:rFonts w:ascii="Times New Roman" w:hAnsi="Times New Roman" w:cs="Times New Roman"/>
          <w:sz w:val="24"/>
          <w:szCs w:val="24"/>
        </w:rPr>
      </w:pPr>
    </w:p>
    <w:p w14:paraId="76958A0E" w14:textId="1FDC467A" w:rsidR="00C929EC" w:rsidRDefault="00C929EC" w:rsidP="004927BB">
      <w:pPr>
        <w:spacing w:line="360" w:lineRule="auto"/>
        <w:jc w:val="both"/>
        <w:rPr>
          <w:rFonts w:ascii="Times New Roman" w:hAnsi="Times New Roman" w:cs="Times New Roman"/>
          <w:sz w:val="24"/>
          <w:szCs w:val="24"/>
        </w:rPr>
      </w:pPr>
    </w:p>
    <w:p w14:paraId="60887AE1" w14:textId="494892F1" w:rsidR="00C929EC" w:rsidRDefault="00C929EC" w:rsidP="004927BB">
      <w:pPr>
        <w:spacing w:line="360" w:lineRule="auto"/>
        <w:jc w:val="both"/>
        <w:rPr>
          <w:rFonts w:ascii="Times New Roman" w:hAnsi="Times New Roman" w:cs="Times New Roman"/>
          <w:sz w:val="24"/>
          <w:szCs w:val="24"/>
        </w:rPr>
      </w:pPr>
    </w:p>
    <w:p w14:paraId="1460A2FE" w14:textId="020E156E" w:rsidR="00C929EC" w:rsidRDefault="00C929EC" w:rsidP="004927BB">
      <w:pPr>
        <w:spacing w:line="360" w:lineRule="auto"/>
        <w:jc w:val="both"/>
        <w:rPr>
          <w:rFonts w:ascii="Times New Roman" w:hAnsi="Times New Roman" w:cs="Times New Roman"/>
          <w:sz w:val="24"/>
          <w:szCs w:val="24"/>
        </w:rPr>
      </w:pPr>
    </w:p>
    <w:p w14:paraId="7158C365" w14:textId="1D257F02" w:rsidR="00C929EC" w:rsidRDefault="00C929EC">
      <w:pPr>
        <w:rPr>
          <w:rFonts w:ascii="Times New Roman" w:hAnsi="Times New Roman" w:cs="Times New Roman"/>
          <w:sz w:val="24"/>
          <w:szCs w:val="24"/>
        </w:rPr>
      </w:pPr>
      <w:r>
        <w:rPr>
          <w:rFonts w:ascii="Times New Roman" w:hAnsi="Times New Roman" w:cs="Times New Roman"/>
          <w:sz w:val="24"/>
          <w:szCs w:val="24"/>
        </w:rPr>
        <w:br w:type="page"/>
      </w:r>
    </w:p>
    <w:p w14:paraId="7190A5BF" w14:textId="5CD4963C" w:rsidR="00934CD5" w:rsidRPr="002E26D2" w:rsidRDefault="00934CD5" w:rsidP="003775DE">
      <w:pPr>
        <w:pStyle w:val="Heading3"/>
      </w:pPr>
      <w:bookmarkStart w:id="69" w:name="_Toc117153839"/>
      <w:r w:rsidRPr="002E26D2">
        <w:lastRenderedPageBreak/>
        <w:t>Cell culture</w:t>
      </w:r>
      <w:bookmarkEnd w:id="69"/>
    </w:p>
    <w:p w14:paraId="614F8B03" w14:textId="680193A7" w:rsidR="00215E8F" w:rsidRPr="002E26D2" w:rsidRDefault="00215E8F" w:rsidP="004927BB">
      <w:pPr>
        <w:pStyle w:val="Caption"/>
        <w:keepNext/>
        <w:spacing w:line="360" w:lineRule="auto"/>
        <w:rPr>
          <w:rFonts w:ascii="Times New Roman" w:hAnsi="Times New Roman" w:cs="Times New Roman"/>
          <w:sz w:val="24"/>
          <w:szCs w:val="24"/>
        </w:rPr>
      </w:pPr>
      <w:bookmarkStart w:id="70" w:name="_Ref105760701"/>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9</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 Media for cell culture and bacteria proliferation</w:t>
      </w:r>
    </w:p>
    <w:tbl>
      <w:tblPr>
        <w:tblStyle w:val="PlainTable1"/>
        <w:tblW w:w="5000" w:type="pct"/>
        <w:tblLayout w:type="fixed"/>
        <w:tblLook w:val="04A0" w:firstRow="1" w:lastRow="0" w:firstColumn="1" w:lastColumn="0" w:noHBand="0" w:noVBand="1"/>
      </w:tblPr>
      <w:tblGrid>
        <w:gridCol w:w="1837"/>
        <w:gridCol w:w="7179"/>
      </w:tblGrid>
      <w:tr w:rsidR="002E448B" w:rsidRPr="002E26D2" w14:paraId="72A54497" w14:textId="77777777" w:rsidTr="007C68A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52C20E6B"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Media</w:t>
            </w:r>
          </w:p>
        </w:tc>
        <w:tc>
          <w:tcPr>
            <w:tcW w:w="3981" w:type="pct"/>
            <w:noWrap/>
            <w:hideMark/>
          </w:tcPr>
          <w:p w14:paraId="79B011BC" w14:textId="77777777" w:rsidR="002E448B" w:rsidRPr="002E26D2" w:rsidRDefault="002E448B"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Composition</w:t>
            </w:r>
          </w:p>
        </w:tc>
      </w:tr>
      <w:tr w:rsidR="002E448B" w:rsidRPr="002E26D2" w14:paraId="6DAB7266" w14:textId="77777777" w:rsidTr="007C68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49455941" w14:textId="01B57FF2"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Cryoprotective medi</w:t>
            </w:r>
            <w:r w:rsidR="009141DB">
              <w:rPr>
                <w:rFonts w:ascii="Times New Roman" w:eastAsia="Times New Roman" w:hAnsi="Times New Roman" w:cs="Times New Roman"/>
                <w:color w:val="000000"/>
                <w:sz w:val="24"/>
                <w:szCs w:val="24"/>
              </w:rPr>
              <w:t>um</w:t>
            </w:r>
          </w:p>
        </w:tc>
        <w:tc>
          <w:tcPr>
            <w:tcW w:w="3981" w:type="pct"/>
            <w:noWrap/>
            <w:hideMark/>
          </w:tcPr>
          <w:p w14:paraId="047DEAF5" w14:textId="77777777" w:rsidR="002E448B" w:rsidRPr="002E26D2" w:rsidRDefault="002E448B"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45% (v/v) DMEMcomp, 45% (v/v) FBS, 10% (v/v) DMSO</w:t>
            </w:r>
          </w:p>
        </w:tc>
      </w:tr>
      <w:tr w:rsidR="002E448B" w:rsidRPr="002E26D2" w14:paraId="193711E5" w14:textId="77777777" w:rsidTr="007C68A6">
        <w:trPr>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65509223"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DMEMcomp</w:t>
            </w:r>
          </w:p>
        </w:tc>
        <w:tc>
          <w:tcPr>
            <w:tcW w:w="3981" w:type="pct"/>
            <w:noWrap/>
            <w:hideMark/>
          </w:tcPr>
          <w:p w14:paraId="5F0335E2" w14:textId="77777777" w:rsidR="002E448B" w:rsidRPr="002E26D2" w:rsidRDefault="002E448B"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Gibco, Thermo Fisher Scientific, USA, supplemented with 10% (v/v) FBS, 100 µg/mL penicillin, 100 µg/mL streptomycin, 1 mM L-glutamine, 1 mM sodium pyruvate</w:t>
            </w:r>
          </w:p>
        </w:tc>
      </w:tr>
      <w:tr w:rsidR="002E448B" w:rsidRPr="002E26D2" w14:paraId="0BA3B3FB" w14:textId="77777777" w:rsidTr="007C68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70B63C28"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DMEMg418</w:t>
            </w:r>
          </w:p>
        </w:tc>
        <w:tc>
          <w:tcPr>
            <w:tcW w:w="3981" w:type="pct"/>
            <w:noWrap/>
            <w:hideMark/>
          </w:tcPr>
          <w:p w14:paraId="1A2EACB1" w14:textId="77777777" w:rsidR="002E448B" w:rsidRPr="002E26D2" w:rsidRDefault="002E448B"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Gibco, Thermo Fisher Scientific, USA, supplemented with 10% (v/v) FBS, 1mg/mL G418, 1 mM L-Glutamine, 1 mM Sodium pyruvate</w:t>
            </w:r>
          </w:p>
        </w:tc>
      </w:tr>
      <w:tr w:rsidR="002E448B" w:rsidRPr="002E26D2" w14:paraId="4E40BB9F" w14:textId="77777777" w:rsidTr="007C68A6">
        <w:trPr>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223C6812" w14:textId="63D787E8" w:rsidR="002E448B" w:rsidRPr="002E26D2" w:rsidRDefault="002E448B" w:rsidP="004927BB">
            <w:pPr>
              <w:spacing w:line="360" w:lineRule="auto"/>
              <w:jc w:val="both"/>
              <w:rPr>
                <w:rFonts w:ascii="Times New Roman" w:eastAsia="Times New Roman" w:hAnsi="Times New Roman" w:cs="Times New Roman"/>
                <w:color w:val="000000"/>
                <w:sz w:val="24"/>
                <w:szCs w:val="24"/>
              </w:rPr>
            </w:pPr>
            <w:bookmarkStart w:id="71" w:name="_Hlk97296430"/>
            <w:r w:rsidRPr="002E26D2">
              <w:rPr>
                <w:rFonts w:ascii="Times New Roman" w:eastAsia="Times New Roman" w:hAnsi="Times New Roman" w:cs="Times New Roman"/>
                <w:color w:val="000000"/>
                <w:sz w:val="24"/>
                <w:szCs w:val="24"/>
              </w:rPr>
              <w:t>Lebovitz's L-15</w:t>
            </w:r>
            <w:bookmarkEnd w:id="71"/>
          </w:p>
        </w:tc>
        <w:tc>
          <w:tcPr>
            <w:tcW w:w="3981" w:type="pct"/>
            <w:noWrap/>
            <w:hideMark/>
          </w:tcPr>
          <w:p w14:paraId="027143C0" w14:textId="77777777" w:rsidR="002E448B" w:rsidRPr="002E26D2" w:rsidRDefault="002E448B"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Thermo Fisher Scientific, USA, supplemented with 10% (v/v) FBS, 100 µg/mL penicillin, 100 µg/mL streptomycin, 1 mM L-glutamine, 1 mM sodium pyruvate</w:t>
            </w:r>
          </w:p>
        </w:tc>
      </w:tr>
      <w:tr w:rsidR="002E448B" w:rsidRPr="002E26D2" w14:paraId="5064ED45" w14:textId="77777777" w:rsidTr="007C68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246A9650"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Liquid LB+Amp</w:t>
            </w:r>
          </w:p>
        </w:tc>
        <w:tc>
          <w:tcPr>
            <w:tcW w:w="3981" w:type="pct"/>
            <w:noWrap/>
            <w:hideMark/>
          </w:tcPr>
          <w:p w14:paraId="2815337C" w14:textId="77777777" w:rsidR="002E448B" w:rsidRPr="002E26D2" w:rsidRDefault="002E448B"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 g/L yeast extract, 10 g/L NaCl, 10 g/L tryptone, 100 mg/L ampicillin</w:t>
            </w:r>
          </w:p>
        </w:tc>
      </w:tr>
      <w:tr w:rsidR="002E448B" w:rsidRPr="002E26D2" w14:paraId="1B1059B8" w14:textId="77777777" w:rsidTr="007C68A6">
        <w:trPr>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4AEF4602"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Liquid LB+Kan</w:t>
            </w:r>
          </w:p>
        </w:tc>
        <w:tc>
          <w:tcPr>
            <w:tcW w:w="3981" w:type="pct"/>
            <w:noWrap/>
            <w:hideMark/>
          </w:tcPr>
          <w:p w14:paraId="585DA1AD" w14:textId="77777777" w:rsidR="002E448B" w:rsidRPr="002E26D2" w:rsidRDefault="002E448B"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 g/L yeast extract, 10 g/L NaCl, 10 g/L tryptone, 50 mg/L kanamycin</w:t>
            </w:r>
          </w:p>
        </w:tc>
      </w:tr>
      <w:tr w:rsidR="002E448B" w:rsidRPr="002E26D2" w14:paraId="661429A6" w14:textId="77777777" w:rsidTr="007C68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5D4EA296"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Opti-MEM</w:t>
            </w:r>
          </w:p>
        </w:tc>
        <w:tc>
          <w:tcPr>
            <w:tcW w:w="3981" w:type="pct"/>
            <w:noWrap/>
            <w:hideMark/>
          </w:tcPr>
          <w:p w14:paraId="2CC03DEB" w14:textId="77777777" w:rsidR="002E448B" w:rsidRPr="002E26D2" w:rsidRDefault="002E448B"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Gibco, Thermo Fisher Scientific, USA</w:t>
            </w:r>
          </w:p>
        </w:tc>
      </w:tr>
      <w:tr w:rsidR="002E448B" w:rsidRPr="002E26D2" w14:paraId="4BAD51D8" w14:textId="77777777" w:rsidTr="007C68A6">
        <w:trPr>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2E8EB7DF"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RPMIcomp</w:t>
            </w:r>
          </w:p>
        </w:tc>
        <w:tc>
          <w:tcPr>
            <w:tcW w:w="3981" w:type="pct"/>
            <w:noWrap/>
            <w:hideMark/>
          </w:tcPr>
          <w:p w14:paraId="3430B570" w14:textId="77777777" w:rsidR="002E448B" w:rsidRPr="002E26D2" w:rsidRDefault="002E448B"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Lonza, Switzerland, supplemented with 10% (v/v) FBS, 100 µg/mL penicillin, 100 µg/mL streptomycin, 1 mM L-glutamine, 1 mM sodium pyruvate</w:t>
            </w:r>
          </w:p>
        </w:tc>
      </w:tr>
      <w:tr w:rsidR="002E448B" w:rsidRPr="002E26D2" w14:paraId="183CB563" w14:textId="77777777" w:rsidTr="007C68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5329A23C"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Solid LB+Amp</w:t>
            </w:r>
          </w:p>
        </w:tc>
        <w:tc>
          <w:tcPr>
            <w:tcW w:w="3981" w:type="pct"/>
            <w:noWrap/>
            <w:hideMark/>
          </w:tcPr>
          <w:p w14:paraId="7F41BEAB" w14:textId="77777777" w:rsidR="002E448B" w:rsidRPr="002E26D2" w:rsidRDefault="002E448B"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 g/L yeast extract, 10 g/L NaCl, 10 g/L tryptone, 13 g/L agar, 100 mg/L ampicillin</w:t>
            </w:r>
          </w:p>
        </w:tc>
      </w:tr>
      <w:tr w:rsidR="002E448B" w:rsidRPr="002E26D2" w14:paraId="42A14C21" w14:textId="77777777" w:rsidTr="007C68A6">
        <w:trPr>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6C0755D4"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Solid LB+Kan</w:t>
            </w:r>
          </w:p>
        </w:tc>
        <w:tc>
          <w:tcPr>
            <w:tcW w:w="3981" w:type="pct"/>
            <w:noWrap/>
            <w:hideMark/>
          </w:tcPr>
          <w:p w14:paraId="70748F10" w14:textId="77777777" w:rsidR="002E448B" w:rsidRPr="002E26D2" w:rsidRDefault="002E448B"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5 g/L yeast extract, 10 g/L NaCl, 10 g/L tryptone, 13 g/L agar, 50 mg/L kanamycin</w:t>
            </w:r>
          </w:p>
        </w:tc>
      </w:tr>
      <w:tr w:rsidR="002E448B" w:rsidRPr="002E26D2" w14:paraId="762B9FB1" w14:textId="77777777" w:rsidTr="007C68A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19" w:type="pct"/>
            <w:noWrap/>
            <w:hideMark/>
          </w:tcPr>
          <w:p w14:paraId="40F25672" w14:textId="77777777" w:rsidR="002E448B" w:rsidRPr="002E26D2" w:rsidRDefault="002E448B" w:rsidP="004927BB">
            <w:pPr>
              <w:spacing w:line="360" w:lineRule="auto"/>
              <w:jc w:val="both"/>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Trypsin solution</w:t>
            </w:r>
          </w:p>
        </w:tc>
        <w:tc>
          <w:tcPr>
            <w:tcW w:w="3981" w:type="pct"/>
            <w:noWrap/>
            <w:hideMark/>
          </w:tcPr>
          <w:p w14:paraId="2BEB1FB1" w14:textId="77777777" w:rsidR="002E448B" w:rsidRPr="002E26D2" w:rsidRDefault="002E448B"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E26D2">
              <w:rPr>
                <w:rFonts w:ascii="Times New Roman" w:eastAsia="Times New Roman" w:hAnsi="Times New Roman" w:cs="Times New Roman"/>
                <w:color w:val="000000"/>
                <w:sz w:val="24"/>
                <w:szCs w:val="24"/>
              </w:rPr>
              <w:t>0.05% (w/v) trypsin, 1 mM EDTA</w:t>
            </w:r>
          </w:p>
        </w:tc>
      </w:tr>
    </w:tbl>
    <w:p w14:paraId="4AF5958C" w14:textId="0E103BF9" w:rsidR="00C929EC" w:rsidRDefault="00C929EC" w:rsidP="004927BB">
      <w:pPr>
        <w:pStyle w:val="Table"/>
        <w:numPr>
          <w:ilvl w:val="0"/>
          <w:numId w:val="0"/>
        </w:numPr>
        <w:spacing w:line="360" w:lineRule="auto"/>
        <w:rPr>
          <w:rFonts w:ascii="Times New Roman" w:hAnsi="Times New Roman" w:cs="Times New Roman"/>
          <w:sz w:val="24"/>
          <w:szCs w:val="24"/>
        </w:rPr>
      </w:pPr>
    </w:p>
    <w:p w14:paraId="1FD97974" w14:textId="77777777" w:rsidR="00C929EC" w:rsidRDefault="00C929EC">
      <w:pPr>
        <w:rPr>
          <w:rFonts w:ascii="Times New Roman" w:hAnsi="Times New Roman" w:cs="Times New Roman"/>
          <w:b/>
          <w:sz w:val="24"/>
          <w:szCs w:val="24"/>
        </w:rPr>
      </w:pPr>
      <w:r>
        <w:rPr>
          <w:rFonts w:ascii="Times New Roman" w:hAnsi="Times New Roman" w:cs="Times New Roman"/>
          <w:sz w:val="24"/>
          <w:szCs w:val="24"/>
        </w:rPr>
        <w:br w:type="page"/>
      </w:r>
    </w:p>
    <w:p w14:paraId="1F4D518C" w14:textId="5D65A5DB" w:rsidR="00215E8F" w:rsidRPr="002E26D2" w:rsidRDefault="00215E8F" w:rsidP="004927BB">
      <w:pPr>
        <w:pStyle w:val="Caption"/>
        <w:keepNext/>
        <w:spacing w:line="360" w:lineRule="auto"/>
        <w:rPr>
          <w:rFonts w:ascii="Times New Roman" w:hAnsi="Times New Roman" w:cs="Times New Roman"/>
          <w:sz w:val="24"/>
          <w:szCs w:val="24"/>
        </w:rPr>
      </w:pPr>
      <w:bookmarkStart w:id="72" w:name="_Ref106008760"/>
      <w:bookmarkEnd w:id="70"/>
      <w:r w:rsidRPr="002E26D2">
        <w:rPr>
          <w:rFonts w:ascii="Times New Roman" w:hAnsi="Times New Roman" w:cs="Times New Roman"/>
          <w:sz w:val="24"/>
          <w:szCs w:val="24"/>
        </w:rPr>
        <w:lastRenderedPageBreak/>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10</w:t>
      </w:r>
      <w:r w:rsidRPr="002E26D2">
        <w:rPr>
          <w:rFonts w:ascii="Times New Roman" w:hAnsi="Times New Roman" w:cs="Times New Roman"/>
          <w:sz w:val="24"/>
          <w:szCs w:val="24"/>
        </w:rPr>
        <w:fldChar w:fldCharType="end"/>
      </w:r>
      <w:bookmarkEnd w:id="72"/>
      <w:r w:rsidRPr="002E26D2">
        <w:rPr>
          <w:rFonts w:ascii="Times New Roman" w:hAnsi="Times New Roman" w:cs="Times New Roman"/>
          <w:sz w:val="24"/>
          <w:szCs w:val="24"/>
        </w:rPr>
        <w:t xml:space="preserve"> : Cells and Media</w:t>
      </w:r>
    </w:p>
    <w:tbl>
      <w:tblPr>
        <w:tblStyle w:val="PlainTable1"/>
        <w:tblW w:w="5000" w:type="pct"/>
        <w:tblLook w:val="04A0" w:firstRow="1" w:lastRow="0" w:firstColumn="1" w:lastColumn="0" w:noHBand="0" w:noVBand="1"/>
      </w:tblPr>
      <w:tblGrid>
        <w:gridCol w:w="1336"/>
        <w:gridCol w:w="2851"/>
        <w:gridCol w:w="1497"/>
        <w:gridCol w:w="3332"/>
      </w:tblGrid>
      <w:tr w:rsidR="000B3AF7" w:rsidRPr="002E26D2" w14:paraId="4D6C91CE" w14:textId="77777777" w:rsidTr="00B613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337F8636"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Cell line</w:t>
            </w:r>
          </w:p>
        </w:tc>
        <w:tc>
          <w:tcPr>
            <w:tcW w:w="1581" w:type="pct"/>
          </w:tcPr>
          <w:p w14:paraId="3E4C823C" w14:textId="77777777" w:rsidR="000B3AF7" w:rsidRPr="002E26D2" w:rsidRDefault="000B3AF7" w:rsidP="004927BB">
            <w:pPr>
              <w:tabs>
                <w:tab w:val="center" w:pos="214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Cell type</w:t>
            </w:r>
            <w:r w:rsidRPr="002E26D2">
              <w:rPr>
                <w:rFonts w:ascii="Times New Roman" w:hAnsi="Times New Roman" w:cs="Times New Roman"/>
                <w:sz w:val="24"/>
                <w:szCs w:val="24"/>
              </w:rPr>
              <w:tab/>
            </w:r>
          </w:p>
        </w:tc>
        <w:tc>
          <w:tcPr>
            <w:tcW w:w="830" w:type="pct"/>
          </w:tcPr>
          <w:p w14:paraId="182D0F9E" w14:textId="77777777" w:rsidR="000B3AF7" w:rsidRPr="002E26D2" w:rsidRDefault="000B3AF7" w:rsidP="004927BB">
            <w:pPr>
              <w:tabs>
                <w:tab w:val="center" w:pos="214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Media</w:t>
            </w:r>
          </w:p>
        </w:tc>
        <w:tc>
          <w:tcPr>
            <w:tcW w:w="1849" w:type="pct"/>
          </w:tcPr>
          <w:p w14:paraId="13BCCF62" w14:textId="77777777" w:rsidR="000B3AF7" w:rsidRPr="002E26D2" w:rsidRDefault="000B3AF7" w:rsidP="004927BB">
            <w:pPr>
              <w:tabs>
                <w:tab w:val="center" w:pos="214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Origin</w:t>
            </w:r>
          </w:p>
        </w:tc>
      </w:tr>
      <w:tr w:rsidR="000B3AF7" w:rsidRPr="002E26D2" w14:paraId="4C596D94"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5922764F"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eastAsia="Calibri" w:hAnsi="Times New Roman" w:cs="Times New Roman"/>
                <w:sz w:val="24"/>
                <w:szCs w:val="24"/>
              </w:rPr>
              <w:t>Mel 224</w:t>
            </w:r>
          </w:p>
        </w:tc>
        <w:tc>
          <w:tcPr>
            <w:tcW w:w="1581" w:type="pct"/>
          </w:tcPr>
          <w:p w14:paraId="1A2192D0"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1509EE70"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val="restart"/>
            <w:shd w:val="clear" w:color="auto" w:fill="FFFFFF" w:themeFill="background1"/>
          </w:tcPr>
          <w:p w14:paraId="390CECFE"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FECAFDA"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6232764"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A3ADC99" w14:textId="77777777" w:rsidR="000B3AF7" w:rsidRPr="002E26D2" w:rsidRDefault="000B3AF7" w:rsidP="007F5C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Kind donation of Dr. Bergamaschi (Barts and The</w:t>
            </w:r>
          </w:p>
          <w:p w14:paraId="6F2DD536" w14:textId="77777777" w:rsidR="000B3AF7" w:rsidRPr="002E26D2" w:rsidRDefault="000B3AF7" w:rsidP="007F5C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London School of Medicine and Dentistry, London, UK)</w:t>
            </w:r>
          </w:p>
        </w:tc>
      </w:tr>
      <w:tr w:rsidR="000B3AF7" w:rsidRPr="002E26D2" w14:paraId="4C5F8AB1"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1DCDB570"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eastAsia="Calibri" w:hAnsi="Times New Roman" w:cs="Times New Roman"/>
                <w:sz w:val="24"/>
                <w:szCs w:val="24"/>
              </w:rPr>
              <w:t>Mel 501</w:t>
            </w:r>
          </w:p>
        </w:tc>
        <w:tc>
          <w:tcPr>
            <w:tcW w:w="1581" w:type="pct"/>
          </w:tcPr>
          <w:p w14:paraId="77B64806"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26F6132E"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494A8F12"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B3AF7" w:rsidRPr="002E26D2" w14:paraId="1C8F94AE"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08588A63"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eastAsia="Calibri" w:hAnsi="Times New Roman" w:cs="Times New Roman"/>
                <w:sz w:val="24"/>
                <w:szCs w:val="24"/>
              </w:rPr>
              <w:t>Mel 505</w:t>
            </w:r>
          </w:p>
        </w:tc>
        <w:tc>
          <w:tcPr>
            <w:tcW w:w="1581" w:type="pct"/>
          </w:tcPr>
          <w:p w14:paraId="47C1A286"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6A84CF1C"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040A5C9D"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B3AF7" w:rsidRPr="002E26D2" w14:paraId="6D991C9F"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4B47A00A"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A375</w:t>
            </w:r>
          </w:p>
        </w:tc>
        <w:tc>
          <w:tcPr>
            <w:tcW w:w="1581" w:type="pct"/>
          </w:tcPr>
          <w:p w14:paraId="15D38EC1"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701843E6"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6DF1BAD3"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B3AF7" w:rsidRPr="002E26D2" w14:paraId="51FB9A95"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25EBF63A"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A375M</w:t>
            </w:r>
          </w:p>
        </w:tc>
        <w:tc>
          <w:tcPr>
            <w:tcW w:w="1581" w:type="pct"/>
          </w:tcPr>
          <w:p w14:paraId="6851C94A"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24A3FAE5"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41DCE2F5"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B3AF7" w:rsidRPr="002E26D2" w14:paraId="2CF10847"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3C662E34"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WM793B</w:t>
            </w:r>
          </w:p>
        </w:tc>
        <w:tc>
          <w:tcPr>
            <w:tcW w:w="1581" w:type="pct"/>
          </w:tcPr>
          <w:p w14:paraId="37076632"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31E855D2"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393121F8"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B3AF7" w:rsidRPr="002E26D2" w14:paraId="7DC0F318"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35D755D3"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WM983B</w:t>
            </w:r>
          </w:p>
        </w:tc>
        <w:tc>
          <w:tcPr>
            <w:tcW w:w="1581" w:type="pct"/>
          </w:tcPr>
          <w:p w14:paraId="210444D0"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3BD0AC24"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4F68ACFB"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B3AF7" w:rsidRPr="002E26D2" w14:paraId="6982568F"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6E3ADEB8"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LM6</w:t>
            </w:r>
          </w:p>
        </w:tc>
        <w:tc>
          <w:tcPr>
            <w:tcW w:w="1581" w:type="pct"/>
          </w:tcPr>
          <w:p w14:paraId="637F348C"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220FDADE"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554C41BA"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B3AF7" w:rsidRPr="002E26D2" w14:paraId="37A59606"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483F8B8F"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CHL1</w:t>
            </w:r>
          </w:p>
        </w:tc>
        <w:tc>
          <w:tcPr>
            <w:tcW w:w="1581" w:type="pct"/>
          </w:tcPr>
          <w:p w14:paraId="48D9BE19"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645E940E"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1B62C829"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B3AF7" w:rsidRPr="002E26D2" w14:paraId="06DD18EB"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667948C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RPMI7951</w:t>
            </w:r>
          </w:p>
        </w:tc>
        <w:tc>
          <w:tcPr>
            <w:tcW w:w="1581" w:type="pct"/>
          </w:tcPr>
          <w:p w14:paraId="55EB04DD"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3426800E"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shd w:val="clear" w:color="auto" w:fill="FFFFFF" w:themeFill="background1"/>
          </w:tcPr>
          <w:p w14:paraId="440B76E5"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B3AF7" w:rsidRPr="002E26D2" w14:paraId="19050378"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6B11AE29" w14:textId="0B296678"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HTB82</w:t>
            </w:r>
          </w:p>
        </w:tc>
        <w:tc>
          <w:tcPr>
            <w:tcW w:w="1581" w:type="pct"/>
          </w:tcPr>
          <w:p w14:paraId="20533CFA" w14:textId="6FCD7AEB"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Rhabdomyosarcoma</w:t>
            </w:r>
          </w:p>
        </w:tc>
        <w:tc>
          <w:tcPr>
            <w:tcW w:w="830" w:type="pct"/>
          </w:tcPr>
          <w:p w14:paraId="345713D2" w14:textId="219FC789"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RPMIcomp</w:t>
            </w:r>
          </w:p>
        </w:tc>
        <w:tc>
          <w:tcPr>
            <w:tcW w:w="1849" w:type="pct"/>
          </w:tcPr>
          <w:p w14:paraId="0BA02055" w14:textId="77777777" w:rsidR="000B3AF7" w:rsidRPr="002E26D2" w:rsidRDefault="000B3AF7" w:rsidP="007F5C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Kind donation of Dr. Neda Slade (Laboratory for Protein Dynamics, Ruđer Bošković Institute, Zagreb, Croatia)</w:t>
            </w:r>
          </w:p>
        </w:tc>
      </w:tr>
      <w:tr w:rsidR="000B3AF7" w:rsidRPr="002E26D2" w14:paraId="4FFF4277"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7062DAF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HTB92</w:t>
            </w:r>
          </w:p>
        </w:tc>
        <w:tc>
          <w:tcPr>
            <w:tcW w:w="1581" w:type="pct"/>
          </w:tcPr>
          <w:p w14:paraId="1B776E22"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Liposarcoma</w:t>
            </w:r>
          </w:p>
        </w:tc>
        <w:tc>
          <w:tcPr>
            <w:tcW w:w="830" w:type="pct"/>
          </w:tcPr>
          <w:p w14:paraId="4FC8C293"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RPMIcomp</w:t>
            </w:r>
          </w:p>
        </w:tc>
        <w:tc>
          <w:tcPr>
            <w:tcW w:w="1849" w:type="pct"/>
            <w:vMerge w:val="restart"/>
          </w:tcPr>
          <w:p w14:paraId="63DD7264" w14:textId="77777777" w:rsidR="000B3AF7" w:rsidRPr="002E26D2" w:rsidRDefault="000B3AF7" w:rsidP="007F5C7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417A633C" w14:textId="77777777" w:rsidR="000B3AF7" w:rsidRPr="002E26D2" w:rsidRDefault="000B3AF7" w:rsidP="007F5C7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Kind donation of Dr. Neda Slade (Laboratory for Protein Dynamics, Ruđer Bošković Institute, Zagreb, Croatia)</w:t>
            </w:r>
          </w:p>
          <w:p w14:paraId="0F3DC6C6" w14:textId="77777777" w:rsidR="000B3AF7" w:rsidRPr="002E26D2" w:rsidRDefault="000B3AF7" w:rsidP="007F5C7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B3AF7" w:rsidRPr="002E26D2" w14:paraId="23ECD5F3"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0EA5B35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HTB93</w:t>
            </w:r>
          </w:p>
        </w:tc>
        <w:tc>
          <w:tcPr>
            <w:tcW w:w="1581" w:type="pct"/>
          </w:tcPr>
          <w:p w14:paraId="05DDB77F"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Synovial sarcoma</w:t>
            </w:r>
          </w:p>
        </w:tc>
        <w:tc>
          <w:tcPr>
            <w:tcW w:w="830" w:type="pct"/>
          </w:tcPr>
          <w:p w14:paraId="25D54108"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RPMIcomp</w:t>
            </w:r>
          </w:p>
        </w:tc>
        <w:tc>
          <w:tcPr>
            <w:tcW w:w="1849" w:type="pct"/>
            <w:vMerge/>
          </w:tcPr>
          <w:p w14:paraId="012C84BC"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B3AF7" w:rsidRPr="002E26D2" w14:paraId="7869E1C6"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4FD880DA"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WT</w:t>
            </w:r>
          </w:p>
        </w:tc>
        <w:tc>
          <w:tcPr>
            <w:tcW w:w="1581" w:type="pct"/>
          </w:tcPr>
          <w:p w14:paraId="3FD40BAA"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Variant of HT1080 fibrosarcoma</w:t>
            </w:r>
          </w:p>
        </w:tc>
        <w:tc>
          <w:tcPr>
            <w:tcW w:w="830" w:type="pct"/>
          </w:tcPr>
          <w:p w14:paraId="44D06075"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09115155"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B3AF7" w:rsidRPr="002E26D2" w14:paraId="57A471EF"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1107561A"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H1299</w:t>
            </w:r>
          </w:p>
        </w:tc>
        <w:tc>
          <w:tcPr>
            <w:tcW w:w="1581" w:type="pct"/>
          </w:tcPr>
          <w:p w14:paraId="617EEFF2"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Lung Carcinoma</w:t>
            </w:r>
          </w:p>
        </w:tc>
        <w:tc>
          <w:tcPr>
            <w:tcW w:w="830" w:type="pct"/>
          </w:tcPr>
          <w:p w14:paraId="5DC80236"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RPMIcomp</w:t>
            </w:r>
          </w:p>
        </w:tc>
        <w:tc>
          <w:tcPr>
            <w:tcW w:w="1849" w:type="pct"/>
            <w:vMerge/>
          </w:tcPr>
          <w:p w14:paraId="5D09AFA7"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B3AF7" w:rsidRPr="002E26D2" w14:paraId="34803F6E"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5AB3B69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Detroit 562</w:t>
            </w:r>
          </w:p>
        </w:tc>
        <w:tc>
          <w:tcPr>
            <w:tcW w:w="1581" w:type="pct"/>
          </w:tcPr>
          <w:p w14:paraId="3B71883E"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Pleural effusion of pharyngeal carcinoma</w:t>
            </w:r>
          </w:p>
        </w:tc>
        <w:tc>
          <w:tcPr>
            <w:tcW w:w="830" w:type="pct"/>
          </w:tcPr>
          <w:p w14:paraId="0D8478E2"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val="restart"/>
          </w:tcPr>
          <w:p w14:paraId="2E1E3F15"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5A922CB2" w14:textId="77777777" w:rsidR="000B3AF7" w:rsidRPr="002E26D2" w:rsidRDefault="000B3AF7" w:rsidP="007F5C7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 xml:space="preserve">Kind donation of Dr. Jeannine Gioanni, (Centre Antoine Lacasagne, Nice, France) </w:t>
            </w:r>
          </w:p>
          <w:p w14:paraId="34C995B0"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B3AF7" w:rsidRPr="002E26D2" w14:paraId="3B4EBE63"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370E252B"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Cal165</w:t>
            </w:r>
          </w:p>
        </w:tc>
        <w:tc>
          <w:tcPr>
            <w:tcW w:w="1581" w:type="pct"/>
          </w:tcPr>
          <w:p w14:paraId="34B4C407"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Spinocellular pharyngeal carcinoma</w:t>
            </w:r>
          </w:p>
        </w:tc>
        <w:tc>
          <w:tcPr>
            <w:tcW w:w="830" w:type="pct"/>
          </w:tcPr>
          <w:p w14:paraId="15D11F7B"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12B16A7B"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B3AF7" w:rsidRPr="002E26D2" w14:paraId="7E658FB7"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56EA9D4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MDA-MB-231T</w:t>
            </w:r>
          </w:p>
        </w:tc>
        <w:tc>
          <w:tcPr>
            <w:tcW w:w="1581" w:type="pct"/>
          </w:tcPr>
          <w:p w14:paraId="01A17BCD"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Pleural effusion of breast carcinoma</w:t>
            </w:r>
          </w:p>
        </w:tc>
        <w:tc>
          <w:tcPr>
            <w:tcW w:w="830" w:type="pct"/>
          </w:tcPr>
          <w:p w14:paraId="2B171F5F"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shd w:val="clear" w:color="auto" w:fill="F2F2F2" w:themeFill="background1" w:themeFillShade="F2"/>
          </w:tcPr>
          <w:p w14:paraId="311B4652" w14:textId="342210EA" w:rsidR="000B3AF7" w:rsidRPr="002E26D2" w:rsidRDefault="000B3AF7" w:rsidP="00C935D6">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Kind donation of Dr. Patricia S. Steeg (Center for Cancer Research, National Cancer Institute, USA</w:t>
            </w:r>
            <w:r w:rsidR="00C935D6">
              <w:rPr>
                <w:rFonts w:ascii="Times New Roman" w:hAnsi="Times New Roman" w:cs="Times New Roman"/>
                <w:sz w:val="24"/>
                <w:szCs w:val="24"/>
              </w:rPr>
              <w:t>)</w:t>
            </w:r>
          </w:p>
        </w:tc>
      </w:tr>
      <w:tr w:rsidR="00C929EC" w:rsidRPr="002E26D2" w14:paraId="1EAC588D" w14:textId="77777777" w:rsidTr="00B61321">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741" w:type="pct"/>
            <w:tcBorders>
              <w:left w:val="nil"/>
              <w:bottom w:val="nil"/>
              <w:right w:val="nil"/>
            </w:tcBorders>
            <w:shd w:val="clear" w:color="auto" w:fill="FFFFFF" w:themeFill="background1"/>
          </w:tcPr>
          <w:p w14:paraId="44E7D740" w14:textId="77777777" w:rsidR="00C929EC" w:rsidRPr="002E26D2" w:rsidRDefault="00C929EC" w:rsidP="004927BB">
            <w:pPr>
              <w:spacing w:line="360" w:lineRule="auto"/>
              <w:jc w:val="both"/>
              <w:rPr>
                <w:rFonts w:ascii="Times New Roman" w:hAnsi="Times New Roman" w:cs="Times New Roman"/>
                <w:sz w:val="24"/>
                <w:szCs w:val="24"/>
              </w:rPr>
            </w:pPr>
          </w:p>
        </w:tc>
        <w:tc>
          <w:tcPr>
            <w:tcW w:w="1581" w:type="pct"/>
            <w:tcBorders>
              <w:left w:val="nil"/>
              <w:bottom w:val="nil"/>
              <w:right w:val="nil"/>
            </w:tcBorders>
            <w:shd w:val="clear" w:color="auto" w:fill="FFFFFF" w:themeFill="background1"/>
          </w:tcPr>
          <w:p w14:paraId="0D398952" w14:textId="77777777" w:rsidR="00C929EC" w:rsidRPr="002E26D2" w:rsidRDefault="00C929EC"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30" w:type="pct"/>
            <w:tcBorders>
              <w:left w:val="nil"/>
              <w:bottom w:val="nil"/>
              <w:right w:val="nil"/>
            </w:tcBorders>
            <w:shd w:val="clear" w:color="auto" w:fill="FFFFFF" w:themeFill="background1"/>
          </w:tcPr>
          <w:p w14:paraId="7355C4CF" w14:textId="77777777" w:rsidR="00C929EC" w:rsidRPr="002E26D2" w:rsidRDefault="00C929EC"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849" w:type="pct"/>
            <w:tcBorders>
              <w:left w:val="nil"/>
              <w:bottom w:val="nil"/>
              <w:right w:val="nil"/>
            </w:tcBorders>
            <w:shd w:val="clear" w:color="auto" w:fill="FFFFFF" w:themeFill="background1"/>
          </w:tcPr>
          <w:p w14:paraId="3C6C37FA" w14:textId="77777777" w:rsidR="00C929EC" w:rsidRPr="002E26D2" w:rsidRDefault="00C929EC"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C929EC" w:rsidRPr="00C929EC" w14:paraId="5FCBF025" w14:textId="77777777" w:rsidTr="00C935D6">
        <w:trPr>
          <w:trHeight w:val="568"/>
        </w:trPr>
        <w:tc>
          <w:tcPr>
            <w:cnfStyle w:val="001000000000" w:firstRow="0" w:lastRow="0" w:firstColumn="1" w:lastColumn="0" w:oddVBand="0" w:evenVBand="0" w:oddHBand="0" w:evenHBand="0" w:firstRowFirstColumn="0" w:firstRowLastColumn="0" w:lastRowFirstColumn="0" w:lastRowLastColumn="0"/>
            <w:tcW w:w="5000" w:type="pct"/>
            <w:gridSpan w:val="4"/>
            <w:tcBorders>
              <w:top w:val="nil"/>
              <w:left w:val="nil"/>
              <w:bottom w:val="nil"/>
              <w:right w:val="nil"/>
            </w:tcBorders>
            <w:shd w:val="clear" w:color="auto" w:fill="FFFFFF" w:themeFill="background1"/>
          </w:tcPr>
          <w:p w14:paraId="609F7157" w14:textId="703AAC2C" w:rsidR="00C929EC" w:rsidRPr="00C929EC" w:rsidRDefault="00C929EC" w:rsidP="00C929EC">
            <w:pPr>
              <w:pStyle w:val="Caption"/>
              <w:keepNext/>
              <w:spacing w:line="360" w:lineRule="auto"/>
              <w:rPr>
                <w:rFonts w:ascii="Times New Roman" w:hAnsi="Times New Roman" w:cs="Times New Roman"/>
                <w:b w:val="0"/>
                <w:sz w:val="24"/>
                <w:szCs w:val="24"/>
              </w:rPr>
            </w:pPr>
            <w:r w:rsidRPr="00C929EC">
              <w:rPr>
                <w:rFonts w:ascii="Times New Roman" w:hAnsi="Times New Roman" w:cs="Times New Roman"/>
                <w:b w:val="0"/>
                <w:sz w:val="24"/>
                <w:szCs w:val="24"/>
              </w:rPr>
              <w:lastRenderedPageBreak/>
              <w:t xml:space="preserve">Table </w:t>
            </w:r>
            <w:r w:rsidR="003C60CF">
              <w:rPr>
                <w:rFonts w:ascii="Times New Roman" w:hAnsi="Times New Roman" w:cs="Times New Roman"/>
                <w:b w:val="0"/>
                <w:sz w:val="24"/>
                <w:szCs w:val="24"/>
              </w:rPr>
              <w:t>10</w:t>
            </w:r>
            <w:r w:rsidRPr="00C929EC">
              <w:rPr>
                <w:rFonts w:ascii="Times New Roman" w:hAnsi="Times New Roman" w:cs="Times New Roman"/>
                <w:b w:val="0"/>
                <w:sz w:val="24"/>
                <w:szCs w:val="24"/>
              </w:rPr>
              <w:t xml:space="preserve"> :</w:t>
            </w:r>
            <w:r>
              <w:rPr>
                <w:rFonts w:ascii="Times New Roman" w:hAnsi="Times New Roman" w:cs="Times New Roman"/>
                <w:b w:val="0"/>
                <w:sz w:val="24"/>
                <w:szCs w:val="24"/>
              </w:rPr>
              <w:t xml:space="preserve"> - Continued -</w:t>
            </w:r>
            <w:r w:rsidRPr="00C929EC">
              <w:rPr>
                <w:rFonts w:ascii="Times New Roman" w:hAnsi="Times New Roman" w:cs="Times New Roman"/>
                <w:b w:val="0"/>
                <w:sz w:val="24"/>
                <w:szCs w:val="24"/>
              </w:rPr>
              <w:t xml:space="preserve"> Cells and Media</w:t>
            </w:r>
          </w:p>
        </w:tc>
      </w:tr>
      <w:tr w:rsidR="000C63F8" w:rsidRPr="002E26D2" w14:paraId="7BC3A1A5"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Borders>
              <w:top w:val="nil"/>
              <w:left w:val="nil"/>
              <w:right w:val="nil"/>
            </w:tcBorders>
            <w:shd w:val="clear" w:color="auto" w:fill="FFFFFF" w:themeFill="background1"/>
          </w:tcPr>
          <w:p w14:paraId="1F09D993" w14:textId="77777777" w:rsidR="000C63F8" w:rsidRPr="000C63F8" w:rsidRDefault="000C63F8" w:rsidP="000C63F8">
            <w:pPr>
              <w:spacing w:line="360" w:lineRule="auto"/>
              <w:jc w:val="both"/>
              <w:rPr>
                <w:rFonts w:ascii="Times New Roman" w:hAnsi="Times New Roman" w:cs="Times New Roman"/>
                <w:sz w:val="2"/>
                <w:szCs w:val="2"/>
              </w:rPr>
            </w:pPr>
          </w:p>
        </w:tc>
        <w:tc>
          <w:tcPr>
            <w:tcW w:w="1581" w:type="pct"/>
            <w:tcBorders>
              <w:top w:val="nil"/>
              <w:left w:val="nil"/>
              <w:right w:val="nil"/>
            </w:tcBorders>
            <w:shd w:val="clear" w:color="auto" w:fill="FFFFFF" w:themeFill="background1"/>
          </w:tcPr>
          <w:p w14:paraId="57ECA708" w14:textId="77777777" w:rsidR="000C63F8" w:rsidRPr="000C63F8"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
                <w:szCs w:val="2"/>
              </w:rPr>
            </w:pPr>
          </w:p>
        </w:tc>
        <w:tc>
          <w:tcPr>
            <w:tcW w:w="830" w:type="pct"/>
            <w:tcBorders>
              <w:top w:val="nil"/>
              <w:left w:val="nil"/>
              <w:right w:val="nil"/>
            </w:tcBorders>
            <w:shd w:val="clear" w:color="auto" w:fill="FFFFFF" w:themeFill="background1"/>
          </w:tcPr>
          <w:p w14:paraId="2CD0B473" w14:textId="77777777" w:rsidR="000C63F8" w:rsidRPr="000C63F8"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
                <w:szCs w:val="2"/>
              </w:rPr>
            </w:pPr>
          </w:p>
        </w:tc>
        <w:tc>
          <w:tcPr>
            <w:tcW w:w="1849" w:type="pct"/>
            <w:tcBorders>
              <w:top w:val="nil"/>
              <w:left w:val="nil"/>
              <w:right w:val="nil"/>
            </w:tcBorders>
            <w:shd w:val="clear" w:color="auto" w:fill="FFFFFF" w:themeFill="background1"/>
          </w:tcPr>
          <w:p w14:paraId="5DA771BF" w14:textId="77777777" w:rsidR="000C63F8" w:rsidRPr="000C63F8"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
                <w:szCs w:val="2"/>
              </w:rPr>
            </w:pPr>
          </w:p>
        </w:tc>
      </w:tr>
      <w:tr w:rsidR="000C63F8" w:rsidRPr="002E26D2" w14:paraId="0E7CF4BD"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14440A01" w14:textId="1F33795A"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Cell line</w:t>
            </w:r>
          </w:p>
        </w:tc>
        <w:tc>
          <w:tcPr>
            <w:tcW w:w="1581" w:type="pct"/>
          </w:tcPr>
          <w:p w14:paraId="11407819" w14:textId="14C34551" w:rsidR="000C63F8" w:rsidRPr="000C63F8"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0C63F8">
              <w:rPr>
                <w:rFonts w:ascii="Times New Roman" w:hAnsi="Times New Roman" w:cs="Times New Roman"/>
                <w:b/>
                <w:sz w:val="24"/>
                <w:szCs w:val="24"/>
              </w:rPr>
              <w:t>Cell type</w:t>
            </w:r>
            <w:r w:rsidRPr="000C63F8">
              <w:rPr>
                <w:rFonts w:ascii="Times New Roman" w:hAnsi="Times New Roman" w:cs="Times New Roman"/>
                <w:b/>
                <w:sz w:val="24"/>
                <w:szCs w:val="24"/>
              </w:rPr>
              <w:tab/>
            </w:r>
          </w:p>
        </w:tc>
        <w:tc>
          <w:tcPr>
            <w:tcW w:w="830" w:type="pct"/>
          </w:tcPr>
          <w:p w14:paraId="714BFF3E" w14:textId="2247032D" w:rsidR="000C63F8" w:rsidRPr="000C63F8"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0C63F8">
              <w:rPr>
                <w:rFonts w:ascii="Times New Roman" w:hAnsi="Times New Roman" w:cs="Times New Roman"/>
                <w:b/>
                <w:sz w:val="24"/>
                <w:szCs w:val="24"/>
              </w:rPr>
              <w:t>Media</w:t>
            </w:r>
          </w:p>
        </w:tc>
        <w:tc>
          <w:tcPr>
            <w:tcW w:w="1849" w:type="pct"/>
          </w:tcPr>
          <w:p w14:paraId="0B8BD527" w14:textId="1951AB85" w:rsidR="000C63F8" w:rsidRPr="000C63F8"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0C63F8">
              <w:rPr>
                <w:rFonts w:ascii="Times New Roman" w:hAnsi="Times New Roman" w:cs="Times New Roman"/>
                <w:b/>
                <w:sz w:val="24"/>
                <w:szCs w:val="24"/>
              </w:rPr>
              <w:t>Origin</w:t>
            </w:r>
          </w:p>
        </w:tc>
      </w:tr>
      <w:tr w:rsidR="000C63F8" w:rsidRPr="002E26D2" w14:paraId="6386D13E"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19475276" w14:textId="77777777" w:rsidR="000C63F8" w:rsidRPr="002E26D2" w:rsidRDefault="000C63F8" w:rsidP="00C935D6">
            <w:pPr>
              <w:spacing w:line="360" w:lineRule="auto"/>
              <w:rPr>
                <w:rFonts w:ascii="Times New Roman" w:hAnsi="Times New Roman" w:cs="Times New Roman"/>
                <w:sz w:val="24"/>
                <w:szCs w:val="24"/>
              </w:rPr>
            </w:pPr>
            <w:r w:rsidRPr="002E26D2">
              <w:rPr>
                <w:rFonts w:ascii="Times New Roman" w:hAnsi="Times New Roman" w:cs="Times New Roman"/>
                <w:sz w:val="24"/>
                <w:szCs w:val="24"/>
              </w:rPr>
              <w:t>H460</w:t>
            </w:r>
          </w:p>
        </w:tc>
        <w:tc>
          <w:tcPr>
            <w:tcW w:w="1581" w:type="pct"/>
          </w:tcPr>
          <w:p w14:paraId="6033352F" w14:textId="77777777" w:rsidR="000C63F8" w:rsidRPr="002E26D2" w:rsidRDefault="000C63F8" w:rsidP="00C935D6">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Lung carcinoma</w:t>
            </w:r>
          </w:p>
        </w:tc>
        <w:tc>
          <w:tcPr>
            <w:tcW w:w="830" w:type="pct"/>
          </w:tcPr>
          <w:p w14:paraId="278C2E62" w14:textId="77777777" w:rsidR="000C63F8" w:rsidRPr="002E26D2" w:rsidRDefault="000C63F8" w:rsidP="00C935D6">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RPMIcomp</w:t>
            </w:r>
          </w:p>
        </w:tc>
        <w:tc>
          <w:tcPr>
            <w:tcW w:w="1849" w:type="pct"/>
          </w:tcPr>
          <w:p w14:paraId="47DC2511" w14:textId="57495F92" w:rsidR="000C63F8" w:rsidRPr="002E26D2" w:rsidRDefault="000C63F8" w:rsidP="00C935D6">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Kind donation of Dr. Marijeta Kralj (Laboratory of Experimental Therapy, Ruđer Bošković Institute, Croatia)</w:t>
            </w:r>
          </w:p>
        </w:tc>
      </w:tr>
      <w:tr w:rsidR="000C63F8" w:rsidRPr="002E26D2" w14:paraId="690DD3E9"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46163015"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MJ90</w:t>
            </w:r>
          </w:p>
        </w:tc>
        <w:tc>
          <w:tcPr>
            <w:tcW w:w="1581" w:type="pct"/>
          </w:tcPr>
          <w:p w14:paraId="5C3F796F"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Human skin fibroblast</w:t>
            </w:r>
          </w:p>
        </w:tc>
        <w:tc>
          <w:tcPr>
            <w:tcW w:w="830" w:type="pct"/>
          </w:tcPr>
          <w:p w14:paraId="0A226F12"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tcPr>
          <w:p w14:paraId="660BAD8C" w14:textId="73FCDAE1"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Pereira-Smith laboratory</w:t>
            </w:r>
          </w:p>
        </w:tc>
      </w:tr>
      <w:tr w:rsidR="000C63F8" w:rsidRPr="002E26D2" w14:paraId="12332EE1"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52877BBE"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MDA-MB-436</w:t>
            </w:r>
          </w:p>
        </w:tc>
        <w:tc>
          <w:tcPr>
            <w:tcW w:w="1581" w:type="pct"/>
          </w:tcPr>
          <w:p w14:paraId="32A309A8"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Pleural effusion of breast carcinoma</w:t>
            </w:r>
          </w:p>
        </w:tc>
        <w:tc>
          <w:tcPr>
            <w:tcW w:w="830" w:type="pct"/>
          </w:tcPr>
          <w:p w14:paraId="33B63F82"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val="restart"/>
          </w:tcPr>
          <w:p w14:paraId="71AF3105"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68F88201"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0A03D80"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E6428DF"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380D6E5"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20C0C78A"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1EB3C364"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15B8707"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F57FE1E"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4DBCB85D"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ATCC® CCL-2™</w:t>
            </w:r>
          </w:p>
          <w:p w14:paraId="5BF99E1A"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C63F8" w:rsidRPr="002E26D2" w14:paraId="59D689AF"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509A22A3"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C33</w:t>
            </w:r>
          </w:p>
        </w:tc>
        <w:tc>
          <w:tcPr>
            <w:tcW w:w="1581" w:type="pct"/>
          </w:tcPr>
          <w:p w14:paraId="442FAA32"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Cervix carcinoma</w:t>
            </w:r>
          </w:p>
        </w:tc>
        <w:tc>
          <w:tcPr>
            <w:tcW w:w="830" w:type="pct"/>
          </w:tcPr>
          <w:p w14:paraId="73A117FA"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0621CD88"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C63F8" w:rsidRPr="002E26D2" w14:paraId="146CA479"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166CF005"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LNCaP</w:t>
            </w:r>
          </w:p>
        </w:tc>
        <w:tc>
          <w:tcPr>
            <w:tcW w:w="1581" w:type="pct"/>
          </w:tcPr>
          <w:p w14:paraId="6C40A371"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Prostate adenocarcinoma metastatic</w:t>
            </w:r>
          </w:p>
        </w:tc>
        <w:tc>
          <w:tcPr>
            <w:tcW w:w="830" w:type="pct"/>
          </w:tcPr>
          <w:p w14:paraId="06CB05AA"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RPMIcomp</w:t>
            </w:r>
          </w:p>
        </w:tc>
        <w:tc>
          <w:tcPr>
            <w:tcW w:w="1849" w:type="pct"/>
            <w:vMerge/>
          </w:tcPr>
          <w:p w14:paraId="35A4F58B"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C63F8" w:rsidRPr="002E26D2" w14:paraId="17458A31"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26EE7AAB"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PC3</w:t>
            </w:r>
          </w:p>
        </w:tc>
        <w:tc>
          <w:tcPr>
            <w:tcW w:w="1581" w:type="pct"/>
          </w:tcPr>
          <w:p w14:paraId="25E4BB41"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Prostate adenocarcinoma metastatic</w:t>
            </w:r>
          </w:p>
        </w:tc>
        <w:tc>
          <w:tcPr>
            <w:tcW w:w="830" w:type="pct"/>
          </w:tcPr>
          <w:p w14:paraId="52F06AE1"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6C411167"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C63F8" w:rsidRPr="002E26D2" w14:paraId="4F442489"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61D33152"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Du145</w:t>
            </w:r>
          </w:p>
        </w:tc>
        <w:tc>
          <w:tcPr>
            <w:tcW w:w="1581" w:type="pct"/>
          </w:tcPr>
          <w:p w14:paraId="7E18077A"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Prostate carcinoma metastatic</w:t>
            </w:r>
          </w:p>
        </w:tc>
        <w:tc>
          <w:tcPr>
            <w:tcW w:w="830" w:type="pct"/>
          </w:tcPr>
          <w:p w14:paraId="7AE3DAB6"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124A8104"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C63F8" w:rsidRPr="002E26D2" w14:paraId="5F42BD26"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043A6A73"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MCF7</w:t>
            </w:r>
          </w:p>
        </w:tc>
        <w:tc>
          <w:tcPr>
            <w:tcW w:w="1581" w:type="pct"/>
          </w:tcPr>
          <w:p w14:paraId="5012669D"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Pleural effusion of breast carcinoma</w:t>
            </w:r>
          </w:p>
        </w:tc>
        <w:tc>
          <w:tcPr>
            <w:tcW w:w="830" w:type="pct"/>
          </w:tcPr>
          <w:p w14:paraId="6CF76EA6"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6B5CB96F"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C63F8" w:rsidRPr="002E26D2" w14:paraId="634B7949"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1E5F5551"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SKOV 3</w:t>
            </w:r>
          </w:p>
        </w:tc>
        <w:tc>
          <w:tcPr>
            <w:tcW w:w="1581" w:type="pct"/>
          </w:tcPr>
          <w:p w14:paraId="4A58B73A"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Ovary adenocarcinoma</w:t>
            </w:r>
          </w:p>
        </w:tc>
        <w:tc>
          <w:tcPr>
            <w:tcW w:w="830" w:type="pct"/>
          </w:tcPr>
          <w:p w14:paraId="487A0BC1"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RPMIcomp</w:t>
            </w:r>
          </w:p>
        </w:tc>
        <w:tc>
          <w:tcPr>
            <w:tcW w:w="1849" w:type="pct"/>
            <w:vMerge/>
          </w:tcPr>
          <w:p w14:paraId="0D21C33B"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C63F8" w:rsidRPr="002E26D2" w14:paraId="180C4086"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6178D0F7"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RD</w:t>
            </w:r>
          </w:p>
        </w:tc>
        <w:tc>
          <w:tcPr>
            <w:tcW w:w="1581" w:type="pct"/>
          </w:tcPr>
          <w:p w14:paraId="72F57FB3"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Rhabdomyosarcoma</w:t>
            </w:r>
          </w:p>
        </w:tc>
        <w:tc>
          <w:tcPr>
            <w:tcW w:w="830" w:type="pct"/>
          </w:tcPr>
          <w:p w14:paraId="4F30EC6A"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22EA780D"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C63F8" w:rsidRPr="002E26D2" w14:paraId="1C6B2F66"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29141831"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HCT 116</w:t>
            </w:r>
          </w:p>
        </w:tc>
        <w:tc>
          <w:tcPr>
            <w:tcW w:w="1581" w:type="pct"/>
          </w:tcPr>
          <w:p w14:paraId="02F0DC88"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Colorectal carcinoma</w:t>
            </w:r>
          </w:p>
        </w:tc>
        <w:tc>
          <w:tcPr>
            <w:tcW w:w="830" w:type="pct"/>
          </w:tcPr>
          <w:p w14:paraId="6D4900E1"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RPMIcomp</w:t>
            </w:r>
          </w:p>
        </w:tc>
        <w:tc>
          <w:tcPr>
            <w:tcW w:w="1849" w:type="pct"/>
            <w:vMerge/>
          </w:tcPr>
          <w:p w14:paraId="24B3AFC7"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C63F8" w:rsidRPr="002E26D2" w14:paraId="163B7D22"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5706282E"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SW620</w:t>
            </w:r>
          </w:p>
        </w:tc>
        <w:tc>
          <w:tcPr>
            <w:tcW w:w="1581" w:type="pct"/>
          </w:tcPr>
          <w:p w14:paraId="22405B88"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Colorectal carcinoma, lymph node metastasis</w:t>
            </w:r>
          </w:p>
        </w:tc>
        <w:tc>
          <w:tcPr>
            <w:tcW w:w="830" w:type="pct"/>
          </w:tcPr>
          <w:p w14:paraId="1A043CB0"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2F98DBF8"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C63F8" w:rsidRPr="002E26D2" w14:paraId="7710EAC9"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033C3222"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HeLa</w:t>
            </w:r>
          </w:p>
        </w:tc>
        <w:tc>
          <w:tcPr>
            <w:tcW w:w="1581" w:type="pct"/>
          </w:tcPr>
          <w:p w14:paraId="375BFF58"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Cervix adenocarcinoma</w:t>
            </w:r>
          </w:p>
        </w:tc>
        <w:tc>
          <w:tcPr>
            <w:tcW w:w="830" w:type="pct"/>
          </w:tcPr>
          <w:p w14:paraId="5F5FA744"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73A0B371"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C63F8" w:rsidRPr="002E26D2" w14:paraId="398B6D2E"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5F0C2138"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HACAT</w:t>
            </w:r>
          </w:p>
        </w:tc>
        <w:tc>
          <w:tcPr>
            <w:tcW w:w="1581" w:type="pct"/>
          </w:tcPr>
          <w:p w14:paraId="6F635974"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Human keratinocyte</w:t>
            </w:r>
          </w:p>
        </w:tc>
        <w:tc>
          <w:tcPr>
            <w:tcW w:w="830" w:type="pct"/>
          </w:tcPr>
          <w:p w14:paraId="516B977F"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279FD3C1"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C63F8" w:rsidRPr="002E26D2" w14:paraId="627DCB9D"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34E83DED"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WPMY-1</w:t>
            </w:r>
          </w:p>
        </w:tc>
        <w:tc>
          <w:tcPr>
            <w:tcW w:w="1581" w:type="pct"/>
          </w:tcPr>
          <w:p w14:paraId="4C9C7A20"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Human prostate fibroblast</w:t>
            </w:r>
          </w:p>
        </w:tc>
        <w:tc>
          <w:tcPr>
            <w:tcW w:w="830" w:type="pct"/>
          </w:tcPr>
          <w:p w14:paraId="2A05ECFA"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4060F402"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C63F8" w:rsidRPr="002E26D2" w14:paraId="61B8A202"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0EF92C8A"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HEK293</w:t>
            </w:r>
          </w:p>
        </w:tc>
        <w:tc>
          <w:tcPr>
            <w:tcW w:w="1581" w:type="pct"/>
          </w:tcPr>
          <w:p w14:paraId="082E7032"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Human embryonic kidney</w:t>
            </w:r>
          </w:p>
        </w:tc>
        <w:tc>
          <w:tcPr>
            <w:tcW w:w="830" w:type="pct"/>
          </w:tcPr>
          <w:p w14:paraId="7892DB45"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34F2CD3E"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0C63F8" w:rsidRPr="002E26D2" w14:paraId="07429C9A" w14:textId="77777777" w:rsidTr="00B613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1" w:type="pct"/>
          </w:tcPr>
          <w:p w14:paraId="032C0271"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MDA-MB-435</w:t>
            </w:r>
          </w:p>
        </w:tc>
        <w:tc>
          <w:tcPr>
            <w:tcW w:w="1581" w:type="pct"/>
          </w:tcPr>
          <w:p w14:paraId="4A66691D"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Melanoma</w:t>
            </w:r>
          </w:p>
        </w:tc>
        <w:tc>
          <w:tcPr>
            <w:tcW w:w="830" w:type="pct"/>
          </w:tcPr>
          <w:p w14:paraId="55DB62FD"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5C717281" w14:textId="77777777" w:rsidR="000C63F8" w:rsidRPr="002E26D2" w:rsidRDefault="000C63F8" w:rsidP="000C63F8">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0C63F8" w:rsidRPr="002E26D2" w14:paraId="31451ADB" w14:textId="77777777" w:rsidTr="00B61321">
        <w:tc>
          <w:tcPr>
            <w:cnfStyle w:val="001000000000" w:firstRow="0" w:lastRow="0" w:firstColumn="1" w:lastColumn="0" w:oddVBand="0" w:evenVBand="0" w:oddHBand="0" w:evenHBand="0" w:firstRowFirstColumn="0" w:firstRowLastColumn="0" w:lastRowFirstColumn="0" w:lastRowLastColumn="0"/>
            <w:tcW w:w="741" w:type="pct"/>
          </w:tcPr>
          <w:p w14:paraId="217E7C57" w14:textId="77777777" w:rsidR="000C63F8" w:rsidRPr="002E26D2" w:rsidRDefault="000C63F8" w:rsidP="000C63F8">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RKO</w:t>
            </w:r>
          </w:p>
        </w:tc>
        <w:tc>
          <w:tcPr>
            <w:tcW w:w="1581" w:type="pct"/>
          </w:tcPr>
          <w:p w14:paraId="0C74D885"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Rectal Carcinoma</w:t>
            </w:r>
          </w:p>
        </w:tc>
        <w:tc>
          <w:tcPr>
            <w:tcW w:w="830" w:type="pct"/>
          </w:tcPr>
          <w:p w14:paraId="79A321A8"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DMEMcomp</w:t>
            </w:r>
          </w:p>
        </w:tc>
        <w:tc>
          <w:tcPr>
            <w:tcW w:w="1849" w:type="pct"/>
            <w:vMerge/>
          </w:tcPr>
          <w:p w14:paraId="024F24D8" w14:textId="77777777" w:rsidR="000C63F8" w:rsidRPr="002E26D2" w:rsidRDefault="000C63F8" w:rsidP="000C63F8">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212546B4" w14:textId="05735818" w:rsidR="00B61321" w:rsidRPr="009F6B80" w:rsidRDefault="00B61321" w:rsidP="000B7A57">
      <w:pPr>
        <w:rPr>
          <w:rFonts w:ascii="Times New Roman" w:hAnsi="Times New Roman" w:cs="Times New Roman"/>
          <w:sz w:val="24"/>
          <w:szCs w:val="24"/>
        </w:rPr>
      </w:pPr>
    </w:p>
    <w:p w14:paraId="3507452B" w14:textId="77777777" w:rsidR="00B61321" w:rsidRDefault="00B61321">
      <w:pPr>
        <w:rPr>
          <w:rFonts w:ascii="Times New Roman" w:eastAsia="Calibri" w:hAnsi="Times New Roman" w:cs="Times New Roman"/>
          <w:b/>
          <w:sz w:val="24"/>
          <w:szCs w:val="24"/>
          <w:u w:val="single"/>
        </w:rPr>
      </w:pPr>
      <w:r>
        <w:br w:type="page"/>
      </w:r>
    </w:p>
    <w:p w14:paraId="71AF515C" w14:textId="6CF97FFD" w:rsidR="000B3AF7" w:rsidRPr="002E26D2" w:rsidRDefault="00934CD5" w:rsidP="003775DE">
      <w:pPr>
        <w:pStyle w:val="Heading3"/>
      </w:pPr>
      <w:bookmarkStart w:id="73" w:name="_Toc117153840"/>
      <w:r w:rsidRPr="002E26D2">
        <w:lastRenderedPageBreak/>
        <w:t>Plasmids</w:t>
      </w:r>
      <w:r w:rsidR="00ED2D0F">
        <w:t>, primers</w:t>
      </w:r>
      <w:r w:rsidRPr="002E26D2">
        <w:t xml:space="preserve"> and silencers</w:t>
      </w:r>
      <w:bookmarkEnd w:id="73"/>
    </w:p>
    <w:p w14:paraId="17EC20D7" w14:textId="1BFD6187" w:rsidR="00F734BC" w:rsidRPr="00F734BC" w:rsidRDefault="00F734BC" w:rsidP="00F734BC">
      <w:pPr>
        <w:pStyle w:val="Caption"/>
        <w:keepNext/>
        <w:rPr>
          <w:rFonts w:ascii="Times New Roman" w:hAnsi="Times New Roman" w:cs="Times New Roman"/>
          <w:sz w:val="24"/>
          <w:szCs w:val="24"/>
        </w:rPr>
      </w:pPr>
      <w:bookmarkStart w:id="74" w:name="_Ref107320460"/>
      <w:r w:rsidRPr="00F734BC">
        <w:rPr>
          <w:rFonts w:ascii="Times New Roman" w:hAnsi="Times New Roman" w:cs="Times New Roman"/>
          <w:sz w:val="24"/>
          <w:szCs w:val="24"/>
        </w:rPr>
        <w:t xml:space="preserve">Table </w:t>
      </w:r>
      <w:r w:rsidRPr="00F734BC">
        <w:rPr>
          <w:rFonts w:ascii="Times New Roman" w:hAnsi="Times New Roman" w:cs="Times New Roman"/>
          <w:sz w:val="24"/>
          <w:szCs w:val="24"/>
        </w:rPr>
        <w:fldChar w:fldCharType="begin"/>
      </w:r>
      <w:r w:rsidRPr="00F734BC">
        <w:rPr>
          <w:rFonts w:ascii="Times New Roman" w:hAnsi="Times New Roman" w:cs="Times New Roman"/>
          <w:sz w:val="24"/>
          <w:szCs w:val="24"/>
        </w:rPr>
        <w:instrText xml:space="preserve"> SEQ Table \* ARABIC </w:instrText>
      </w:r>
      <w:r w:rsidRPr="00F734BC">
        <w:rPr>
          <w:rFonts w:ascii="Times New Roman" w:hAnsi="Times New Roman" w:cs="Times New Roman"/>
          <w:sz w:val="24"/>
          <w:szCs w:val="24"/>
        </w:rPr>
        <w:fldChar w:fldCharType="separate"/>
      </w:r>
      <w:r w:rsidR="00790F77">
        <w:rPr>
          <w:rFonts w:ascii="Times New Roman" w:hAnsi="Times New Roman" w:cs="Times New Roman"/>
          <w:noProof/>
          <w:sz w:val="24"/>
          <w:szCs w:val="24"/>
        </w:rPr>
        <w:t>11</w:t>
      </w:r>
      <w:r w:rsidRPr="00F734BC">
        <w:rPr>
          <w:rFonts w:ascii="Times New Roman" w:hAnsi="Times New Roman" w:cs="Times New Roman"/>
          <w:sz w:val="24"/>
          <w:szCs w:val="24"/>
        </w:rPr>
        <w:fldChar w:fldCharType="end"/>
      </w:r>
      <w:bookmarkEnd w:id="74"/>
      <w:r>
        <w:rPr>
          <w:rFonts w:ascii="Times New Roman" w:hAnsi="Times New Roman" w:cs="Times New Roman"/>
          <w:sz w:val="24"/>
          <w:szCs w:val="24"/>
        </w:rPr>
        <w:t xml:space="preserve">: </w:t>
      </w:r>
      <w:r w:rsidRPr="002E26D2">
        <w:rPr>
          <w:rFonts w:ascii="Times New Roman" w:hAnsi="Times New Roman" w:cs="Times New Roman"/>
          <w:sz w:val="24"/>
          <w:szCs w:val="24"/>
        </w:rPr>
        <w:t>Plasmids and associated primers used in the study</w:t>
      </w:r>
    </w:p>
    <w:tbl>
      <w:tblPr>
        <w:tblStyle w:val="PlainTable1"/>
        <w:tblW w:w="0" w:type="auto"/>
        <w:tblLayout w:type="fixed"/>
        <w:tblLook w:val="04A0" w:firstRow="1" w:lastRow="0" w:firstColumn="1" w:lastColumn="0" w:noHBand="0" w:noVBand="1"/>
      </w:tblPr>
      <w:tblGrid>
        <w:gridCol w:w="2052"/>
        <w:gridCol w:w="2195"/>
        <w:gridCol w:w="1230"/>
        <w:gridCol w:w="1889"/>
        <w:gridCol w:w="1650"/>
      </w:tblGrid>
      <w:tr w:rsidR="009B5A2E" w:rsidRPr="00ED2D0F" w14:paraId="74CB55BC" w14:textId="77777777" w:rsidTr="00A126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3CE859A9" w14:textId="77777777" w:rsidR="00413DBF" w:rsidRDefault="00413DBF" w:rsidP="009B5A2E">
            <w:pPr>
              <w:pStyle w:val="Caption"/>
              <w:keepNext/>
              <w:spacing w:line="360" w:lineRule="auto"/>
              <w:jc w:val="left"/>
              <w:rPr>
                <w:rFonts w:ascii="Times New Roman" w:hAnsi="Times New Roman" w:cs="Times New Roman"/>
                <w:b w:val="0"/>
                <w:bCs/>
                <w:sz w:val="24"/>
                <w:szCs w:val="24"/>
              </w:rPr>
            </w:pPr>
            <w:bookmarkStart w:id="75" w:name="_Ref106008788"/>
          </w:p>
          <w:p w14:paraId="2647EEF4" w14:textId="4257C9DF" w:rsidR="00ED2D0F" w:rsidRPr="00ED2D0F" w:rsidRDefault="00ED2D0F" w:rsidP="009B5A2E">
            <w:pPr>
              <w:pStyle w:val="Caption"/>
              <w:keepNext/>
              <w:spacing w:line="360" w:lineRule="auto"/>
              <w:jc w:val="left"/>
              <w:rPr>
                <w:rFonts w:ascii="Times New Roman" w:hAnsi="Times New Roman" w:cs="Times New Roman"/>
                <w:sz w:val="24"/>
                <w:szCs w:val="24"/>
              </w:rPr>
            </w:pPr>
            <w:r w:rsidRPr="00ED2D0F">
              <w:rPr>
                <w:rFonts w:ascii="Times New Roman" w:hAnsi="Times New Roman" w:cs="Times New Roman"/>
                <w:sz w:val="24"/>
                <w:szCs w:val="24"/>
              </w:rPr>
              <w:t>Plasmid Name</w:t>
            </w:r>
          </w:p>
        </w:tc>
        <w:tc>
          <w:tcPr>
            <w:tcW w:w="2195" w:type="dxa"/>
          </w:tcPr>
          <w:p w14:paraId="09DCFCA5" w14:textId="77777777" w:rsidR="00413DBF" w:rsidRDefault="00413DBF" w:rsidP="009B5A2E">
            <w:pPr>
              <w:pStyle w:val="Caption"/>
              <w:keepNext/>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sz w:val="24"/>
                <w:szCs w:val="24"/>
              </w:rPr>
            </w:pPr>
          </w:p>
          <w:p w14:paraId="30A6D970" w14:textId="1E49A21D" w:rsidR="00ED2D0F" w:rsidRPr="00ED2D0F" w:rsidRDefault="00ED2D0F" w:rsidP="009B5A2E">
            <w:pPr>
              <w:pStyle w:val="Caption"/>
              <w:keepNext/>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Plasmid of origin</w:t>
            </w:r>
          </w:p>
        </w:tc>
        <w:tc>
          <w:tcPr>
            <w:tcW w:w="1230" w:type="dxa"/>
          </w:tcPr>
          <w:p w14:paraId="5A0C4CD9" w14:textId="77777777" w:rsidR="00413DBF" w:rsidRDefault="00413DBF" w:rsidP="009B5A2E">
            <w:pPr>
              <w:pStyle w:val="Caption"/>
              <w:keepNext/>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sz w:val="24"/>
                <w:szCs w:val="24"/>
              </w:rPr>
            </w:pPr>
          </w:p>
          <w:p w14:paraId="0BF06C84" w14:textId="0DF3B8FC" w:rsidR="00ED2D0F" w:rsidRPr="00ED2D0F" w:rsidRDefault="00ED2D0F" w:rsidP="009B5A2E">
            <w:pPr>
              <w:pStyle w:val="Caption"/>
              <w:keepNext/>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Cloned in</w:t>
            </w:r>
          </w:p>
        </w:tc>
        <w:tc>
          <w:tcPr>
            <w:tcW w:w="1889" w:type="dxa"/>
          </w:tcPr>
          <w:p w14:paraId="4A83F10A" w14:textId="77777777" w:rsidR="00A1260E" w:rsidRDefault="00ED2D0F" w:rsidP="009B5A2E">
            <w:pPr>
              <w:pStyle w:val="Caption"/>
              <w:keepNext/>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sz w:val="24"/>
                <w:szCs w:val="24"/>
              </w:rPr>
            </w:pPr>
            <w:r w:rsidRPr="00ED2D0F">
              <w:rPr>
                <w:rFonts w:ascii="Times New Roman" w:hAnsi="Times New Roman" w:cs="Times New Roman"/>
                <w:sz w:val="24"/>
                <w:szCs w:val="24"/>
              </w:rPr>
              <w:t>Primers</w:t>
            </w:r>
            <w:r w:rsidR="00A1260E">
              <w:rPr>
                <w:rFonts w:ascii="Times New Roman" w:hAnsi="Times New Roman" w:cs="Times New Roman"/>
                <w:sz w:val="24"/>
                <w:szCs w:val="24"/>
              </w:rPr>
              <w:t xml:space="preserve"> </w:t>
            </w:r>
          </w:p>
          <w:p w14:paraId="217FBABA" w14:textId="65288F89" w:rsidR="00ED2D0F" w:rsidRPr="00ED2D0F" w:rsidRDefault="00A1260E" w:rsidP="009B5A2E">
            <w:pPr>
              <w:pStyle w:val="Caption"/>
              <w:keepNext/>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008F017E">
              <w:rPr>
                <w:rFonts w:ascii="Times New Roman" w:hAnsi="Times New Roman" w:cs="Times New Roman"/>
                <w:sz w:val="24"/>
                <w:szCs w:val="24"/>
              </w:rPr>
              <w:fldChar w:fldCharType="begin"/>
            </w:r>
            <w:r w:rsidR="008F017E">
              <w:rPr>
                <w:rFonts w:ascii="Times New Roman" w:hAnsi="Times New Roman" w:cs="Times New Roman"/>
                <w:sz w:val="24"/>
                <w:szCs w:val="24"/>
              </w:rPr>
              <w:instrText xml:space="preserve"> REF _Ref107320463 \h </w:instrText>
            </w:r>
            <w:r w:rsidR="008F017E">
              <w:rPr>
                <w:rFonts w:ascii="Times New Roman" w:hAnsi="Times New Roman" w:cs="Times New Roman"/>
                <w:sz w:val="24"/>
                <w:szCs w:val="24"/>
              </w:rPr>
            </w:r>
            <w:r w:rsidR="008F017E">
              <w:rPr>
                <w:rFonts w:ascii="Times New Roman" w:hAnsi="Times New Roman" w:cs="Times New Roman"/>
                <w:sz w:val="24"/>
                <w:szCs w:val="24"/>
              </w:rPr>
              <w:fldChar w:fldCharType="separate"/>
            </w:r>
            <w:r w:rsidR="00790F77" w:rsidRPr="00C838B5">
              <w:rPr>
                <w:rFonts w:ascii="Times New Roman" w:hAnsi="Times New Roman" w:cs="Times New Roman"/>
                <w:sz w:val="24"/>
                <w:szCs w:val="24"/>
              </w:rPr>
              <w:t xml:space="preserve">Table </w:t>
            </w:r>
            <w:r w:rsidR="00790F77">
              <w:rPr>
                <w:rFonts w:ascii="Times New Roman" w:hAnsi="Times New Roman" w:cs="Times New Roman"/>
                <w:noProof/>
                <w:sz w:val="24"/>
                <w:szCs w:val="24"/>
              </w:rPr>
              <w:t>12</w:t>
            </w:r>
            <w:r w:rsidR="008F017E">
              <w:rPr>
                <w:rFonts w:ascii="Times New Roman" w:hAnsi="Times New Roman" w:cs="Times New Roman"/>
                <w:sz w:val="24"/>
                <w:szCs w:val="24"/>
              </w:rPr>
              <w:fldChar w:fldCharType="end"/>
            </w:r>
            <w:r>
              <w:rPr>
                <w:rFonts w:ascii="Times New Roman" w:hAnsi="Times New Roman" w:cs="Times New Roman"/>
                <w:sz w:val="24"/>
                <w:szCs w:val="24"/>
              </w:rPr>
              <w:t>)</w:t>
            </w:r>
          </w:p>
        </w:tc>
        <w:tc>
          <w:tcPr>
            <w:tcW w:w="1650" w:type="dxa"/>
          </w:tcPr>
          <w:p w14:paraId="2BF44E90" w14:textId="77777777" w:rsidR="00413DBF" w:rsidRDefault="00413DBF" w:rsidP="009B5A2E">
            <w:pPr>
              <w:pStyle w:val="Caption"/>
              <w:keepNext/>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sz w:val="24"/>
                <w:szCs w:val="24"/>
              </w:rPr>
            </w:pPr>
          </w:p>
          <w:p w14:paraId="3C2B42F1" w14:textId="7B2A971E" w:rsidR="00ED2D0F" w:rsidRPr="00ED2D0F" w:rsidRDefault="00ED2D0F" w:rsidP="009B5A2E">
            <w:pPr>
              <w:pStyle w:val="Caption"/>
              <w:keepNext/>
              <w:spacing w:line="36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TAG</w:t>
            </w:r>
          </w:p>
        </w:tc>
      </w:tr>
      <w:tr w:rsidR="009B5A2E" w:rsidRPr="00ED2D0F" w14:paraId="70FD5B7C" w14:textId="77777777" w:rsidTr="00A126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37A50DBA" w14:textId="5F35EAE4"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pNME6-194-GFP</w:t>
            </w:r>
          </w:p>
        </w:tc>
        <w:tc>
          <w:tcPr>
            <w:tcW w:w="2195" w:type="dxa"/>
          </w:tcPr>
          <w:p w14:paraId="520C58EF" w14:textId="79C542CF"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RG200541, Origene</w:t>
            </w:r>
          </w:p>
        </w:tc>
        <w:tc>
          <w:tcPr>
            <w:tcW w:w="1230" w:type="dxa"/>
          </w:tcPr>
          <w:p w14:paraId="3EBCA3CA" w14:textId="1E549424" w:rsidR="00ED2D0F" w:rsidRPr="00ED2D0F" w:rsidRDefault="00ED2D0F" w:rsidP="00ED2D0F">
            <w:pPr>
              <w:pStyle w:val="Caption"/>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w:t>
            </w:r>
          </w:p>
        </w:tc>
        <w:tc>
          <w:tcPr>
            <w:tcW w:w="1889" w:type="dxa"/>
          </w:tcPr>
          <w:p w14:paraId="65E4437D" w14:textId="644C5DD5" w:rsidR="00ED2D0F" w:rsidRPr="00ED2D0F" w:rsidRDefault="00ED2D0F" w:rsidP="00ED2D0F">
            <w:pPr>
              <w:pStyle w:val="Caption"/>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w:t>
            </w:r>
          </w:p>
        </w:tc>
        <w:tc>
          <w:tcPr>
            <w:tcW w:w="1650" w:type="dxa"/>
          </w:tcPr>
          <w:p w14:paraId="00FDFAB7" w14:textId="09C21CFD"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GFP, C-ter</w:t>
            </w:r>
          </w:p>
        </w:tc>
      </w:tr>
      <w:tr w:rsidR="009B5A2E" w:rsidRPr="00ED2D0F" w14:paraId="66BBC735" w14:textId="77777777" w:rsidTr="00A1260E">
        <w:tc>
          <w:tcPr>
            <w:cnfStyle w:val="001000000000" w:firstRow="0" w:lastRow="0" w:firstColumn="1" w:lastColumn="0" w:oddVBand="0" w:evenVBand="0" w:oddHBand="0" w:evenHBand="0" w:firstRowFirstColumn="0" w:firstRowLastColumn="0" w:lastRowFirstColumn="0" w:lastRowLastColumn="0"/>
            <w:tcW w:w="2052" w:type="dxa"/>
          </w:tcPr>
          <w:p w14:paraId="42AB895A" w14:textId="32811A26"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pEGFPN1-NME6-186-GFP</w:t>
            </w:r>
          </w:p>
        </w:tc>
        <w:tc>
          <w:tcPr>
            <w:tcW w:w="2195" w:type="dxa"/>
          </w:tcPr>
          <w:p w14:paraId="49C10B59" w14:textId="1FA10240"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RC200541, Origene</w:t>
            </w:r>
          </w:p>
        </w:tc>
        <w:tc>
          <w:tcPr>
            <w:tcW w:w="1230" w:type="dxa"/>
          </w:tcPr>
          <w:p w14:paraId="0DDD4461" w14:textId="2DC3E89E"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pEGFPN1</w:t>
            </w:r>
          </w:p>
        </w:tc>
        <w:tc>
          <w:tcPr>
            <w:tcW w:w="1889" w:type="dxa"/>
          </w:tcPr>
          <w:p w14:paraId="7C94F80E" w14:textId="477D5BB1" w:rsidR="00ED2D0F" w:rsidRPr="00ED2D0F" w:rsidRDefault="009B5A2E"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w:t>
            </w:r>
            <w:r w:rsidR="00ED2D0F" w:rsidRPr="00ED2D0F">
              <w:rPr>
                <w:rFonts w:ascii="Times New Roman" w:hAnsi="Times New Roman" w:cs="Times New Roman"/>
                <w:sz w:val="24"/>
                <w:szCs w:val="24"/>
              </w:rPr>
              <w:t>186-GFP</w:t>
            </w:r>
          </w:p>
        </w:tc>
        <w:tc>
          <w:tcPr>
            <w:tcW w:w="1650" w:type="dxa"/>
          </w:tcPr>
          <w:p w14:paraId="79FD217A" w14:textId="6D989721"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eGFP, C-ter</w:t>
            </w:r>
          </w:p>
        </w:tc>
      </w:tr>
      <w:tr w:rsidR="009B5A2E" w:rsidRPr="00ED2D0F" w14:paraId="7D477777" w14:textId="77777777" w:rsidTr="00A126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4CD61904" w14:textId="1DD4FE2C"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pET28b-NME6-194-His</w:t>
            </w:r>
          </w:p>
        </w:tc>
        <w:tc>
          <w:tcPr>
            <w:tcW w:w="2195" w:type="dxa"/>
          </w:tcPr>
          <w:p w14:paraId="4C8A8359" w14:textId="7EE01F3F"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RC200541, Origene</w:t>
            </w:r>
          </w:p>
        </w:tc>
        <w:tc>
          <w:tcPr>
            <w:tcW w:w="1230" w:type="dxa"/>
          </w:tcPr>
          <w:p w14:paraId="78DDBF73" w14:textId="4FBFD070"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pET28b</w:t>
            </w:r>
          </w:p>
        </w:tc>
        <w:tc>
          <w:tcPr>
            <w:tcW w:w="1889" w:type="dxa"/>
          </w:tcPr>
          <w:p w14:paraId="6E06A1F9" w14:textId="680E3CD8" w:rsidR="00ED2D0F" w:rsidRPr="00ED2D0F" w:rsidRDefault="009B5A2E"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w:t>
            </w:r>
            <w:r w:rsidR="00ED2D0F" w:rsidRPr="00ED2D0F">
              <w:rPr>
                <w:rFonts w:ascii="Times New Roman" w:hAnsi="Times New Roman" w:cs="Times New Roman"/>
                <w:sz w:val="24"/>
                <w:szCs w:val="24"/>
              </w:rPr>
              <w:t>194-His</w:t>
            </w:r>
          </w:p>
        </w:tc>
        <w:tc>
          <w:tcPr>
            <w:tcW w:w="1650" w:type="dxa"/>
          </w:tcPr>
          <w:p w14:paraId="0F80CFC3" w14:textId="4828C582"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6xHis, N-ter</w:t>
            </w:r>
          </w:p>
        </w:tc>
      </w:tr>
      <w:tr w:rsidR="009B5A2E" w:rsidRPr="00ED2D0F" w14:paraId="4E41482F" w14:textId="77777777" w:rsidTr="00A1260E">
        <w:tc>
          <w:tcPr>
            <w:cnfStyle w:val="001000000000" w:firstRow="0" w:lastRow="0" w:firstColumn="1" w:lastColumn="0" w:oddVBand="0" w:evenVBand="0" w:oddHBand="0" w:evenHBand="0" w:firstRowFirstColumn="0" w:firstRowLastColumn="0" w:lastRowFirstColumn="0" w:lastRowLastColumn="0"/>
            <w:tcW w:w="2052" w:type="dxa"/>
          </w:tcPr>
          <w:p w14:paraId="39BF1335" w14:textId="0F2793B6"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pET28b-NME6-186-His</w:t>
            </w:r>
          </w:p>
        </w:tc>
        <w:tc>
          <w:tcPr>
            <w:tcW w:w="2195" w:type="dxa"/>
          </w:tcPr>
          <w:p w14:paraId="72509F35" w14:textId="771BB775"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RC200541, Origene</w:t>
            </w:r>
          </w:p>
        </w:tc>
        <w:tc>
          <w:tcPr>
            <w:tcW w:w="1230" w:type="dxa"/>
          </w:tcPr>
          <w:p w14:paraId="19F8B4FC" w14:textId="0CAC26C4"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pET28b</w:t>
            </w:r>
          </w:p>
        </w:tc>
        <w:tc>
          <w:tcPr>
            <w:tcW w:w="1889" w:type="dxa"/>
          </w:tcPr>
          <w:p w14:paraId="7543DD6B" w14:textId="1A376820" w:rsidR="00ED2D0F" w:rsidRPr="00ED2D0F" w:rsidRDefault="009B5A2E"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w:t>
            </w:r>
            <w:r w:rsidR="00ED2D0F" w:rsidRPr="00ED2D0F">
              <w:rPr>
                <w:rFonts w:ascii="Times New Roman" w:hAnsi="Times New Roman" w:cs="Times New Roman"/>
                <w:sz w:val="24"/>
                <w:szCs w:val="24"/>
              </w:rPr>
              <w:t>186-His</w:t>
            </w:r>
          </w:p>
        </w:tc>
        <w:tc>
          <w:tcPr>
            <w:tcW w:w="1650" w:type="dxa"/>
          </w:tcPr>
          <w:p w14:paraId="479242B7" w14:textId="08F519D9"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6xHis, N-ter</w:t>
            </w:r>
          </w:p>
        </w:tc>
      </w:tr>
      <w:tr w:rsidR="009B5A2E" w:rsidRPr="00ED2D0F" w14:paraId="22C63D12" w14:textId="77777777" w:rsidTr="00A126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397B1EF9" w14:textId="7C5A69A8"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pcDNA3.1-NME6-194-FLAG</w:t>
            </w:r>
          </w:p>
        </w:tc>
        <w:tc>
          <w:tcPr>
            <w:tcW w:w="2195" w:type="dxa"/>
          </w:tcPr>
          <w:p w14:paraId="435FFF83" w14:textId="7D5A0234"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RC200541, Origene</w:t>
            </w:r>
          </w:p>
        </w:tc>
        <w:tc>
          <w:tcPr>
            <w:tcW w:w="1230" w:type="dxa"/>
          </w:tcPr>
          <w:p w14:paraId="54DA2240" w14:textId="4357EB05"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pcDNA3.1</w:t>
            </w:r>
          </w:p>
        </w:tc>
        <w:tc>
          <w:tcPr>
            <w:tcW w:w="1889" w:type="dxa"/>
          </w:tcPr>
          <w:p w14:paraId="4F60CD09" w14:textId="057458E9" w:rsidR="00ED2D0F" w:rsidRPr="00ED2D0F" w:rsidRDefault="009B5A2E"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w:t>
            </w:r>
            <w:r w:rsidR="00ED2D0F" w:rsidRPr="00ED2D0F">
              <w:rPr>
                <w:rFonts w:ascii="Times New Roman" w:hAnsi="Times New Roman" w:cs="Times New Roman"/>
                <w:sz w:val="24"/>
                <w:szCs w:val="24"/>
              </w:rPr>
              <w:t>194-FLAG</w:t>
            </w:r>
          </w:p>
        </w:tc>
        <w:tc>
          <w:tcPr>
            <w:tcW w:w="1650" w:type="dxa"/>
          </w:tcPr>
          <w:p w14:paraId="4FA6BFAA" w14:textId="263BFB16"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FLAG, C-ter</w:t>
            </w:r>
          </w:p>
        </w:tc>
      </w:tr>
      <w:tr w:rsidR="009B5A2E" w:rsidRPr="00ED2D0F" w14:paraId="6EBC9DC2" w14:textId="77777777" w:rsidTr="00A1260E">
        <w:tc>
          <w:tcPr>
            <w:cnfStyle w:val="001000000000" w:firstRow="0" w:lastRow="0" w:firstColumn="1" w:lastColumn="0" w:oddVBand="0" w:evenVBand="0" w:oddHBand="0" w:evenHBand="0" w:firstRowFirstColumn="0" w:firstRowLastColumn="0" w:lastRowFirstColumn="0" w:lastRowLastColumn="0"/>
            <w:tcW w:w="2052" w:type="dxa"/>
          </w:tcPr>
          <w:p w14:paraId="662046A1" w14:textId="3394493E"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pcDNA3.1-NME6-186-FLAG</w:t>
            </w:r>
          </w:p>
        </w:tc>
        <w:tc>
          <w:tcPr>
            <w:tcW w:w="2195" w:type="dxa"/>
          </w:tcPr>
          <w:p w14:paraId="7F427E5A" w14:textId="01138B17"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RC200541, Origene</w:t>
            </w:r>
          </w:p>
        </w:tc>
        <w:tc>
          <w:tcPr>
            <w:tcW w:w="1230" w:type="dxa"/>
          </w:tcPr>
          <w:p w14:paraId="34F64A2B" w14:textId="1EDFF30A"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pcDNA3.1</w:t>
            </w:r>
          </w:p>
        </w:tc>
        <w:tc>
          <w:tcPr>
            <w:tcW w:w="1889" w:type="dxa"/>
          </w:tcPr>
          <w:p w14:paraId="678816AE" w14:textId="465306A7" w:rsidR="00ED2D0F" w:rsidRPr="00ED2D0F" w:rsidRDefault="009B5A2E"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w:t>
            </w:r>
            <w:r w:rsidR="00ED2D0F" w:rsidRPr="00ED2D0F">
              <w:rPr>
                <w:rFonts w:ascii="Times New Roman" w:hAnsi="Times New Roman" w:cs="Times New Roman"/>
                <w:sz w:val="24"/>
                <w:szCs w:val="24"/>
              </w:rPr>
              <w:t>186-FLAG</w:t>
            </w:r>
          </w:p>
        </w:tc>
        <w:tc>
          <w:tcPr>
            <w:tcW w:w="1650" w:type="dxa"/>
          </w:tcPr>
          <w:p w14:paraId="6ADB00DA" w14:textId="661C470B"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FLAG, C-ter</w:t>
            </w:r>
          </w:p>
        </w:tc>
      </w:tr>
      <w:tr w:rsidR="009B5A2E" w:rsidRPr="00ED2D0F" w14:paraId="5E61516F" w14:textId="77777777" w:rsidTr="00A126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5F76A57E" w14:textId="5ACAA910"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pcDNA3.1-NME4-FL-FLAG</w:t>
            </w:r>
          </w:p>
        </w:tc>
        <w:tc>
          <w:tcPr>
            <w:tcW w:w="2195" w:type="dxa"/>
          </w:tcPr>
          <w:p w14:paraId="65CBB11E" w14:textId="77777777" w:rsidR="00ED2D0F" w:rsidRPr="00ED2D0F" w:rsidRDefault="00ED2D0F" w:rsidP="00ED2D0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ED2D0F">
              <w:rPr>
                <w:rFonts w:ascii="Times New Roman" w:hAnsi="Times New Roman" w:cs="Times New Roman"/>
                <w:sz w:val="24"/>
                <w:szCs w:val="24"/>
                <w:lang w:val="fr-FR"/>
              </w:rPr>
              <w:t>pET28a(+)-Nme4-FL</w:t>
            </w:r>
          </w:p>
          <w:p w14:paraId="65B7AA4A" w14:textId="5256BBD7"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ED2D0F">
              <w:rPr>
                <w:rFonts w:ascii="Times New Roman" w:hAnsi="Times New Roman" w:cs="Times New Roman"/>
                <w:sz w:val="24"/>
                <w:szCs w:val="24"/>
                <w:lang w:val="fr-FR"/>
              </w:rPr>
              <w:t>(</w:t>
            </w:r>
            <w:r w:rsidRPr="00ED2D0F">
              <w:rPr>
                <w:rFonts w:ascii="Times New Roman" w:eastAsia="Times New Roman" w:hAnsi="Times New Roman" w:cs="Times New Roman"/>
                <w:noProof/>
                <w:color w:val="212121"/>
                <w:sz w:val="24"/>
                <w:szCs w:val="24"/>
                <w:lang w:val="fr-FR"/>
              </w:rPr>
              <w:t>Millon et al., 2000</w:t>
            </w:r>
            <w:r w:rsidRPr="00ED2D0F">
              <w:rPr>
                <w:rFonts w:ascii="Times New Roman" w:hAnsi="Times New Roman" w:cs="Times New Roman"/>
                <w:sz w:val="24"/>
                <w:szCs w:val="24"/>
                <w:lang w:val="fr-FR"/>
              </w:rPr>
              <w:t>)</w:t>
            </w:r>
          </w:p>
        </w:tc>
        <w:tc>
          <w:tcPr>
            <w:tcW w:w="1230" w:type="dxa"/>
          </w:tcPr>
          <w:p w14:paraId="520CB8B7" w14:textId="107B8068"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ED2D0F">
              <w:rPr>
                <w:rFonts w:ascii="Times New Roman" w:hAnsi="Times New Roman" w:cs="Times New Roman"/>
                <w:sz w:val="24"/>
                <w:szCs w:val="24"/>
              </w:rPr>
              <w:t>pcDNA3.1</w:t>
            </w:r>
          </w:p>
        </w:tc>
        <w:tc>
          <w:tcPr>
            <w:tcW w:w="1889" w:type="dxa"/>
          </w:tcPr>
          <w:p w14:paraId="4D172A88" w14:textId="54C5B15D" w:rsidR="00ED2D0F" w:rsidRPr="00ED2D0F" w:rsidRDefault="009B5A2E"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w:t>
            </w:r>
            <w:r w:rsidR="00ED2D0F" w:rsidRPr="00ED2D0F">
              <w:rPr>
                <w:rFonts w:ascii="Times New Roman" w:hAnsi="Times New Roman" w:cs="Times New Roman"/>
                <w:sz w:val="24"/>
                <w:szCs w:val="24"/>
              </w:rPr>
              <w:t>NME4-FLAG</w:t>
            </w:r>
          </w:p>
        </w:tc>
        <w:tc>
          <w:tcPr>
            <w:tcW w:w="1650" w:type="dxa"/>
          </w:tcPr>
          <w:p w14:paraId="0CC78C62" w14:textId="65DE58D8"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FLAG, C-ter</w:t>
            </w:r>
          </w:p>
        </w:tc>
      </w:tr>
      <w:tr w:rsidR="009B5A2E" w:rsidRPr="00ED2D0F" w14:paraId="153BAF0F" w14:textId="77777777" w:rsidTr="00A1260E">
        <w:tc>
          <w:tcPr>
            <w:cnfStyle w:val="001000000000" w:firstRow="0" w:lastRow="0" w:firstColumn="1" w:lastColumn="0" w:oddVBand="0" w:evenVBand="0" w:oddHBand="0" w:evenHBand="0" w:firstRowFirstColumn="0" w:firstRowLastColumn="0" w:lastRowFirstColumn="0" w:lastRowLastColumn="0"/>
            <w:tcW w:w="2052" w:type="dxa"/>
          </w:tcPr>
          <w:p w14:paraId="70D41616" w14:textId="2BC4A6FA"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pcDNA3.1-NME3-FLAG</w:t>
            </w:r>
          </w:p>
        </w:tc>
        <w:tc>
          <w:tcPr>
            <w:tcW w:w="2195" w:type="dxa"/>
          </w:tcPr>
          <w:p w14:paraId="64711AA5" w14:textId="77777777" w:rsidR="00ED2D0F" w:rsidRPr="00ED2D0F" w:rsidRDefault="00ED2D0F" w:rsidP="001C50D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pCMVTag3-Nme3-tetra-cys-tag</w:t>
            </w:r>
          </w:p>
          <w:p w14:paraId="13604B2C" w14:textId="6218093A" w:rsidR="00ED2D0F" w:rsidRPr="00ED2D0F" w:rsidRDefault="00ED2D0F" w:rsidP="001C50D1">
            <w:pPr>
              <w:pStyle w:val="Caption"/>
              <w:keepNext/>
              <w:spacing w:line="360"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(Kind donation of Prof. Thomas Wieland)</w:t>
            </w:r>
          </w:p>
        </w:tc>
        <w:tc>
          <w:tcPr>
            <w:tcW w:w="1230" w:type="dxa"/>
          </w:tcPr>
          <w:p w14:paraId="38318EEC" w14:textId="77777777" w:rsidR="00413DBF" w:rsidRDefault="00413DB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70309027" w14:textId="273505F0"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pcDNA3.1</w:t>
            </w:r>
          </w:p>
        </w:tc>
        <w:tc>
          <w:tcPr>
            <w:tcW w:w="1889" w:type="dxa"/>
          </w:tcPr>
          <w:p w14:paraId="45B1AB39" w14:textId="77777777" w:rsidR="00413DBF" w:rsidRDefault="00413DB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21718B7" w14:textId="53001851" w:rsidR="00ED2D0F" w:rsidRPr="00ED2D0F" w:rsidRDefault="009B5A2E"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w:t>
            </w:r>
            <w:r w:rsidR="00ED2D0F" w:rsidRPr="00ED2D0F">
              <w:rPr>
                <w:rFonts w:ascii="Times New Roman" w:hAnsi="Times New Roman" w:cs="Times New Roman"/>
                <w:sz w:val="24"/>
                <w:szCs w:val="24"/>
              </w:rPr>
              <w:t>NME</w:t>
            </w:r>
            <w:r>
              <w:rPr>
                <w:rFonts w:ascii="Times New Roman" w:hAnsi="Times New Roman" w:cs="Times New Roman"/>
                <w:sz w:val="24"/>
                <w:szCs w:val="24"/>
              </w:rPr>
              <w:t>3</w:t>
            </w:r>
            <w:r w:rsidR="00ED2D0F" w:rsidRPr="00ED2D0F">
              <w:rPr>
                <w:rFonts w:ascii="Times New Roman" w:hAnsi="Times New Roman" w:cs="Times New Roman"/>
                <w:sz w:val="24"/>
                <w:szCs w:val="24"/>
              </w:rPr>
              <w:t>-FLAG</w:t>
            </w:r>
          </w:p>
        </w:tc>
        <w:tc>
          <w:tcPr>
            <w:tcW w:w="1650" w:type="dxa"/>
          </w:tcPr>
          <w:p w14:paraId="5101AF61" w14:textId="77777777" w:rsidR="00413DBF" w:rsidRDefault="00413DB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1B1BD15D" w14:textId="744332D3" w:rsidR="00ED2D0F" w:rsidRPr="00ED2D0F" w:rsidRDefault="00ED2D0F" w:rsidP="00ED2D0F">
            <w:pPr>
              <w:pStyle w:val="Caption"/>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FLAG, N-ter</w:t>
            </w:r>
          </w:p>
        </w:tc>
      </w:tr>
      <w:tr w:rsidR="009B5A2E" w:rsidRPr="00ED2D0F" w14:paraId="452E9F21" w14:textId="77777777" w:rsidTr="00A126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2" w:type="dxa"/>
          </w:tcPr>
          <w:p w14:paraId="7CF8F206" w14:textId="32468855" w:rsidR="00ED2D0F" w:rsidRPr="00ED2D0F" w:rsidRDefault="00ED2D0F" w:rsidP="00ED2D0F">
            <w:pPr>
              <w:pStyle w:val="Caption"/>
              <w:keepNext/>
              <w:spacing w:line="360" w:lineRule="auto"/>
              <w:rPr>
                <w:rFonts w:ascii="Times New Roman" w:hAnsi="Times New Roman" w:cs="Times New Roman"/>
                <w:sz w:val="24"/>
                <w:szCs w:val="24"/>
              </w:rPr>
            </w:pPr>
            <w:r w:rsidRPr="00ED2D0F">
              <w:rPr>
                <w:rFonts w:ascii="Times New Roman" w:hAnsi="Times New Roman" w:cs="Times New Roman"/>
                <w:sz w:val="24"/>
                <w:szCs w:val="24"/>
              </w:rPr>
              <w:t>pCFPmito</w:t>
            </w:r>
          </w:p>
        </w:tc>
        <w:tc>
          <w:tcPr>
            <w:tcW w:w="2195" w:type="dxa"/>
          </w:tcPr>
          <w:p w14:paraId="7569CB95" w14:textId="4F26D561" w:rsidR="00ED2D0F" w:rsidRPr="00ED2D0F" w:rsidRDefault="00ED2D0F" w:rsidP="001C50D1">
            <w:pPr>
              <w:pStyle w:val="Caption"/>
              <w:keepNext/>
              <w:spacing w:line="360"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Kind donation of Dr. Yaron Shav‐Tal, Bar‐Ilan University, Ramat‐Gan, Israel)</w:t>
            </w:r>
          </w:p>
        </w:tc>
        <w:tc>
          <w:tcPr>
            <w:tcW w:w="1230" w:type="dxa"/>
          </w:tcPr>
          <w:p w14:paraId="7849504B" w14:textId="77777777" w:rsidR="00ED2D0F" w:rsidRDefault="00ED2D0F" w:rsidP="00ED2D0F">
            <w:pPr>
              <w:pStyle w:val="Caption"/>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6B4199F" w14:textId="09AE218A" w:rsidR="00ED2D0F" w:rsidRPr="00ED2D0F" w:rsidRDefault="00ED2D0F" w:rsidP="00ED2D0F">
            <w:pPr>
              <w:pStyle w:val="Caption"/>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w:t>
            </w:r>
          </w:p>
        </w:tc>
        <w:tc>
          <w:tcPr>
            <w:tcW w:w="1889" w:type="dxa"/>
          </w:tcPr>
          <w:p w14:paraId="7B407FA4" w14:textId="77777777" w:rsidR="00ED2D0F" w:rsidRDefault="00ED2D0F" w:rsidP="00ED2D0F">
            <w:pPr>
              <w:pStyle w:val="Caption"/>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7647EAC2" w14:textId="340692F5" w:rsidR="00ED2D0F" w:rsidRPr="00ED2D0F" w:rsidRDefault="00ED2D0F" w:rsidP="00ED2D0F">
            <w:pPr>
              <w:pStyle w:val="Caption"/>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w:t>
            </w:r>
          </w:p>
        </w:tc>
        <w:tc>
          <w:tcPr>
            <w:tcW w:w="1650" w:type="dxa"/>
          </w:tcPr>
          <w:p w14:paraId="40061A60" w14:textId="437DA07E" w:rsidR="00ED2D0F" w:rsidRPr="00ED2D0F" w:rsidRDefault="00ED2D0F" w:rsidP="00ED2D0F">
            <w:pPr>
              <w:pStyle w:val="Caption"/>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D2D0F">
              <w:rPr>
                <w:rFonts w:ascii="Times New Roman" w:hAnsi="Times New Roman" w:cs="Times New Roman"/>
                <w:sz w:val="24"/>
                <w:szCs w:val="24"/>
              </w:rPr>
              <w:t>CFP,</w:t>
            </w:r>
            <w:r w:rsidR="00A1260E">
              <w:rPr>
                <w:rFonts w:ascii="Times New Roman" w:hAnsi="Times New Roman" w:cs="Times New Roman"/>
                <w:sz w:val="24"/>
                <w:szCs w:val="24"/>
              </w:rPr>
              <w:t xml:space="preserve"> </w:t>
            </w:r>
            <w:r w:rsidRPr="00ED2D0F">
              <w:rPr>
                <w:rFonts w:ascii="Times New Roman" w:hAnsi="Times New Roman" w:cs="Times New Roman"/>
                <w:sz w:val="24"/>
                <w:szCs w:val="24"/>
              </w:rPr>
              <w:t>mitochondria</w:t>
            </w:r>
            <w:r w:rsidR="00A1260E">
              <w:rPr>
                <w:rFonts w:ascii="Times New Roman" w:hAnsi="Times New Roman" w:cs="Times New Roman"/>
                <w:sz w:val="24"/>
                <w:szCs w:val="24"/>
              </w:rPr>
              <w:t xml:space="preserve"> targeted</w:t>
            </w:r>
          </w:p>
        </w:tc>
      </w:tr>
    </w:tbl>
    <w:p w14:paraId="0CDA0778" w14:textId="1B261358" w:rsidR="004177DC" w:rsidRDefault="004177DC" w:rsidP="004927BB">
      <w:pPr>
        <w:pStyle w:val="Caption"/>
        <w:keepNext/>
        <w:spacing w:line="360" w:lineRule="auto"/>
        <w:rPr>
          <w:rFonts w:ascii="Times New Roman" w:hAnsi="Times New Roman" w:cs="Times New Roman"/>
          <w:sz w:val="24"/>
          <w:szCs w:val="24"/>
        </w:rPr>
      </w:pPr>
    </w:p>
    <w:p w14:paraId="1EC0E891" w14:textId="77777777" w:rsidR="004177DC" w:rsidRDefault="004177DC">
      <w:pPr>
        <w:rPr>
          <w:rFonts w:ascii="Times New Roman" w:eastAsia="Calibri" w:hAnsi="Times New Roman" w:cs="Times New Roman"/>
          <w:bCs/>
          <w:i/>
          <w:sz w:val="24"/>
          <w:szCs w:val="24"/>
        </w:rPr>
      </w:pPr>
      <w:r>
        <w:rPr>
          <w:rFonts w:ascii="Times New Roman" w:hAnsi="Times New Roman" w:cs="Times New Roman"/>
          <w:sz w:val="24"/>
          <w:szCs w:val="24"/>
        </w:rPr>
        <w:br w:type="page"/>
      </w:r>
    </w:p>
    <w:p w14:paraId="1C4D5CEC" w14:textId="3C334F66" w:rsidR="00C838B5" w:rsidRPr="00C838B5" w:rsidRDefault="00C838B5" w:rsidP="00C838B5">
      <w:pPr>
        <w:pStyle w:val="Caption"/>
        <w:keepNext/>
        <w:rPr>
          <w:rFonts w:ascii="Times New Roman" w:hAnsi="Times New Roman" w:cs="Times New Roman"/>
          <w:sz w:val="24"/>
          <w:szCs w:val="24"/>
        </w:rPr>
      </w:pPr>
      <w:bookmarkStart w:id="76" w:name="_Ref107320463"/>
      <w:r w:rsidRPr="00C838B5">
        <w:rPr>
          <w:rFonts w:ascii="Times New Roman" w:hAnsi="Times New Roman" w:cs="Times New Roman"/>
          <w:sz w:val="24"/>
          <w:szCs w:val="24"/>
        </w:rPr>
        <w:lastRenderedPageBreak/>
        <w:t xml:space="preserve">Table </w:t>
      </w:r>
      <w:r w:rsidRPr="00C838B5">
        <w:rPr>
          <w:rFonts w:ascii="Times New Roman" w:hAnsi="Times New Roman" w:cs="Times New Roman"/>
          <w:sz w:val="24"/>
          <w:szCs w:val="24"/>
        </w:rPr>
        <w:fldChar w:fldCharType="begin"/>
      </w:r>
      <w:r w:rsidRPr="00C838B5">
        <w:rPr>
          <w:rFonts w:ascii="Times New Roman" w:hAnsi="Times New Roman" w:cs="Times New Roman"/>
          <w:sz w:val="24"/>
          <w:szCs w:val="24"/>
        </w:rPr>
        <w:instrText xml:space="preserve"> SEQ Table \* ARABIC </w:instrText>
      </w:r>
      <w:r w:rsidRPr="00C838B5">
        <w:rPr>
          <w:rFonts w:ascii="Times New Roman" w:hAnsi="Times New Roman" w:cs="Times New Roman"/>
          <w:sz w:val="24"/>
          <w:szCs w:val="24"/>
        </w:rPr>
        <w:fldChar w:fldCharType="separate"/>
      </w:r>
      <w:r w:rsidR="00790F77">
        <w:rPr>
          <w:rFonts w:ascii="Times New Roman" w:hAnsi="Times New Roman" w:cs="Times New Roman"/>
          <w:noProof/>
          <w:sz w:val="24"/>
          <w:szCs w:val="24"/>
        </w:rPr>
        <w:t>12</w:t>
      </w:r>
      <w:r w:rsidRPr="00C838B5">
        <w:rPr>
          <w:rFonts w:ascii="Times New Roman" w:hAnsi="Times New Roman" w:cs="Times New Roman"/>
          <w:sz w:val="24"/>
          <w:szCs w:val="24"/>
        </w:rPr>
        <w:fldChar w:fldCharType="end"/>
      </w:r>
      <w:bookmarkEnd w:id="76"/>
      <w:r>
        <w:rPr>
          <w:rFonts w:ascii="Times New Roman" w:hAnsi="Times New Roman" w:cs="Times New Roman"/>
          <w:sz w:val="24"/>
          <w:szCs w:val="24"/>
        </w:rPr>
        <w:t xml:space="preserve"> : Primers used for plasmids cloning</w:t>
      </w:r>
    </w:p>
    <w:tbl>
      <w:tblPr>
        <w:tblStyle w:val="PlainTable1"/>
        <w:tblW w:w="5000" w:type="pct"/>
        <w:tblLayout w:type="fixed"/>
        <w:tblLook w:val="04A0" w:firstRow="1" w:lastRow="0" w:firstColumn="1" w:lastColumn="0" w:noHBand="0" w:noVBand="1"/>
      </w:tblPr>
      <w:tblGrid>
        <w:gridCol w:w="1837"/>
        <w:gridCol w:w="5812"/>
        <w:gridCol w:w="1367"/>
      </w:tblGrid>
      <w:tr w:rsidR="0051573B" w:rsidRPr="0051573B" w14:paraId="4C6D413C" w14:textId="77777777" w:rsidTr="005157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9" w:type="pct"/>
          </w:tcPr>
          <w:p w14:paraId="7E3F5563" w14:textId="09E494FE" w:rsidR="004177DC" w:rsidRPr="0051573B" w:rsidRDefault="004177DC" w:rsidP="004177DC">
            <w:pPr>
              <w:rPr>
                <w:rFonts w:ascii="Times New Roman" w:hAnsi="Times New Roman" w:cs="Times New Roman"/>
                <w:sz w:val="24"/>
                <w:szCs w:val="24"/>
              </w:rPr>
            </w:pPr>
            <w:r w:rsidRPr="0051573B">
              <w:rPr>
                <w:rFonts w:ascii="Times New Roman" w:hAnsi="Times New Roman" w:cs="Times New Roman"/>
                <w:sz w:val="24"/>
                <w:szCs w:val="24"/>
              </w:rPr>
              <w:t>Primers name</w:t>
            </w:r>
          </w:p>
        </w:tc>
        <w:tc>
          <w:tcPr>
            <w:tcW w:w="3223" w:type="pct"/>
          </w:tcPr>
          <w:p w14:paraId="5EBBA3C2" w14:textId="5CA14118" w:rsidR="004177DC" w:rsidRPr="0051573B" w:rsidRDefault="004177DC" w:rsidP="004177DC">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Sequence</w:t>
            </w:r>
            <w:r w:rsidR="00F734BC">
              <w:rPr>
                <w:rFonts w:ascii="Times New Roman" w:hAnsi="Times New Roman" w:cs="Times New Roman"/>
                <w:sz w:val="24"/>
                <w:szCs w:val="24"/>
              </w:rPr>
              <w:t>s</w:t>
            </w:r>
          </w:p>
        </w:tc>
        <w:tc>
          <w:tcPr>
            <w:tcW w:w="758" w:type="pct"/>
          </w:tcPr>
          <w:p w14:paraId="5F863FC9" w14:textId="677BB234" w:rsidR="004177DC" w:rsidRPr="0051573B" w:rsidRDefault="004177DC" w:rsidP="004177DC">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Restriction enzyme</w:t>
            </w:r>
            <w:r w:rsidR="0051573B">
              <w:rPr>
                <w:rFonts w:ascii="Times New Roman" w:hAnsi="Times New Roman" w:cs="Times New Roman"/>
                <w:sz w:val="24"/>
                <w:szCs w:val="24"/>
              </w:rPr>
              <w:t>s</w:t>
            </w:r>
          </w:p>
        </w:tc>
      </w:tr>
      <w:tr w:rsidR="0051573B" w:rsidRPr="0051573B" w14:paraId="3C142FE2" w14:textId="77777777" w:rsidTr="0051573B">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1019" w:type="pct"/>
          </w:tcPr>
          <w:p w14:paraId="166C6B0C" w14:textId="14B464D5" w:rsidR="004177DC" w:rsidRPr="0051573B" w:rsidRDefault="004177DC" w:rsidP="004177DC">
            <w:pPr>
              <w:rPr>
                <w:rFonts w:ascii="Times New Roman" w:hAnsi="Times New Roman" w:cs="Times New Roman"/>
                <w:sz w:val="24"/>
                <w:szCs w:val="24"/>
              </w:rPr>
            </w:pPr>
            <w:r w:rsidRPr="0051573B">
              <w:rPr>
                <w:rFonts w:ascii="Times New Roman" w:hAnsi="Times New Roman" w:cs="Times New Roman"/>
                <w:sz w:val="24"/>
                <w:szCs w:val="24"/>
              </w:rPr>
              <w:t>Pr-186-GFP</w:t>
            </w:r>
          </w:p>
        </w:tc>
        <w:tc>
          <w:tcPr>
            <w:tcW w:w="3223" w:type="pct"/>
          </w:tcPr>
          <w:p w14:paraId="44B67313" w14:textId="127EEA1B" w:rsidR="004177DC" w:rsidRPr="0051573B" w:rsidRDefault="004177DC" w:rsidP="004177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5´-GTCTAG</w:t>
            </w:r>
            <w:r w:rsidRPr="0051573B">
              <w:rPr>
                <w:rFonts w:ascii="Times New Roman" w:hAnsi="Times New Roman" w:cs="Times New Roman"/>
                <w:sz w:val="24"/>
                <w:szCs w:val="24"/>
                <w:u w:val="single"/>
              </w:rPr>
              <w:t>CTCGAG</w:t>
            </w:r>
            <w:r w:rsidRPr="0051573B">
              <w:rPr>
                <w:rFonts w:ascii="Times New Roman" w:hAnsi="Times New Roman" w:cs="Times New Roman"/>
                <w:sz w:val="24"/>
                <w:szCs w:val="24"/>
              </w:rPr>
              <w:t xml:space="preserve">TAATGGCCTCAATCTTGCG-3´ </w:t>
            </w:r>
          </w:p>
          <w:p w14:paraId="58537370" w14:textId="10AF09F4" w:rsidR="004177DC" w:rsidRPr="0051573B" w:rsidRDefault="004177DC" w:rsidP="004177D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5´-CTAGAC</w:t>
            </w:r>
            <w:r w:rsidRPr="0051573B">
              <w:rPr>
                <w:rFonts w:ascii="Times New Roman" w:hAnsi="Times New Roman" w:cs="Times New Roman"/>
                <w:sz w:val="24"/>
                <w:szCs w:val="24"/>
                <w:u w:val="single"/>
              </w:rPr>
              <w:t>GAATTC</w:t>
            </w:r>
            <w:r w:rsidRPr="0051573B">
              <w:rPr>
                <w:rFonts w:ascii="Times New Roman" w:hAnsi="Times New Roman" w:cs="Times New Roman"/>
                <w:sz w:val="24"/>
                <w:szCs w:val="24"/>
              </w:rPr>
              <w:t>GGCTGGTCCTAGGCC-3´</w:t>
            </w:r>
          </w:p>
        </w:tc>
        <w:tc>
          <w:tcPr>
            <w:tcW w:w="758" w:type="pct"/>
          </w:tcPr>
          <w:p w14:paraId="17CD0740" w14:textId="77777777" w:rsidR="004177DC" w:rsidRPr="0051573B" w:rsidRDefault="004177DC" w:rsidP="004177D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XhoI</w:t>
            </w:r>
          </w:p>
          <w:p w14:paraId="148085DA" w14:textId="056E4DE0" w:rsidR="004177DC" w:rsidRPr="0051573B" w:rsidRDefault="004177DC" w:rsidP="004177D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EcoRI</w:t>
            </w:r>
          </w:p>
        </w:tc>
      </w:tr>
      <w:tr w:rsidR="0051573B" w:rsidRPr="0051573B" w14:paraId="36782C85" w14:textId="77777777" w:rsidTr="00A15A4E">
        <w:trPr>
          <w:trHeight w:val="680"/>
        </w:trPr>
        <w:tc>
          <w:tcPr>
            <w:cnfStyle w:val="001000000000" w:firstRow="0" w:lastRow="0" w:firstColumn="1" w:lastColumn="0" w:oddVBand="0" w:evenVBand="0" w:oddHBand="0" w:evenHBand="0" w:firstRowFirstColumn="0" w:firstRowLastColumn="0" w:lastRowFirstColumn="0" w:lastRowLastColumn="0"/>
            <w:tcW w:w="1019" w:type="pct"/>
          </w:tcPr>
          <w:p w14:paraId="6D7DC88A" w14:textId="678D0762" w:rsidR="004177DC" w:rsidRPr="0051573B" w:rsidRDefault="004177DC" w:rsidP="004177DC">
            <w:pPr>
              <w:rPr>
                <w:rFonts w:ascii="Times New Roman" w:hAnsi="Times New Roman" w:cs="Times New Roman"/>
                <w:sz w:val="24"/>
                <w:szCs w:val="24"/>
              </w:rPr>
            </w:pPr>
            <w:r w:rsidRPr="0051573B">
              <w:rPr>
                <w:rFonts w:ascii="Times New Roman" w:hAnsi="Times New Roman" w:cs="Times New Roman"/>
                <w:sz w:val="24"/>
                <w:szCs w:val="24"/>
              </w:rPr>
              <w:t>Pr-194-His</w:t>
            </w:r>
          </w:p>
        </w:tc>
        <w:tc>
          <w:tcPr>
            <w:tcW w:w="3223" w:type="pct"/>
          </w:tcPr>
          <w:p w14:paraId="45B7533D" w14:textId="0D84E4D3" w:rsidR="004177DC" w:rsidRPr="0051573B" w:rsidRDefault="004177DC" w:rsidP="004177D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5’-GTCTAG</w:t>
            </w:r>
            <w:r w:rsidRPr="0051573B">
              <w:rPr>
                <w:rFonts w:ascii="Times New Roman" w:hAnsi="Times New Roman" w:cs="Times New Roman"/>
                <w:sz w:val="24"/>
                <w:szCs w:val="24"/>
                <w:u w:val="single"/>
              </w:rPr>
              <w:t>CATATG</w:t>
            </w:r>
            <w:r w:rsidRPr="0051573B">
              <w:rPr>
                <w:rFonts w:ascii="Times New Roman" w:hAnsi="Times New Roman" w:cs="Times New Roman"/>
                <w:sz w:val="24"/>
                <w:szCs w:val="24"/>
              </w:rPr>
              <w:t>ACCCAGAATC-3’</w:t>
            </w:r>
          </w:p>
          <w:p w14:paraId="0D83555D" w14:textId="4C60BA2E" w:rsidR="004177DC" w:rsidRPr="0051573B" w:rsidRDefault="004177DC" w:rsidP="004177D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5’-CTAGAC</w:t>
            </w:r>
            <w:r w:rsidRPr="0051573B">
              <w:rPr>
                <w:rFonts w:ascii="Times New Roman" w:hAnsi="Times New Roman" w:cs="Times New Roman"/>
                <w:sz w:val="24"/>
                <w:szCs w:val="24"/>
                <w:u w:val="single"/>
              </w:rPr>
              <w:t>GGATCC</w:t>
            </w:r>
            <w:r w:rsidRPr="0051573B">
              <w:rPr>
                <w:rFonts w:ascii="Times New Roman" w:hAnsi="Times New Roman" w:cs="Times New Roman"/>
                <w:sz w:val="24"/>
                <w:szCs w:val="24"/>
              </w:rPr>
              <w:t>TCAGGCTGGTCCTAGGCC-3’</w:t>
            </w:r>
          </w:p>
        </w:tc>
        <w:tc>
          <w:tcPr>
            <w:tcW w:w="758" w:type="pct"/>
          </w:tcPr>
          <w:p w14:paraId="4706BF7D" w14:textId="77777777" w:rsidR="004177DC" w:rsidRPr="0051573B" w:rsidRDefault="004177DC" w:rsidP="004177D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NdeI</w:t>
            </w:r>
          </w:p>
          <w:p w14:paraId="026E94C0" w14:textId="2CA86393" w:rsidR="004177DC" w:rsidRPr="0051573B" w:rsidRDefault="004177DC" w:rsidP="004177D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BamHI</w:t>
            </w:r>
          </w:p>
        </w:tc>
      </w:tr>
      <w:tr w:rsidR="004177DC" w:rsidRPr="0051573B" w14:paraId="3383D98D" w14:textId="77777777" w:rsidTr="00A15A4E">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1019" w:type="pct"/>
          </w:tcPr>
          <w:p w14:paraId="3B50CBE0" w14:textId="286129CC" w:rsidR="004177DC" w:rsidRPr="0051573B" w:rsidRDefault="004177DC" w:rsidP="004177DC">
            <w:pPr>
              <w:rPr>
                <w:rFonts w:ascii="Times New Roman" w:hAnsi="Times New Roman" w:cs="Times New Roman"/>
                <w:sz w:val="24"/>
                <w:szCs w:val="24"/>
              </w:rPr>
            </w:pPr>
            <w:r w:rsidRPr="0051573B">
              <w:rPr>
                <w:rFonts w:ascii="Times New Roman" w:hAnsi="Times New Roman" w:cs="Times New Roman"/>
                <w:sz w:val="24"/>
                <w:szCs w:val="24"/>
              </w:rPr>
              <w:t>Pr-186-His</w:t>
            </w:r>
          </w:p>
        </w:tc>
        <w:tc>
          <w:tcPr>
            <w:tcW w:w="3223" w:type="pct"/>
          </w:tcPr>
          <w:p w14:paraId="49FFFA5D" w14:textId="7532913B" w:rsidR="004177DC" w:rsidRPr="0051573B" w:rsidRDefault="004177DC" w:rsidP="004177D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5’-GTCTAG</w:t>
            </w:r>
            <w:r w:rsidRPr="0051573B">
              <w:rPr>
                <w:rFonts w:ascii="Times New Roman" w:hAnsi="Times New Roman" w:cs="Times New Roman"/>
                <w:sz w:val="24"/>
                <w:szCs w:val="24"/>
                <w:u w:val="single"/>
              </w:rPr>
              <w:t>CATATG</w:t>
            </w:r>
            <w:r w:rsidRPr="0051573B">
              <w:rPr>
                <w:rFonts w:ascii="Times New Roman" w:hAnsi="Times New Roman" w:cs="Times New Roman"/>
                <w:sz w:val="24"/>
                <w:szCs w:val="24"/>
              </w:rPr>
              <w:t>GCCTCAATC-3’</w:t>
            </w:r>
          </w:p>
          <w:p w14:paraId="25AA16E2" w14:textId="3B90696D" w:rsidR="004177DC" w:rsidRPr="0051573B" w:rsidRDefault="004177DC" w:rsidP="004177D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5’-CTAGAC</w:t>
            </w:r>
            <w:r w:rsidRPr="0051573B">
              <w:rPr>
                <w:rFonts w:ascii="Times New Roman" w:hAnsi="Times New Roman" w:cs="Times New Roman"/>
                <w:sz w:val="24"/>
                <w:szCs w:val="24"/>
                <w:u w:val="single"/>
              </w:rPr>
              <w:t>GGATCC</w:t>
            </w:r>
            <w:r w:rsidRPr="0051573B">
              <w:rPr>
                <w:rFonts w:ascii="Times New Roman" w:hAnsi="Times New Roman" w:cs="Times New Roman"/>
                <w:sz w:val="24"/>
                <w:szCs w:val="24"/>
              </w:rPr>
              <w:t>TCAGGCTGGTCCTAGGCC-3’</w:t>
            </w:r>
          </w:p>
        </w:tc>
        <w:tc>
          <w:tcPr>
            <w:tcW w:w="758" w:type="pct"/>
          </w:tcPr>
          <w:p w14:paraId="1EBECFA1" w14:textId="77777777" w:rsidR="004177DC" w:rsidRPr="0051573B" w:rsidRDefault="004177DC" w:rsidP="004177D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NdeI</w:t>
            </w:r>
          </w:p>
          <w:p w14:paraId="093CB306" w14:textId="19300C36" w:rsidR="004177DC" w:rsidRPr="0051573B" w:rsidRDefault="004177DC" w:rsidP="004177D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BamHI</w:t>
            </w:r>
          </w:p>
        </w:tc>
      </w:tr>
      <w:tr w:rsidR="004177DC" w:rsidRPr="0051573B" w14:paraId="2B929D1F" w14:textId="77777777" w:rsidTr="00A15A4E">
        <w:trPr>
          <w:trHeight w:val="1267"/>
        </w:trPr>
        <w:tc>
          <w:tcPr>
            <w:cnfStyle w:val="001000000000" w:firstRow="0" w:lastRow="0" w:firstColumn="1" w:lastColumn="0" w:oddVBand="0" w:evenVBand="0" w:oddHBand="0" w:evenHBand="0" w:firstRowFirstColumn="0" w:firstRowLastColumn="0" w:lastRowFirstColumn="0" w:lastRowLastColumn="0"/>
            <w:tcW w:w="1019" w:type="pct"/>
          </w:tcPr>
          <w:p w14:paraId="643DBFCD" w14:textId="328D3FDE" w:rsidR="004177DC" w:rsidRPr="0051573B" w:rsidRDefault="004177DC" w:rsidP="004177DC">
            <w:pPr>
              <w:rPr>
                <w:rFonts w:ascii="Times New Roman" w:hAnsi="Times New Roman" w:cs="Times New Roman"/>
                <w:sz w:val="24"/>
                <w:szCs w:val="24"/>
              </w:rPr>
            </w:pPr>
            <w:r w:rsidRPr="0051573B">
              <w:rPr>
                <w:rFonts w:ascii="Times New Roman" w:hAnsi="Times New Roman" w:cs="Times New Roman"/>
                <w:sz w:val="24"/>
                <w:szCs w:val="24"/>
              </w:rPr>
              <w:t>Pr-194-FLAG</w:t>
            </w:r>
          </w:p>
        </w:tc>
        <w:tc>
          <w:tcPr>
            <w:tcW w:w="3223" w:type="pct"/>
          </w:tcPr>
          <w:p w14:paraId="6C4753DA" w14:textId="06A6A033" w:rsidR="0051573B" w:rsidRPr="0051573B" w:rsidRDefault="004177DC" w:rsidP="0051573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5´-GTCTAG</w:t>
            </w:r>
            <w:r w:rsidRPr="0051573B">
              <w:rPr>
                <w:rFonts w:ascii="Times New Roman" w:hAnsi="Times New Roman" w:cs="Times New Roman"/>
                <w:sz w:val="24"/>
                <w:szCs w:val="24"/>
                <w:u w:val="single"/>
              </w:rPr>
              <w:t>GGATCC</w:t>
            </w:r>
            <w:r w:rsidRPr="0051573B">
              <w:rPr>
                <w:rFonts w:ascii="Times New Roman" w:hAnsi="Times New Roman" w:cs="Times New Roman"/>
                <w:sz w:val="24"/>
                <w:szCs w:val="24"/>
              </w:rPr>
              <w:t>ACGAGATGACCCAGAATCTG</w:t>
            </w:r>
            <w:r w:rsidR="0051573B">
              <w:rPr>
                <w:rFonts w:ascii="Times New Roman" w:hAnsi="Times New Roman" w:cs="Times New Roman"/>
                <w:sz w:val="24"/>
                <w:szCs w:val="24"/>
              </w:rPr>
              <w:t xml:space="preserve"> </w:t>
            </w:r>
            <w:r w:rsidRPr="0051573B">
              <w:rPr>
                <w:rFonts w:ascii="Times New Roman" w:hAnsi="Times New Roman" w:cs="Times New Roman"/>
                <w:sz w:val="24"/>
                <w:szCs w:val="24"/>
              </w:rPr>
              <w:t>GGG-3´</w:t>
            </w:r>
          </w:p>
          <w:p w14:paraId="2FF4038D" w14:textId="2D542AA0" w:rsidR="004177DC" w:rsidRPr="0051573B" w:rsidRDefault="004177DC" w:rsidP="0051573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5’-CTAGAC</w:t>
            </w:r>
            <w:r w:rsidRPr="0051573B">
              <w:rPr>
                <w:rFonts w:ascii="Times New Roman" w:hAnsi="Times New Roman" w:cs="Times New Roman"/>
                <w:sz w:val="24"/>
                <w:szCs w:val="24"/>
                <w:u w:val="single"/>
              </w:rPr>
              <w:t>GAATTC</w:t>
            </w:r>
            <w:r w:rsidRPr="0051573B">
              <w:rPr>
                <w:rFonts w:ascii="Times New Roman" w:hAnsi="Times New Roman" w:cs="Times New Roman"/>
                <w:sz w:val="24"/>
                <w:szCs w:val="24"/>
              </w:rPr>
              <w:t>TTAAACCTTATCGTCGTCATC</w:t>
            </w:r>
            <w:r w:rsidR="0051573B">
              <w:rPr>
                <w:rFonts w:ascii="Times New Roman" w:hAnsi="Times New Roman" w:cs="Times New Roman"/>
                <w:sz w:val="24"/>
                <w:szCs w:val="24"/>
              </w:rPr>
              <w:t xml:space="preserve"> </w:t>
            </w:r>
            <w:r w:rsidRPr="0051573B">
              <w:rPr>
                <w:rFonts w:ascii="Times New Roman" w:hAnsi="Times New Roman" w:cs="Times New Roman"/>
                <w:sz w:val="24"/>
                <w:szCs w:val="24"/>
              </w:rPr>
              <w:t>CTTGTAATCGGCTGGTCCTAGGCC-3´</w:t>
            </w:r>
          </w:p>
        </w:tc>
        <w:tc>
          <w:tcPr>
            <w:tcW w:w="758" w:type="pct"/>
          </w:tcPr>
          <w:p w14:paraId="24A21A9F" w14:textId="77777777" w:rsidR="0051573B" w:rsidRPr="0051573B" w:rsidRDefault="0051573B" w:rsidP="0051573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BamHI</w:t>
            </w:r>
          </w:p>
          <w:p w14:paraId="79E4170E" w14:textId="77777777" w:rsidR="0051573B" w:rsidRPr="0051573B" w:rsidRDefault="0051573B" w:rsidP="0051573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F38F72A" w14:textId="3E55775C" w:rsidR="004177DC" w:rsidRPr="0051573B" w:rsidRDefault="0051573B" w:rsidP="0051573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EcoRI</w:t>
            </w:r>
          </w:p>
        </w:tc>
      </w:tr>
      <w:tr w:rsidR="004177DC" w:rsidRPr="0051573B" w14:paraId="2CADA33E" w14:textId="77777777" w:rsidTr="00A15A4E">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1019" w:type="pct"/>
          </w:tcPr>
          <w:p w14:paraId="39E839D3" w14:textId="1C5C4E41" w:rsidR="004177DC" w:rsidRPr="0051573B" w:rsidRDefault="004177DC" w:rsidP="004177DC">
            <w:pPr>
              <w:rPr>
                <w:rFonts w:ascii="Times New Roman" w:hAnsi="Times New Roman" w:cs="Times New Roman"/>
                <w:sz w:val="24"/>
                <w:szCs w:val="24"/>
              </w:rPr>
            </w:pPr>
            <w:r w:rsidRPr="0051573B">
              <w:rPr>
                <w:rFonts w:ascii="Times New Roman" w:hAnsi="Times New Roman" w:cs="Times New Roman"/>
                <w:sz w:val="24"/>
                <w:szCs w:val="24"/>
              </w:rPr>
              <w:t>Pr-186-FLAG</w:t>
            </w:r>
          </w:p>
        </w:tc>
        <w:tc>
          <w:tcPr>
            <w:tcW w:w="3223" w:type="pct"/>
          </w:tcPr>
          <w:p w14:paraId="04A4928E" w14:textId="5A49A926" w:rsidR="0051573B" w:rsidRPr="0051573B" w:rsidRDefault="0051573B" w:rsidP="0051573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5´-GTCTAG</w:t>
            </w:r>
            <w:r w:rsidRPr="0051573B">
              <w:rPr>
                <w:rFonts w:ascii="Times New Roman" w:hAnsi="Times New Roman" w:cs="Times New Roman"/>
                <w:sz w:val="24"/>
                <w:szCs w:val="24"/>
                <w:u w:val="single"/>
              </w:rPr>
              <w:t>GGATCC</w:t>
            </w:r>
            <w:r w:rsidRPr="0051573B">
              <w:rPr>
                <w:rFonts w:ascii="Times New Roman" w:hAnsi="Times New Roman" w:cs="Times New Roman"/>
                <w:sz w:val="24"/>
                <w:szCs w:val="24"/>
              </w:rPr>
              <w:t>ACGAGATGGCCTCAATCTTG</w:t>
            </w:r>
            <w:r>
              <w:rPr>
                <w:rFonts w:ascii="Times New Roman" w:hAnsi="Times New Roman" w:cs="Times New Roman"/>
                <w:sz w:val="24"/>
                <w:szCs w:val="24"/>
              </w:rPr>
              <w:t xml:space="preserve"> </w:t>
            </w:r>
            <w:r w:rsidRPr="0051573B">
              <w:rPr>
                <w:rFonts w:ascii="Times New Roman" w:hAnsi="Times New Roman" w:cs="Times New Roman"/>
                <w:sz w:val="24"/>
                <w:szCs w:val="24"/>
              </w:rPr>
              <w:t>CG-3´</w:t>
            </w:r>
          </w:p>
          <w:p w14:paraId="1CFF2D32" w14:textId="6385D106" w:rsidR="004177DC" w:rsidRPr="0051573B" w:rsidRDefault="0051573B" w:rsidP="0051573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5´-CTAGAC</w:t>
            </w:r>
            <w:r w:rsidRPr="0051573B">
              <w:rPr>
                <w:rFonts w:ascii="Times New Roman" w:hAnsi="Times New Roman" w:cs="Times New Roman"/>
                <w:sz w:val="24"/>
                <w:szCs w:val="24"/>
                <w:u w:val="single"/>
              </w:rPr>
              <w:t>GAATTC</w:t>
            </w:r>
            <w:r w:rsidRPr="0051573B">
              <w:rPr>
                <w:rFonts w:ascii="Times New Roman" w:hAnsi="Times New Roman" w:cs="Times New Roman"/>
                <w:sz w:val="24"/>
                <w:szCs w:val="24"/>
              </w:rPr>
              <w:t>TTAAACCTTATCGTCGTCATC</w:t>
            </w:r>
            <w:r>
              <w:rPr>
                <w:rFonts w:ascii="Times New Roman" w:hAnsi="Times New Roman" w:cs="Times New Roman"/>
                <w:sz w:val="24"/>
                <w:szCs w:val="24"/>
              </w:rPr>
              <w:t xml:space="preserve"> </w:t>
            </w:r>
            <w:r w:rsidRPr="0051573B">
              <w:rPr>
                <w:rFonts w:ascii="Times New Roman" w:hAnsi="Times New Roman" w:cs="Times New Roman"/>
                <w:sz w:val="24"/>
                <w:szCs w:val="24"/>
              </w:rPr>
              <w:t>CTTGTAATCGGCTGGTCCTAGGCC-3´</w:t>
            </w:r>
          </w:p>
        </w:tc>
        <w:tc>
          <w:tcPr>
            <w:tcW w:w="758" w:type="pct"/>
          </w:tcPr>
          <w:p w14:paraId="04C31BA0" w14:textId="77777777" w:rsidR="0051573B" w:rsidRPr="0051573B" w:rsidRDefault="0051573B" w:rsidP="0051573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BamHI</w:t>
            </w:r>
          </w:p>
          <w:p w14:paraId="4C0789A3" w14:textId="77777777" w:rsidR="0051573B" w:rsidRPr="0051573B" w:rsidRDefault="0051573B" w:rsidP="0051573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04758CF7" w14:textId="58381B1D" w:rsidR="004177DC" w:rsidRPr="0051573B" w:rsidRDefault="0051573B" w:rsidP="0051573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EcoRI</w:t>
            </w:r>
          </w:p>
        </w:tc>
      </w:tr>
      <w:tr w:rsidR="0051573B" w:rsidRPr="0051573B" w14:paraId="717E297D" w14:textId="77777777" w:rsidTr="00A15A4E">
        <w:trPr>
          <w:trHeight w:val="1261"/>
        </w:trPr>
        <w:tc>
          <w:tcPr>
            <w:cnfStyle w:val="001000000000" w:firstRow="0" w:lastRow="0" w:firstColumn="1" w:lastColumn="0" w:oddVBand="0" w:evenVBand="0" w:oddHBand="0" w:evenHBand="0" w:firstRowFirstColumn="0" w:firstRowLastColumn="0" w:lastRowFirstColumn="0" w:lastRowLastColumn="0"/>
            <w:tcW w:w="1019" w:type="pct"/>
          </w:tcPr>
          <w:p w14:paraId="3AAA170D" w14:textId="100A9B5F" w:rsidR="0051573B" w:rsidRPr="0051573B" w:rsidRDefault="0051573B" w:rsidP="0051573B">
            <w:pPr>
              <w:rPr>
                <w:rFonts w:ascii="Times New Roman" w:hAnsi="Times New Roman" w:cs="Times New Roman"/>
                <w:sz w:val="24"/>
                <w:szCs w:val="24"/>
              </w:rPr>
            </w:pPr>
            <w:r w:rsidRPr="0051573B">
              <w:rPr>
                <w:rFonts w:ascii="Times New Roman" w:hAnsi="Times New Roman" w:cs="Times New Roman"/>
                <w:sz w:val="24"/>
                <w:szCs w:val="24"/>
              </w:rPr>
              <w:t>Pr-NME4-FLAG</w:t>
            </w:r>
          </w:p>
        </w:tc>
        <w:tc>
          <w:tcPr>
            <w:tcW w:w="3223" w:type="pct"/>
          </w:tcPr>
          <w:p w14:paraId="7D0C116C" w14:textId="1B88B35C" w:rsidR="0051573B" w:rsidRPr="0051573B" w:rsidRDefault="0051573B" w:rsidP="0051573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5’-GTCTAG</w:t>
            </w:r>
            <w:r w:rsidRPr="0051573B">
              <w:rPr>
                <w:rFonts w:ascii="Times New Roman" w:hAnsi="Times New Roman" w:cs="Times New Roman"/>
                <w:sz w:val="24"/>
                <w:szCs w:val="24"/>
                <w:u w:val="single"/>
              </w:rPr>
              <w:t>GGATCC</w:t>
            </w:r>
            <w:r w:rsidRPr="0051573B">
              <w:rPr>
                <w:rFonts w:ascii="Times New Roman" w:hAnsi="Times New Roman" w:cs="Times New Roman"/>
                <w:sz w:val="24"/>
                <w:szCs w:val="24"/>
              </w:rPr>
              <w:t>ACGAGATGGGCGGCCTCTTC</w:t>
            </w:r>
            <w:r>
              <w:rPr>
                <w:rFonts w:ascii="Times New Roman" w:hAnsi="Times New Roman" w:cs="Times New Roman"/>
                <w:sz w:val="24"/>
                <w:szCs w:val="24"/>
              </w:rPr>
              <w:t xml:space="preserve"> </w:t>
            </w:r>
            <w:r w:rsidRPr="0051573B">
              <w:rPr>
                <w:rFonts w:ascii="Times New Roman" w:hAnsi="Times New Roman" w:cs="Times New Roman"/>
                <w:sz w:val="24"/>
                <w:szCs w:val="24"/>
              </w:rPr>
              <w:t>TGGCGCTCC-3’</w:t>
            </w:r>
          </w:p>
          <w:p w14:paraId="2A43197A" w14:textId="45970299" w:rsidR="0051573B" w:rsidRPr="0051573B" w:rsidRDefault="0051573B" w:rsidP="0051573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5’-CTAGAC</w:t>
            </w:r>
            <w:r w:rsidRPr="0051573B">
              <w:rPr>
                <w:rFonts w:ascii="Times New Roman" w:hAnsi="Times New Roman" w:cs="Times New Roman"/>
                <w:sz w:val="24"/>
                <w:szCs w:val="24"/>
                <w:u w:val="single"/>
              </w:rPr>
              <w:t>GAATTC</w:t>
            </w:r>
            <w:r w:rsidRPr="0051573B">
              <w:rPr>
                <w:rFonts w:ascii="Times New Roman" w:hAnsi="Times New Roman" w:cs="Times New Roman"/>
                <w:sz w:val="24"/>
                <w:szCs w:val="24"/>
              </w:rPr>
              <w:t>TTACTTATCGTCGTCGTCCTT</w:t>
            </w:r>
            <w:r>
              <w:rPr>
                <w:rFonts w:ascii="Times New Roman" w:hAnsi="Times New Roman" w:cs="Times New Roman"/>
                <w:sz w:val="24"/>
                <w:szCs w:val="24"/>
              </w:rPr>
              <w:t xml:space="preserve"> </w:t>
            </w:r>
            <w:r w:rsidRPr="0051573B">
              <w:rPr>
                <w:rFonts w:ascii="Times New Roman" w:hAnsi="Times New Roman" w:cs="Times New Roman"/>
                <w:sz w:val="24"/>
                <w:szCs w:val="24"/>
              </w:rPr>
              <w:t>GTAGTCGGCTGGGTGGATGCTGCTGTG-3’</w:t>
            </w:r>
          </w:p>
        </w:tc>
        <w:tc>
          <w:tcPr>
            <w:tcW w:w="758" w:type="pct"/>
          </w:tcPr>
          <w:p w14:paraId="6FE6F845" w14:textId="77777777" w:rsidR="0051573B" w:rsidRPr="0051573B" w:rsidRDefault="0051573B" w:rsidP="0051573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BamHI</w:t>
            </w:r>
          </w:p>
          <w:p w14:paraId="0ACF63BC" w14:textId="77777777" w:rsidR="0051573B" w:rsidRPr="0051573B" w:rsidRDefault="0051573B" w:rsidP="0051573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6B35294C" w14:textId="5131CFBB" w:rsidR="0051573B" w:rsidRPr="0051573B" w:rsidRDefault="0051573B" w:rsidP="0051573B">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EcoRI</w:t>
            </w:r>
          </w:p>
        </w:tc>
      </w:tr>
      <w:tr w:rsidR="0051573B" w:rsidRPr="0051573B" w14:paraId="556B8156" w14:textId="77777777" w:rsidTr="00A15A4E">
        <w:trPr>
          <w:cnfStyle w:val="000000100000" w:firstRow="0" w:lastRow="0" w:firstColumn="0" w:lastColumn="0" w:oddVBand="0" w:evenVBand="0" w:oddHBand="1" w:evenHBand="0" w:firstRowFirstColumn="0" w:firstRowLastColumn="0" w:lastRowFirstColumn="0" w:lastRowLastColumn="0"/>
          <w:trHeight w:val="1549"/>
        </w:trPr>
        <w:tc>
          <w:tcPr>
            <w:cnfStyle w:val="001000000000" w:firstRow="0" w:lastRow="0" w:firstColumn="1" w:lastColumn="0" w:oddVBand="0" w:evenVBand="0" w:oddHBand="0" w:evenHBand="0" w:firstRowFirstColumn="0" w:firstRowLastColumn="0" w:lastRowFirstColumn="0" w:lastRowLastColumn="0"/>
            <w:tcW w:w="1019" w:type="pct"/>
          </w:tcPr>
          <w:p w14:paraId="4D121D3D" w14:textId="184DA386" w:rsidR="0051573B" w:rsidRPr="0051573B" w:rsidRDefault="0051573B" w:rsidP="0051573B">
            <w:pPr>
              <w:rPr>
                <w:rFonts w:ascii="Times New Roman" w:hAnsi="Times New Roman" w:cs="Times New Roman"/>
                <w:sz w:val="24"/>
                <w:szCs w:val="24"/>
              </w:rPr>
            </w:pPr>
            <w:r w:rsidRPr="0051573B">
              <w:rPr>
                <w:rFonts w:ascii="Times New Roman" w:hAnsi="Times New Roman" w:cs="Times New Roman"/>
                <w:sz w:val="24"/>
                <w:szCs w:val="24"/>
              </w:rPr>
              <w:t>Pr-NME3-FLAG</w:t>
            </w:r>
          </w:p>
        </w:tc>
        <w:tc>
          <w:tcPr>
            <w:tcW w:w="3223" w:type="pct"/>
          </w:tcPr>
          <w:p w14:paraId="6F4ABDFB" w14:textId="4D8AC06D" w:rsidR="0051573B" w:rsidRPr="0051573B" w:rsidRDefault="0051573B" w:rsidP="0051573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5’-GTCTAG</w:t>
            </w:r>
            <w:r w:rsidRPr="0051573B">
              <w:rPr>
                <w:rFonts w:ascii="Times New Roman" w:hAnsi="Times New Roman" w:cs="Times New Roman"/>
                <w:sz w:val="24"/>
                <w:szCs w:val="24"/>
                <w:u w:val="single"/>
              </w:rPr>
              <w:t>GGATCC</w:t>
            </w:r>
            <w:r w:rsidRPr="0051573B">
              <w:rPr>
                <w:rFonts w:ascii="Times New Roman" w:hAnsi="Times New Roman" w:cs="Times New Roman"/>
                <w:sz w:val="24"/>
                <w:szCs w:val="24"/>
              </w:rPr>
              <w:t>ACGAGATGGACTACAAGG</w:t>
            </w:r>
            <w:r>
              <w:rPr>
                <w:rFonts w:ascii="Times New Roman" w:hAnsi="Times New Roman" w:cs="Times New Roman"/>
                <w:sz w:val="24"/>
                <w:szCs w:val="24"/>
              </w:rPr>
              <w:t xml:space="preserve"> </w:t>
            </w:r>
            <w:r w:rsidRPr="0051573B">
              <w:rPr>
                <w:rFonts w:ascii="Times New Roman" w:hAnsi="Times New Roman" w:cs="Times New Roman"/>
                <w:sz w:val="24"/>
                <w:szCs w:val="24"/>
              </w:rPr>
              <w:t>ACGACGACGATAAGATGATCTGCCTGGTGCTGACC-3’</w:t>
            </w:r>
          </w:p>
          <w:p w14:paraId="4AF89A8E" w14:textId="2E6CEA1C" w:rsidR="0051573B" w:rsidRPr="0051573B" w:rsidRDefault="0051573B" w:rsidP="0051573B">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5’-CTAGAC</w:t>
            </w:r>
            <w:r w:rsidRPr="0051573B">
              <w:rPr>
                <w:rFonts w:ascii="Times New Roman" w:hAnsi="Times New Roman" w:cs="Times New Roman"/>
                <w:sz w:val="24"/>
                <w:szCs w:val="24"/>
                <w:u w:val="single"/>
              </w:rPr>
              <w:t>GAATTC</w:t>
            </w:r>
            <w:r w:rsidRPr="0051573B">
              <w:rPr>
                <w:rFonts w:ascii="Times New Roman" w:hAnsi="Times New Roman" w:cs="Times New Roman"/>
                <w:sz w:val="24"/>
                <w:szCs w:val="24"/>
              </w:rPr>
              <w:t>TTACTCATACAGCCAGTG</w:t>
            </w:r>
            <w:r>
              <w:rPr>
                <w:rFonts w:ascii="Times New Roman" w:hAnsi="Times New Roman" w:cs="Times New Roman"/>
                <w:sz w:val="24"/>
                <w:szCs w:val="24"/>
              </w:rPr>
              <w:t xml:space="preserve"> </w:t>
            </w:r>
            <w:r w:rsidRPr="0051573B">
              <w:rPr>
                <w:rFonts w:ascii="Times New Roman" w:hAnsi="Times New Roman" w:cs="Times New Roman"/>
                <w:sz w:val="24"/>
                <w:szCs w:val="24"/>
              </w:rPr>
              <w:t>CC-3’</w:t>
            </w:r>
          </w:p>
        </w:tc>
        <w:tc>
          <w:tcPr>
            <w:tcW w:w="758" w:type="pct"/>
          </w:tcPr>
          <w:p w14:paraId="303027FB" w14:textId="77777777" w:rsidR="0051573B" w:rsidRPr="0051573B" w:rsidRDefault="0051573B" w:rsidP="0051573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BamHI</w:t>
            </w:r>
          </w:p>
          <w:p w14:paraId="53CF18EB" w14:textId="77777777" w:rsidR="0051573B" w:rsidRPr="0051573B" w:rsidRDefault="0051573B" w:rsidP="0051573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F1A57A3" w14:textId="77777777" w:rsidR="0051573B" w:rsidRDefault="0051573B" w:rsidP="0051573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3E4E1AEB" w14:textId="50F416C5" w:rsidR="0051573B" w:rsidRPr="0051573B" w:rsidRDefault="0051573B" w:rsidP="0051573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51573B">
              <w:rPr>
                <w:rFonts w:ascii="Times New Roman" w:hAnsi="Times New Roman" w:cs="Times New Roman"/>
                <w:sz w:val="24"/>
                <w:szCs w:val="24"/>
              </w:rPr>
              <w:t>EcoRI</w:t>
            </w:r>
          </w:p>
        </w:tc>
      </w:tr>
    </w:tbl>
    <w:p w14:paraId="49DE862B" w14:textId="77777777" w:rsidR="004177DC" w:rsidRPr="004177DC" w:rsidRDefault="004177DC" w:rsidP="004177DC"/>
    <w:p w14:paraId="33DF32D6" w14:textId="7DC4C20A" w:rsidR="0044433F" w:rsidRPr="002E26D2" w:rsidRDefault="0044433F" w:rsidP="0044433F">
      <w:pPr>
        <w:pStyle w:val="Caption"/>
        <w:keepNext/>
        <w:spacing w:line="360" w:lineRule="auto"/>
        <w:rPr>
          <w:rFonts w:ascii="Times New Roman" w:hAnsi="Times New Roman" w:cs="Times New Roman"/>
          <w:sz w:val="24"/>
          <w:szCs w:val="24"/>
        </w:rPr>
      </w:pPr>
      <w:bookmarkStart w:id="77" w:name="_Ref106008806"/>
      <w:bookmarkStart w:id="78" w:name="_Ref107320860"/>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13</w:t>
      </w:r>
      <w:r w:rsidRPr="002E26D2">
        <w:rPr>
          <w:rFonts w:ascii="Times New Roman" w:hAnsi="Times New Roman" w:cs="Times New Roman"/>
          <w:sz w:val="24"/>
          <w:szCs w:val="24"/>
        </w:rPr>
        <w:fldChar w:fldCharType="end"/>
      </w:r>
      <w:bookmarkEnd w:id="77"/>
      <w:r w:rsidRPr="002E26D2">
        <w:rPr>
          <w:rFonts w:ascii="Times New Roman" w:hAnsi="Times New Roman" w:cs="Times New Roman"/>
          <w:sz w:val="24"/>
          <w:szCs w:val="24"/>
        </w:rPr>
        <w:t xml:space="preserve"> : Primers used for the control of NME6</w:t>
      </w:r>
      <w:r>
        <w:rPr>
          <w:rFonts w:ascii="Times New Roman" w:hAnsi="Times New Roman" w:cs="Times New Roman"/>
          <w:sz w:val="24"/>
          <w:szCs w:val="24"/>
        </w:rPr>
        <w:t>-K</w:t>
      </w:r>
      <w:r w:rsidR="00824829">
        <w:rPr>
          <w:rFonts w:ascii="Times New Roman" w:hAnsi="Times New Roman" w:cs="Times New Roman"/>
          <w:sz w:val="24"/>
          <w:szCs w:val="24"/>
        </w:rPr>
        <w:t>O</w:t>
      </w:r>
      <w:r w:rsidRPr="002E26D2">
        <w:rPr>
          <w:rFonts w:ascii="Times New Roman" w:hAnsi="Times New Roman" w:cs="Times New Roman"/>
          <w:sz w:val="24"/>
          <w:szCs w:val="24"/>
        </w:rPr>
        <w:t xml:space="preserve"> and the assessment of correct left and right integration junctions.</w:t>
      </w:r>
    </w:p>
    <w:tbl>
      <w:tblPr>
        <w:tblStyle w:val="PlainTable1"/>
        <w:tblW w:w="5000" w:type="pct"/>
        <w:tblLook w:val="04A0" w:firstRow="1" w:lastRow="0" w:firstColumn="1" w:lastColumn="0" w:noHBand="0" w:noVBand="1"/>
      </w:tblPr>
      <w:tblGrid>
        <w:gridCol w:w="4293"/>
        <w:gridCol w:w="4723"/>
      </w:tblGrid>
      <w:tr w:rsidR="00824829" w:rsidRPr="002E26D2" w14:paraId="51048FAA" w14:textId="77777777" w:rsidTr="00C935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pct"/>
          </w:tcPr>
          <w:p w14:paraId="698E8906" w14:textId="00CC8E9D" w:rsidR="00824829" w:rsidRPr="00824829" w:rsidRDefault="00824829" w:rsidP="00824829">
            <w:pPr>
              <w:spacing w:line="360" w:lineRule="auto"/>
              <w:jc w:val="both"/>
              <w:rPr>
                <w:rFonts w:ascii="Times New Roman" w:hAnsi="Times New Roman" w:cs="Times New Roman"/>
                <w:sz w:val="24"/>
                <w:szCs w:val="24"/>
              </w:rPr>
            </w:pPr>
            <w:r w:rsidRPr="00824829">
              <w:rPr>
                <w:rFonts w:ascii="Times New Roman" w:hAnsi="Times New Roman" w:cs="Times New Roman"/>
                <w:sz w:val="24"/>
                <w:szCs w:val="24"/>
              </w:rPr>
              <w:t>Primers</w:t>
            </w:r>
          </w:p>
        </w:tc>
        <w:tc>
          <w:tcPr>
            <w:tcW w:w="2619" w:type="pct"/>
          </w:tcPr>
          <w:p w14:paraId="1C2BA278" w14:textId="17D38158" w:rsidR="00824829" w:rsidRPr="002E26D2" w:rsidRDefault="00824829" w:rsidP="00824829">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Sequence</w:t>
            </w:r>
          </w:p>
        </w:tc>
      </w:tr>
      <w:tr w:rsidR="00284482" w:rsidRPr="002E26D2" w14:paraId="72CCE5D6" w14:textId="77777777" w:rsidTr="00C93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pct"/>
          </w:tcPr>
          <w:p w14:paraId="12D6640A" w14:textId="717CD367" w:rsidR="00284482" w:rsidRPr="002E26D2" w:rsidRDefault="00284482" w:rsidP="00824829">
            <w:pPr>
              <w:spacing w:line="360" w:lineRule="auto"/>
              <w:jc w:val="both"/>
              <w:rPr>
                <w:rFonts w:ascii="Times New Roman" w:hAnsi="Times New Roman" w:cs="Times New Roman"/>
                <w:b w:val="0"/>
                <w:sz w:val="24"/>
                <w:szCs w:val="24"/>
              </w:rPr>
            </w:pPr>
            <w:r w:rsidRPr="002E26D2">
              <w:rPr>
                <w:rFonts w:ascii="Times New Roman" w:hAnsi="Times New Roman" w:cs="Times New Roman"/>
                <w:b w:val="0"/>
                <w:sz w:val="24"/>
                <w:szCs w:val="24"/>
              </w:rPr>
              <w:t xml:space="preserve">NME6-KO and NME6-WT </w:t>
            </w:r>
            <w:r w:rsidR="00824829">
              <w:rPr>
                <w:rFonts w:ascii="Times New Roman" w:hAnsi="Times New Roman" w:cs="Times New Roman"/>
                <w:b w:val="0"/>
                <w:sz w:val="24"/>
                <w:szCs w:val="24"/>
              </w:rPr>
              <w:t>screen</w:t>
            </w:r>
          </w:p>
        </w:tc>
        <w:tc>
          <w:tcPr>
            <w:tcW w:w="2619" w:type="pct"/>
          </w:tcPr>
          <w:p w14:paraId="50F0600D" w14:textId="35CBC5BE" w:rsidR="00284482" w:rsidRDefault="00284482" w:rsidP="0082482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2E26D2">
              <w:rPr>
                <w:rFonts w:ascii="Times New Roman" w:hAnsi="Times New Roman" w:cs="Times New Roman"/>
                <w:sz w:val="24"/>
                <w:szCs w:val="24"/>
              </w:rPr>
              <w:t xml:space="preserve">LF: </w:t>
            </w:r>
            <w:r w:rsidR="00753E87" w:rsidRPr="0051573B">
              <w:rPr>
                <w:rFonts w:ascii="Times New Roman" w:hAnsi="Times New Roman" w:cs="Times New Roman"/>
                <w:sz w:val="24"/>
                <w:szCs w:val="24"/>
              </w:rPr>
              <w:t>5’-</w:t>
            </w:r>
            <w:r w:rsidRPr="002E26D2">
              <w:rPr>
                <w:rFonts w:ascii="Times New Roman" w:hAnsi="Times New Roman" w:cs="Times New Roman"/>
                <w:sz w:val="24"/>
                <w:szCs w:val="24"/>
              </w:rPr>
              <w:t>GACACGTGAAAGGCCGTTAT</w:t>
            </w:r>
            <w:r w:rsidR="00753E87" w:rsidRPr="0051573B">
              <w:rPr>
                <w:rFonts w:ascii="Times New Roman" w:hAnsi="Times New Roman" w:cs="Times New Roman"/>
                <w:sz w:val="24"/>
                <w:szCs w:val="24"/>
              </w:rPr>
              <w:t>-3’</w:t>
            </w:r>
          </w:p>
          <w:p w14:paraId="14AE039A" w14:textId="3030B996" w:rsidR="00284482" w:rsidRPr="002E26D2" w:rsidRDefault="00284482" w:rsidP="0082482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2E26D2">
              <w:rPr>
                <w:rFonts w:ascii="Times New Roman" w:hAnsi="Times New Roman" w:cs="Times New Roman"/>
                <w:sz w:val="24"/>
                <w:szCs w:val="24"/>
              </w:rPr>
              <w:t xml:space="preserve">RR: </w:t>
            </w:r>
            <w:r w:rsidR="00753E87" w:rsidRPr="0051573B">
              <w:rPr>
                <w:rFonts w:ascii="Times New Roman" w:hAnsi="Times New Roman" w:cs="Times New Roman"/>
                <w:sz w:val="24"/>
                <w:szCs w:val="24"/>
              </w:rPr>
              <w:t>5’-</w:t>
            </w:r>
            <w:r w:rsidRPr="002E26D2">
              <w:rPr>
                <w:rFonts w:ascii="Times New Roman" w:hAnsi="Times New Roman" w:cs="Times New Roman"/>
                <w:sz w:val="24"/>
                <w:szCs w:val="24"/>
              </w:rPr>
              <w:t>CTTTCTCTGGTTGCCTCCTG</w:t>
            </w:r>
            <w:r w:rsidR="00753E87" w:rsidRPr="0051573B">
              <w:rPr>
                <w:rFonts w:ascii="Times New Roman" w:hAnsi="Times New Roman" w:cs="Times New Roman"/>
                <w:sz w:val="24"/>
                <w:szCs w:val="24"/>
              </w:rPr>
              <w:t>-3’</w:t>
            </w:r>
            <w:r w:rsidRPr="002E26D2">
              <w:rPr>
                <w:rFonts w:ascii="Times New Roman" w:hAnsi="Times New Roman" w:cs="Times New Roman"/>
                <w:sz w:val="24"/>
                <w:szCs w:val="24"/>
              </w:rPr>
              <w:t xml:space="preserve">  </w:t>
            </w:r>
          </w:p>
        </w:tc>
      </w:tr>
      <w:tr w:rsidR="00824829" w:rsidRPr="002E26D2" w14:paraId="144FA775" w14:textId="77777777" w:rsidTr="00C935D6">
        <w:tc>
          <w:tcPr>
            <w:cnfStyle w:val="001000000000" w:firstRow="0" w:lastRow="0" w:firstColumn="1" w:lastColumn="0" w:oddVBand="0" w:evenVBand="0" w:oddHBand="0" w:evenHBand="0" w:firstRowFirstColumn="0" w:firstRowLastColumn="0" w:lastRowFirstColumn="0" w:lastRowLastColumn="0"/>
            <w:tcW w:w="2381" w:type="pct"/>
          </w:tcPr>
          <w:p w14:paraId="45D253F0" w14:textId="59591D1C" w:rsidR="00824829" w:rsidRPr="002E26D2" w:rsidRDefault="00824829" w:rsidP="00824829">
            <w:pPr>
              <w:spacing w:line="360" w:lineRule="auto"/>
              <w:jc w:val="both"/>
              <w:rPr>
                <w:rFonts w:ascii="Times New Roman" w:hAnsi="Times New Roman" w:cs="Times New Roman"/>
                <w:b w:val="0"/>
                <w:sz w:val="24"/>
                <w:szCs w:val="24"/>
              </w:rPr>
            </w:pPr>
            <w:r>
              <w:rPr>
                <w:rFonts w:ascii="Times New Roman" w:hAnsi="Times New Roman" w:cs="Times New Roman"/>
                <w:b w:val="0"/>
                <w:sz w:val="24"/>
                <w:szCs w:val="24"/>
              </w:rPr>
              <w:t>L</w:t>
            </w:r>
            <w:r w:rsidRPr="002E26D2">
              <w:rPr>
                <w:rFonts w:ascii="Times New Roman" w:hAnsi="Times New Roman" w:cs="Times New Roman"/>
                <w:b w:val="0"/>
                <w:sz w:val="24"/>
                <w:szCs w:val="24"/>
              </w:rPr>
              <w:t>eft integration junction</w:t>
            </w:r>
            <w:r>
              <w:rPr>
                <w:rFonts w:ascii="Times New Roman" w:hAnsi="Times New Roman" w:cs="Times New Roman"/>
                <w:b w:val="0"/>
                <w:sz w:val="24"/>
                <w:szCs w:val="24"/>
              </w:rPr>
              <w:t xml:space="preserve"> screen</w:t>
            </w:r>
          </w:p>
        </w:tc>
        <w:tc>
          <w:tcPr>
            <w:tcW w:w="2619" w:type="pct"/>
          </w:tcPr>
          <w:p w14:paraId="11DE3081" w14:textId="60DBBF0C" w:rsidR="00824829" w:rsidRDefault="00824829" w:rsidP="0082482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 xml:space="preserve">LF: </w:t>
            </w:r>
            <w:r w:rsidR="00753E87" w:rsidRPr="0051573B">
              <w:rPr>
                <w:rFonts w:ascii="Times New Roman" w:hAnsi="Times New Roman" w:cs="Times New Roman"/>
                <w:sz w:val="24"/>
                <w:szCs w:val="24"/>
              </w:rPr>
              <w:t>5’-</w:t>
            </w:r>
            <w:r w:rsidRPr="002E26D2">
              <w:rPr>
                <w:rFonts w:ascii="Times New Roman" w:hAnsi="Times New Roman" w:cs="Times New Roman"/>
                <w:sz w:val="24"/>
                <w:szCs w:val="24"/>
              </w:rPr>
              <w:t>GACACGTGAAAGGCCGTTAT</w:t>
            </w:r>
            <w:r w:rsidR="00753E87" w:rsidRPr="0051573B">
              <w:rPr>
                <w:rFonts w:ascii="Times New Roman" w:hAnsi="Times New Roman" w:cs="Times New Roman"/>
                <w:sz w:val="24"/>
                <w:szCs w:val="24"/>
              </w:rPr>
              <w:t>-3’</w:t>
            </w:r>
          </w:p>
          <w:p w14:paraId="349D5EEE" w14:textId="0961E9D5" w:rsidR="00824829" w:rsidRPr="002E26D2" w:rsidRDefault="00824829" w:rsidP="00824829">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2E26D2">
              <w:rPr>
                <w:rFonts w:ascii="Times New Roman" w:hAnsi="Times New Roman" w:cs="Times New Roman"/>
                <w:sz w:val="24"/>
                <w:szCs w:val="24"/>
              </w:rPr>
              <w:t xml:space="preserve">LR: </w:t>
            </w:r>
            <w:r w:rsidR="00753E87" w:rsidRPr="0051573B">
              <w:rPr>
                <w:rFonts w:ascii="Times New Roman" w:hAnsi="Times New Roman" w:cs="Times New Roman"/>
                <w:sz w:val="24"/>
                <w:szCs w:val="24"/>
              </w:rPr>
              <w:t>5’-</w:t>
            </w:r>
            <w:r w:rsidRPr="002E26D2">
              <w:rPr>
                <w:rFonts w:ascii="Times New Roman" w:hAnsi="Times New Roman" w:cs="Times New Roman"/>
                <w:sz w:val="24"/>
                <w:szCs w:val="24"/>
              </w:rPr>
              <w:t>GGGTGTGGTTGATGAAGGTC</w:t>
            </w:r>
            <w:r w:rsidR="00753E87" w:rsidRPr="0051573B">
              <w:rPr>
                <w:rFonts w:ascii="Times New Roman" w:hAnsi="Times New Roman" w:cs="Times New Roman"/>
                <w:sz w:val="24"/>
                <w:szCs w:val="24"/>
              </w:rPr>
              <w:t>-3’</w:t>
            </w:r>
          </w:p>
        </w:tc>
      </w:tr>
      <w:tr w:rsidR="00824829" w:rsidRPr="002E26D2" w14:paraId="4B1B647C" w14:textId="77777777" w:rsidTr="00C93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1" w:type="pct"/>
          </w:tcPr>
          <w:p w14:paraId="43002D3F" w14:textId="06250727" w:rsidR="00824829" w:rsidRPr="002E26D2" w:rsidRDefault="00824829" w:rsidP="00824829">
            <w:pPr>
              <w:spacing w:line="360" w:lineRule="auto"/>
              <w:jc w:val="both"/>
              <w:rPr>
                <w:rFonts w:ascii="Times New Roman" w:hAnsi="Times New Roman" w:cs="Times New Roman"/>
                <w:sz w:val="24"/>
                <w:szCs w:val="24"/>
              </w:rPr>
            </w:pPr>
            <w:r>
              <w:rPr>
                <w:rFonts w:ascii="Times New Roman" w:hAnsi="Times New Roman" w:cs="Times New Roman"/>
                <w:b w:val="0"/>
                <w:sz w:val="24"/>
                <w:szCs w:val="24"/>
              </w:rPr>
              <w:t>R</w:t>
            </w:r>
            <w:r w:rsidRPr="002E26D2">
              <w:rPr>
                <w:rFonts w:ascii="Times New Roman" w:hAnsi="Times New Roman" w:cs="Times New Roman"/>
                <w:b w:val="0"/>
                <w:sz w:val="24"/>
                <w:szCs w:val="24"/>
              </w:rPr>
              <w:t>ight integration junction</w:t>
            </w:r>
            <w:r>
              <w:rPr>
                <w:rFonts w:ascii="Times New Roman" w:hAnsi="Times New Roman" w:cs="Times New Roman"/>
                <w:b w:val="0"/>
                <w:sz w:val="24"/>
                <w:szCs w:val="24"/>
              </w:rPr>
              <w:t xml:space="preserve"> screen</w:t>
            </w:r>
          </w:p>
        </w:tc>
        <w:tc>
          <w:tcPr>
            <w:tcW w:w="2619" w:type="pct"/>
          </w:tcPr>
          <w:p w14:paraId="55A0CB25" w14:textId="635BDE3C" w:rsidR="00824829" w:rsidRDefault="00824829" w:rsidP="0082482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 xml:space="preserve">RF: </w:t>
            </w:r>
            <w:r w:rsidR="00753E87" w:rsidRPr="0051573B">
              <w:rPr>
                <w:rFonts w:ascii="Times New Roman" w:hAnsi="Times New Roman" w:cs="Times New Roman"/>
                <w:sz w:val="24"/>
                <w:szCs w:val="24"/>
              </w:rPr>
              <w:t>5’-</w:t>
            </w:r>
            <w:r w:rsidRPr="002E26D2">
              <w:rPr>
                <w:rFonts w:ascii="Times New Roman" w:hAnsi="Times New Roman" w:cs="Times New Roman"/>
                <w:sz w:val="24"/>
                <w:szCs w:val="24"/>
              </w:rPr>
              <w:t>CGTTGGCTACCCGTGATATT</w:t>
            </w:r>
            <w:r w:rsidR="00753E87" w:rsidRPr="0051573B">
              <w:rPr>
                <w:rFonts w:ascii="Times New Roman" w:hAnsi="Times New Roman" w:cs="Times New Roman"/>
                <w:sz w:val="24"/>
                <w:szCs w:val="24"/>
              </w:rPr>
              <w:t>-3’</w:t>
            </w:r>
          </w:p>
          <w:p w14:paraId="4ED7E28F" w14:textId="2D6C1D24" w:rsidR="00824829" w:rsidRPr="002E26D2" w:rsidRDefault="00824829" w:rsidP="00824829">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 xml:space="preserve">RR: </w:t>
            </w:r>
            <w:r w:rsidR="00753E87" w:rsidRPr="0051573B">
              <w:rPr>
                <w:rFonts w:ascii="Times New Roman" w:hAnsi="Times New Roman" w:cs="Times New Roman"/>
                <w:sz w:val="24"/>
                <w:szCs w:val="24"/>
              </w:rPr>
              <w:t>5’-</w:t>
            </w:r>
            <w:r w:rsidRPr="002E26D2">
              <w:rPr>
                <w:rFonts w:ascii="Times New Roman" w:hAnsi="Times New Roman" w:cs="Times New Roman"/>
                <w:sz w:val="24"/>
                <w:szCs w:val="24"/>
              </w:rPr>
              <w:t>CTTTCTCTGGTTGCCTCCTG</w:t>
            </w:r>
            <w:r w:rsidR="00753E87" w:rsidRPr="0051573B">
              <w:rPr>
                <w:rFonts w:ascii="Times New Roman" w:hAnsi="Times New Roman" w:cs="Times New Roman"/>
                <w:sz w:val="24"/>
                <w:szCs w:val="24"/>
              </w:rPr>
              <w:t>-3’</w:t>
            </w:r>
            <w:r w:rsidRPr="002E26D2">
              <w:rPr>
                <w:rFonts w:ascii="Times New Roman" w:hAnsi="Times New Roman" w:cs="Times New Roman"/>
                <w:sz w:val="24"/>
                <w:szCs w:val="24"/>
              </w:rPr>
              <w:t xml:space="preserve">  </w:t>
            </w:r>
          </w:p>
        </w:tc>
      </w:tr>
    </w:tbl>
    <w:p w14:paraId="0DD688FE" w14:textId="77777777" w:rsidR="00824829" w:rsidRDefault="00824829" w:rsidP="004927BB">
      <w:pPr>
        <w:pStyle w:val="Caption"/>
        <w:keepNext/>
        <w:spacing w:line="360" w:lineRule="auto"/>
        <w:rPr>
          <w:rFonts w:ascii="Times New Roman" w:hAnsi="Times New Roman" w:cs="Times New Roman"/>
          <w:sz w:val="24"/>
          <w:szCs w:val="24"/>
        </w:rPr>
      </w:pPr>
    </w:p>
    <w:p w14:paraId="3B9C2AFC" w14:textId="77777777" w:rsidR="00824829" w:rsidRDefault="00824829">
      <w:pPr>
        <w:rPr>
          <w:rFonts w:ascii="Times New Roman" w:eastAsia="Calibri" w:hAnsi="Times New Roman" w:cs="Times New Roman"/>
          <w:bCs/>
          <w:i/>
          <w:sz w:val="24"/>
          <w:szCs w:val="24"/>
        </w:rPr>
      </w:pPr>
      <w:r>
        <w:rPr>
          <w:rFonts w:ascii="Times New Roman" w:hAnsi="Times New Roman" w:cs="Times New Roman"/>
          <w:sz w:val="24"/>
          <w:szCs w:val="24"/>
        </w:rPr>
        <w:br w:type="page"/>
      </w:r>
    </w:p>
    <w:p w14:paraId="115018EB" w14:textId="74093630" w:rsidR="00BD3712" w:rsidRPr="002E26D2" w:rsidRDefault="00BD3712" w:rsidP="004927BB">
      <w:pPr>
        <w:pStyle w:val="Caption"/>
        <w:keepNext/>
        <w:spacing w:line="360" w:lineRule="auto"/>
        <w:rPr>
          <w:rFonts w:ascii="Times New Roman" w:hAnsi="Times New Roman" w:cs="Times New Roman"/>
          <w:sz w:val="24"/>
          <w:szCs w:val="24"/>
        </w:rPr>
      </w:pPr>
      <w:bookmarkStart w:id="79" w:name="_Ref107324395"/>
      <w:r w:rsidRPr="002E26D2">
        <w:rPr>
          <w:rFonts w:ascii="Times New Roman" w:hAnsi="Times New Roman" w:cs="Times New Roman"/>
          <w:sz w:val="24"/>
          <w:szCs w:val="24"/>
        </w:rPr>
        <w:lastRenderedPageBreak/>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14</w:t>
      </w:r>
      <w:r w:rsidRPr="002E26D2">
        <w:rPr>
          <w:rFonts w:ascii="Times New Roman" w:hAnsi="Times New Roman" w:cs="Times New Roman"/>
          <w:sz w:val="24"/>
          <w:szCs w:val="24"/>
        </w:rPr>
        <w:fldChar w:fldCharType="end"/>
      </w:r>
      <w:bookmarkEnd w:id="75"/>
      <w:bookmarkEnd w:id="78"/>
      <w:bookmarkEnd w:id="79"/>
      <w:r w:rsidRPr="002E26D2">
        <w:rPr>
          <w:rFonts w:ascii="Times New Roman" w:hAnsi="Times New Roman" w:cs="Times New Roman"/>
          <w:sz w:val="24"/>
          <w:szCs w:val="24"/>
        </w:rPr>
        <w:t xml:space="preserve"> : Small interfering RNA used in the study</w:t>
      </w:r>
    </w:p>
    <w:tbl>
      <w:tblPr>
        <w:tblStyle w:val="PlainTable1"/>
        <w:tblW w:w="5000" w:type="pct"/>
        <w:tblLook w:val="04A0" w:firstRow="1" w:lastRow="0" w:firstColumn="1" w:lastColumn="0" w:noHBand="0" w:noVBand="1"/>
      </w:tblPr>
      <w:tblGrid>
        <w:gridCol w:w="1173"/>
        <w:gridCol w:w="5841"/>
        <w:gridCol w:w="2002"/>
      </w:tblGrid>
      <w:tr w:rsidR="00934CD5" w:rsidRPr="002E26D2" w14:paraId="0EFBBD52" w14:textId="77777777" w:rsidTr="00C935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pct"/>
          </w:tcPr>
          <w:p w14:paraId="711E6284" w14:textId="77777777" w:rsidR="00934CD5" w:rsidRPr="002E26D2" w:rsidRDefault="00934CD5"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Silencers</w:t>
            </w:r>
          </w:p>
        </w:tc>
        <w:tc>
          <w:tcPr>
            <w:tcW w:w="3239" w:type="pct"/>
          </w:tcPr>
          <w:p w14:paraId="35B65BCA" w14:textId="77777777" w:rsidR="00934CD5" w:rsidRPr="002E26D2" w:rsidRDefault="00934CD5"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Reference</w:t>
            </w:r>
          </w:p>
        </w:tc>
        <w:tc>
          <w:tcPr>
            <w:tcW w:w="1110" w:type="pct"/>
          </w:tcPr>
          <w:p w14:paraId="2FEC1559" w14:textId="77777777" w:rsidR="00934CD5" w:rsidRPr="002E26D2" w:rsidRDefault="00934CD5"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Manufacturer</w:t>
            </w:r>
          </w:p>
        </w:tc>
      </w:tr>
      <w:tr w:rsidR="00934CD5" w:rsidRPr="002E26D2" w14:paraId="2C13D6D6" w14:textId="77777777" w:rsidTr="00C93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1" w:type="pct"/>
          </w:tcPr>
          <w:p w14:paraId="6A9A98ED" w14:textId="77777777" w:rsidR="00934CD5" w:rsidRPr="002E26D2" w:rsidRDefault="00934CD5"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siNME6</w:t>
            </w:r>
          </w:p>
        </w:tc>
        <w:tc>
          <w:tcPr>
            <w:tcW w:w="3239" w:type="pct"/>
          </w:tcPr>
          <w:p w14:paraId="47E9A765"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ON-TARGETplus Human NME6 siRNA - SMARTpool</w:t>
            </w:r>
          </w:p>
        </w:tc>
        <w:tc>
          <w:tcPr>
            <w:tcW w:w="1110" w:type="pct"/>
          </w:tcPr>
          <w:p w14:paraId="69C7ABB9" w14:textId="77777777" w:rsidR="00934CD5" w:rsidRPr="002E26D2" w:rsidRDefault="00934CD5"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Dharmacon, USA</w:t>
            </w:r>
          </w:p>
        </w:tc>
      </w:tr>
      <w:tr w:rsidR="00934CD5" w:rsidRPr="002E26D2" w14:paraId="0EA2ED2E" w14:textId="77777777" w:rsidTr="00C935D6">
        <w:tc>
          <w:tcPr>
            <w:cnfStyle w:val="001000000000" w:firstRow="0" w:lastRow="0" w:firstColumn="1" w:lastColumn="0" w:oddVBand="0" w:evenVBand="0" w:oddHBand="0" w:evenHBand="0" w:firstRowFirstColumn="0" w:firstRowLastColumn="0" w:lastRowFirstColumn="0" w:lastRowLastColumn="0"/>
            <w:tcW w:w="651" w:type="pct"/>
          </w:tcPr>
          <w:p w14:paraId="1025A889" w14:textId="77777777" w:rsidR="00934CD5" w:rsidRPr="002E26D2" w:rsidRDefault="00934CD5"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siCTRL</w:t>
            </w:r>
          </w:p>
        </w:tc>
        <w:tc>
          <w:tcPr>
            <w:tcW w:w="3239" w:type="pct"/>
          </w:tcPr>
          <w:p w14:paraId="0FBF4C9D" w14:textId="77777777" w:rsidR="00934CD5" w:rsidRPr="002E26D2" w:rsidRDefault="00934CD5"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ON-TARGETplus Non-targeting siRNAs</w:t>
            </w:r>
          </w:p>
        </w:tc>
        <w:tc>
          <w:tcPr>
            <w:tcW w:w="1110" w:type="pct"/>
          </w:tcPr>
          <w:p w14:paraId="270890AC" w14:textId="4BF51C9A" w:rsidR="00934CD5" w:rsidRPr="002E26D2" w:rsidRDefault="00934CD5" w:rsidP="00EB72D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Dharmacon, USA</w:t>
            </w:r>
          </w:p>
        </w:tc>
      </w:tr>
    </w:tbl>
    <w:p w14:paraId="35A20004" w14:textId="25051805" w:rsidR="00EB72D0" w:rsidRDefault="00EB72D0">
      <w:pPr>
        <w:rPr>
          <w:rFonts w:ascii="Times New Roman" w:hAnsi="Times New Roman" w:cs="Times New Roman"/>
          <w:sz w:val="24"/>
          <w:szCs w:val="24"/>
        </w:rPr>
      </w:pPr>
    </w:p>
    <w:p w14:paraId="79D4D2E0" w14:textId="0A5A1A13" w:rsidR="00934CD5" w:rsidRPr="002E26D2" w:rsidRDefault="00E56F0D" w:rsidP="003775DE">
      <w:pPr>
        <w:pStyle w:val="Heading3"/>
      </w:pPr>
      <w:bookmarkStart w:id="80" w:name="_Toc117153841"/>
      <w:r w:rsidRPr="002E26D2">
        <w:t>Software</w:t>
      </w:r>
      <w:bookmarkEnd w:id="80"/>
    </w:p>
    <w:p w14:paraId="46E0E25B" w14:textId="697D916E" w:rsidR="00BD3712" w:rsidRPr="002E26D2" w:rsidRDefault="00BD3712" w:rsidP="004927BB">
      <w:pPr>
        <w:pStyle w:val="Caption"/>
        <w:keepNext/>
        <w:spacing w:line="360" w:lineRule="auto"/>
        <w:rPr>
          <w:rFonts w:ascii="Times New Roman" w:hAnsi="Times New Roman" w:cs="Times New Roman"/>
          <w:sz w:val="24"/>
          <w:szCs w:val="24"/>
        </w:rPr>
      </w:pPr>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 Software used </w:t>
      </w:r>
      <w:r w:rsidR="00916C57">
        <w:rPr>
          <w:rFonts w:ascii="Times New Roman" w:hAnsi="Times New Roman" w:cs="Times New Roman"/>
          <w:sz w:val="24"/>
          <w:szCs w:val="24"/>
        </w:rPr>
        <w:t>in</w:t>
      </w:r>
      <w:r w:rsidRPr="002E26D2">
        <w:rPr>
          <w:rFonts w:ascii="Times New Roman" w:hAnsi="Times New Roman" w:cs="Times New Roman"/>
          <w:sz w:val="24"/>
          <w:szCs w:val="24"/>
        </w:rPr>
        <w:t xml:space="preserve"> the study</w:t>
      </w:r>
    </w:p>
    <w:tbl>
      <w:tblPr>
        <w:tblStyle w:val="PlainTable1"/>
        <w:tblW w:w="5000" w:type="pct"/>
        <w:tblLook w:val="04A0" w:firstRow="1" w:lastRow="0" w:firstColumn="1" w:lastColumn="0" w:noHBand="0" w:noVBand="1"/>
      </w:tblPr>
      <w:tblGrid>
        <w:gridCol w:w="4494"/>
        <w:gridCol w:w="4522"/>
      </w:tblGrid>
      <w:tr w:rsidR="000B3AF7" w:rsidRPr="002E26D2" w14:paraId="4E533528" w14:textId="77777777" w:rsidTr="00C935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2" w:type="pct"/>
          </w:tcPr>
          <w:p w14:paraId="0A6BF5EC"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Software</w:t>
            </w:r>
          </w:p>
        </w:tc>
        <w:tc>
          <w:tcPr>
            <w:tcW w:w="2508" w:type="pct"/>
          </w:tcPr>
          <w:p w14:paraId="6AC623AB" w14:textId="77777777" w:rsidR="000B3AF7" w:rsidRPr="002E26D2" w:rsidRDefault="000B3AF7" w:rsidP="004927BB">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Manufacturer</w:t>
            </w:r>
          </w:p>
        </w:tc>
      </w:tr>
      <w:tr w:rsidR="000B3AF7" w:rsidRPr="002E26D2" w14:paraId="65C755A6" w14:textId="77777777" w:rsidTr="00C93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2" w:type="pct"/>
          </w:tcPr>
          <w:p w14:paraId="692B17DF"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FlowJo</w:t>
            </w:r>
          </w:p>
        </w:tc>
        <w:tc>
          <w:tcPr>
            <w:tcW w:w="2508" w:type="pct"/>
          </w:tcPr>
          <w:p w14:paraId="353FA5C5"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FlowJo LLC, USA</w:t>
            </w:r>
          </w:p>
        </w:tc>
      </w:tr>
      <w:tr w:rsidR="000B3AF7" w:rsidRPr="002E26D2" w14:paraId="1678FBD4" w14:textId="77777777" w:rsidTr="00C935D6">
        <w:tc>
          <w:tcPr>
            <w:cnfStyle w:val="001000000000" w:firstRow="0" w:lastRow="0" w:firstColumn="1" w:lastColumn="0" w:oddVBand="0" w:evenVBand="0" w:oddHBand="0" w:evenHBand="0" w:firstRowFirstColumn="0" w:firstRowLastColumn="0" w:lastRowFirstColumn="0" w:lastRowLastColumn="0"/>
            <w:tcW w:w="2492" w:type="pct"/>
          </w:tcPr>
          <w:p w14:paraId="2B2DAE6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Image Lab 6.1.0</w:t>
            </w:r>
          </w:p>
        </w:tc>
        <w:tc>
          <w:tcPr>
            <w:tcW w:w="2508" w:type="pct"/>
          </w:tcPr>
          <w:p w14:paraId="12886AE1"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Bio-Rad, USA</w:t>
            </w:r>
          </w:p>
        </w:tc>
      </w:tr>
      <w:tr w:rsidR="000B3AF7" w:rsidRPr="002E26D2" w14:paraId="5B52ED36" w14:textId="77777777" w:rsidTr="00C93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2" w:type="pct"/>
          </w:tcPr>
          <w:p w14:paraId="3A61AF6F"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ImageJ Fiji</w:t>
            </w:r>
          </w:p>
        </w:tc>
        <w:tc>
          <w:tcPr>
            <w:tcW w:w="2508" w:type="pct"/>
          </w:tcPr>
          <w:p w14:paraId="509410BC" w14:textId="5747D76B"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 xml:space="preserve">National </w:t>
            </w:r>
            <w:r w:rsidR="00916C57">
              <w:rPr>
                <w:rFonts w:ascii="Times New Roman" w:hAnsi="Times New Roman" w:cs="Times New Roman"/>
                <w:sz w:val="24"/>
                <w:szCs w:val="24"/>
              </w:rPr>
              <w:t>I</w:t>
            </w:r>
            <w:r w:rsidRPr="002E26D2">
              <w:rPr>
                <w:rFonts w:ascii="Times New Roman" w:hAnsi="Times New Roman" w:cs="Times New Roman"/>
                <w:sz w:val="24"/>
                <w:szCs w:val="24"/>
              </w:rPr>
              <w:t xml:space="preserve">nstitutes of </w:t>
            </w:r>
            <w:r w:rsidR="00916C57">
              <w:rPr>
                <w:rFonts w:ascii="Times New Roman" w:hAnsi="Times New Roman" w:cs="Times New Roman"/>
                <w:sz w:val="24"/>
                <w:szCs w:val="24"/>
              </w:rPr>
              <w:t>H</w:t>
            </w:r>
            <w:r w:rsidRPr="002E26D2">
              <w:rPr>
                <w:rFonts w:ascii="Times New Roman" w:hAnsi="Times New Roman" w:cs="Times New Roman"/>
                <w:sz w:val="24"/>
                <w:szCs w:val="24"/>
              </w:rPr>
              <w:t>ealth, USA</w:t>
            </w:r>
          </w:p>
        </w:tc>
      </w:tr>
      <w:tr w:rsidR="000B3AF7" w:rsidRPr="002E26D2" w14:paraId="70C040BC" w14:textId="77777777" w:rsidTr="00C935D6">
        <w:tc>
          <w:tcPr>
            <w:cnfStyle w:val="001000000000" w:firstRow="0" w:lastRow="0" w:firstColumn="1" w:lastColumn="0" w:oddVBand="0" w:evenVBand="0" w:oddHBand="0" w:evenHBand="0" w:firstRowFirstColumn="0" w:firstRowLastColumn="0" w:lastRowFirstColumn="0" w:lastRowLastColumn="0"/>
            <w:tcW w:w="2492" w:type="pct"/>
          </w:tcPr>
          <w:p w14:paraId="1763268F" w14:textId="77777777" w:rsidR="000B3AF7" w:rsidRPr="002E26D2" w:rsidRDefault="000B3AF7" w:rsidP="004927BB">
            <w:pPr>
              <w:spacing w:line="360" w:lineRule="auto"/>
              <w:jc w:val="both"/>
              <w:rPr>
                <w:rFonts w:ascii="Times New Roman" w:hAnsi="Times New Roman" w:cs="Times New Roman"/>
                <w:sz w:val="24"/>
                <w:szCs w:val="24"/>
                <w:lang w:val="fr-FR"/>
              </w:rPr>
            </w:pPr>
            <w:r w:rsidRPr="002E26D2">
              <w:rPr>
                <w:rFonts w:ascii="Times New Roman" w:hAnsi="Times New Roman" w:cs="Times New Roman"/>
                <w:sz w:val="24"/>
                <w:szCs w:val="24"/>
                <w:lang w:val="fr-FR"/>
              </w:rPr>
              <w:t>Leica application suite X (LAS X) 3.3.0.16799</w:t>
            </w:r>
          </w:p>
        </w:tc>
        <w:tc>
          <w:tcPr>
            <w:tcW w:w="2508" w:type="pct"/>
          </w:tcPr>
          <w:p w14:paraId="51CAEBAE" w14:textId="451B8DE3"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 xml:space="preserve">Leica </w:t>
            </w:r>
            <w:r w:rsidR="00C41C96">
              <w:rPr>
                <w:rFonts w:ascii="Times New Roman" w:hAnsi="Times New Roman" w:cs="Times New Roman"/>
                <w:sz w:val="24"/>
                <w:szCs w:val="24"/>
              </w:rPr>
              <w:t>M</w:t>
            </w:r>
            <w:r w:rsidRPr="002E26D2">
              <w:rPr>
                <w:rFonts w:ascii="Times New Roman" w:hAnsi="Times New Roman" w:cs="Times New Roman"/>
                <w:sz w:val="24"/>
                <w:szCs w:val="24"/>
              </w:rPr>
              <w:t>icrosystems, Germany</w:t>
            </w:r>
          </w:p>
        </w:tc>
      </w:tr>
      <w:tr w:rsidR="000B3AF7" w:rsidRPr="002E26D2" w14:paraId="1E0F711C" w14:textId="77777777" w:rsidTr="00C93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2" w:type="pct"/>
          </w:tcPr>
          <w:p w14:paraId="1A8053E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Microsoft Office Professional plus 2019</w:t>
            </w:r>
          </w:p>
        </w:tc>
        <w:tc>
          <w:tcPr>
            <w:tcW w:w="2508" w:type="pct"/>
          </w:tcPr>
          <w:p w14:paraId="482066AA" w14:textId="5FA6E7C9"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 xml:space="preserve">Microsoft </w:t>
            </w:r>
            <w:r w:rsidR="00C41C96">
              <w:rPr>
                <w:rFonts w:ascii="Times New Roman" w:hAnsi="Times New Roman" w:cs="Times New Roman"/>
                <w:sz w:val="24"/>
                <w:szCs w:val="24"/>
              </w:rPr>
              <w:t>C</w:t>
            </w:r>
            <w:r w:rsidRPr="002E26D2">
              <w:rPr>
                <w:rFonts w:ascii="Times New Roman" w:hAnsi="Times New Roman" w:cs="Times New Roman"/>
                <w:sz w:val="24"/>
                <w:szCs w:val="24"/>
              </w:rPr>
              <w:t>orporation, USA</w:t>
            </w:r>
          </w:p>
        </w:tc>
      </w:tr>
      <w:tr w:rsidR="000B3AF7" w:rsidRPr="002E26D2" w14:paraId="38898590" w14:textId="77777777" w:rsidTr="00C935D6">
        <w:tc>
          <w:tcPr>
            <w:cnfStyle w:val="001000000000" w:firstRow="0" w:lastRow="0" w:firstColumn="1" w:lastColumn="0" w:oddVBand="0" w:evenVBand="0" w:oddHBand="0" w:evenHBand="0" w:firstRowFirstColumn="0" w:firstRowLastColumn="0" w:lastRowFirstColumn="0" w:lastRowLastColumn="0"/>
            <w:tcW w:w="2492" w:type="pct"/>
          </w:tcPr>
          <w:p w14:paraId="5173017C"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Photoshop CS4</w:t>
            </w:r>
          </w:p>
        </w:tc>
        <w:tc>
          <w:tcPr>
            <w:tcW w:w="2508" w:type="pct"/>
          </w:tcPr>
          <w:p w14:paraId="440CC25F"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Adobe Inc., USA</w:t>
            </w:r>
          </w:p>
        </w:tc>
      </w:tr>
      <w:tr w:rsidR="000B3AF7" w:rsidRPr="002E26D2" w14:paraId="40E44029" w14:textId="77777777" w:rsidTr="00C93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2" w:type="pct"/>
          </w:tcPr>
          <w:p w14:paraId="0ED5B0F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Prism 8.3.0</w:t>
            </w:r>
          </w:p>
        </w:tc>
        <w:tc>
          <w:tcPr>
            <w:tcW w:w="2508" w:type="pct"/>
          </w:tcPr>
          <w:p w14:paraId="36F3C549"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GraphPad, USA</w:t>
            </w:r>
          </w:p>
        </w:tc>
      </w:tr>
      <w:tr w:rsidR="000B3AF7" w:rsidRPr="002E26D2" w14:paraId="71A12ACA" w14:textId="77777777" w:rsidTr="00C935D6">
        <w:tc>
          <w:tcPr>
            <w:cnfStyle w:val="001000000000" w:firstRow="0" w:lastRow="0" w:firstColumn="1" w:lastColumn="0" w:oddVBand="0" w:evenVBand="0" w:oddHBand="0" w:evenHBand="0" w:firstRowFirstColumn="0" w:firstRowLastColumn="0" w:lastRowFirstColumn="0" w:lastRowLastColumn="0"/>
            <w:tcW w:w="2492" w:type="pct"/>
          </w:tcPr>
          <w:p w14:paraId="0F7E390B"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PyMol 2.4.0</w:t>
            </w:r>
          </w:p>
        </w:tc>
        <w:tc>
          <w:tcPr>
            <w:tcW w:w="2508" w:type="pct"/>
          </w:tcPr>
          <w:p w14:paraId="785F0DCB" w14:textId="77777777" w:rsidR="000B3AF7" w:rsidRPr="002E26D2" w:rsidRDefault="000B3AF7" w:rsidP="004927BB">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Schrödinger LLC, USA</w:t>
            </w:r>
          </w:p>
        </w:tc>
      </w:tr>
      <w:tr w:rsidR="000B3AF7" w:rsidRPr="002E26D2" w14:paraId="3B0385ED" w14:textId="77777777" w:rsidTr="00C93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2" w:type="pct"/>
          </w:tcPr>
          <w:p w14:paraId="4EF385F0"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SnapGene</w:t>
            </w:r>
          </w:p>
        </w:tc>
        <w:tc>
          <w:tcPr>
            <w:tcW w:w="2508" w:type="pct"/>
          </w:tcPr>
          <w:p w14:paraId="6F661A15" w14:textId="77777777" w:rsidR="000B3AF7" w:rsidRPr="002E26D2" w:rsidRDefault="000B3AF7" w:rsidP="004927B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E26D2">
              <w:rPr>
                <w:rFonts w:ascii="Times New Roman" w:hAnsi="Times New Roman" w:cs="Times New Roman"/>
                <w:sz w:val="24"/>
                <w:szCs w:val="24"/>
              </w:rPr>
              <w:t>GSL Biotech LLC, USA</w:t>
            </w:r>
          </w:p>
        </w:tc>
      </w:tr>
    </w:tbl>
    <w:p w14:paraId="113596F6" w14:textId="77777777" w:rsidR="000B3AF7" w:rsidRPr="002E26D2" w:rsidRDefault="000B3AF7" w:rsidP="004927BB">
      <w:pPr>
        <w:spacing w:line="360" w:lineRule="auto"/>
        <w:jc w:val="both"/>
        <w:rPr>
          <w:rFonts w:ascii="Times New Roman" w:hAnsi="Times New Roman" w:cs="Times New Roman"/>
          <w:sz w:val="24"/>
          <w:szCs w:val="24"/>
        </w:rPr>
      </w:pPr>
    </w:p>
    <w:p w14:paraId="7EEC7D9E" w14:textId="77777777" w:rsidR="000B3AF7" w:rsidRPr="002E26D2" w:rsidRDefault="000B3AF7" w:rsidP="004927BB">
      <w:pPr>
        <w:spacing w:line="360" w:lineRule="auto"/>
        <w:jc w:val="both"/>
        <w:rPr>
          <w:rFonts w:ascii="Times New Roman" w:hAnsi="Times New Roman" w:cs="Times New Roman"/>
          <w:sz w:val="24"/>
          <w:szCs w:val="24"/>
        </w:rPr>
      </w:pPr>
    </w:p>
    <w:p w14:paraId="519C03DE" w14:textId="77777777" w:rsidR="000B3AF7" w:rsidRPr="002E26D2" w:rsidRDefault="000B3AF7" w:rsidP="004927BB">
      <w:pPr>
        <w:spacing w:line="360" w:lineRule="auto"/>
        <w:jc w:val="both"/>
        <w:rPr>
          <w:rFonts w:ascii="Times New Roman" w:hAnsi="Times New Roman" w:cs="Times New Roman"/>
          <w:sz w:val="24"/>
          <w:szCs w:val="24"/>
        </w:rPr>
      </w:pPr>
    </w:p>
    <w:p w14:paraId="694D4405" w14:textId="77777777" w:rsidR="000B3AF7" w:rsidRPr="002E26D2" w:rsidRDefault="000B3AF7" w:rsidP="004927BB">
      <w:pPr>
        <w:spacing w:line="360" w:lineRule="auto"/>
        <w:jc w:val="both"/>
        <w:rPr>
          <w:rFonts w:ascii="Times New Roman" w:hAnsi="Times New Roman" w:cs="Times New Roman"/>
          <w:sz w:val="24"/>
          <w:szCs w:val="24"/>
        </w:rPr>
      </w:pPr>
    </w:p>
    <w:p w14:paraId="543774FE" w14:textId="77777777" w:rsidR="000B3AF7" w:rsidRPr="002E26D2" w:rsidRDefault="000B3AF7" w:rsidP="004927BB">
      <w:pPr>
        <w:spacing w:line="360" w:lineRule="auto"/>
        <w:jc w:val="both"/>
        <w:rPr>
          <w:rFonts w:ascii="Times New Roman" w:hAnsi="Times New Roman" w:cs="Times New Roman"/>
          <w:noProof/>
          <w:sz w:val="24"/>
          <w:szCs w:val="24"/>
        </w:rPr>
      </w:pPr>
      <w:r w:rsidRPr="002E26D2">
        <w:rPr>
          <w:rFonts w:ascii="Times New Roman" w:hAnsi="Times New Roman" w:cs="Times New Roman"/>
          <w:noProof/>
          <w:sz w:val="24"/>
          <w:szCs w:val="24"/>
        </w:rPr>
        <w:br w:type="page"/>
      </w:r>
    </w:p>
    <w:p w14:paraId="18D2216B" w14:textId="1944F102" w:rsidR="000B3AF7" w:rsidRPr="00F836CB" w:rsidRDefault="00314B90" w:rsidP="001C657E">
      <w:pPr>
        <w:pStyle w:val="Heading2"/>
        <w:rPr>
          <w:szCs w:val="28"/>
        </w:rPr>
      </w:pPr>
      <w:bookmarkStart w:id="81" w:name="_Toc117153842"/>
      <w:r w:rsidRPr="00F836CB">
        <w:rPr>
          <w:szCs w:val="28"/>
        </w:rPr>
        <w:lastRenderedPageBreak/>
        <w:t>M</w:t>
      </w:r>
      <w:r w:rsidR="001C657E" w:rsidRPr="00F836CB">
        <w:rPr>
          <w:szCs w:val="28"/>
        </w:rPr>
        <w:t>ethods</w:t>
      </w:r>
      <w:bookmarkEnd w:id="81"/>
    </w:p>
    <w:p w14:paraId="6E9013CE" w14:textId="68F6F149" w:rsidR="000B3AF7" w:rsidRPr="002E26D2" w:rsidRDefault="000D68C1" w:rsidP="003775DE">
      <w:pPr>
        <w:pStyle w:val="Heading3"/>
      </w:pPr>
      <w:bookmarkStart w:id="82" w:name="_Toc117153843"/>
      <w:r w:rsidRPr="002E26D2">
        <w:t>Preparation</w:t>
      </w:r>
      <w:bookmarkEnd w:id="82"/>
    </w:p>
    <w:p w14:paraId="2854B661" w14:textId="0C6A6CCE" w:rsidR="000B3AF7" w:rsidRPr="002E26D2" w:rsidRDefault="000B3AF7" w:rsidP="002E2D58">
      <w:pPr>
        <w:pStyle w:val="Heading4"/>
      </w:pPr>
      <w:bookmarkStart w:id="83" w:name="_Toc117153844"/>
      <w:r w:rsidRPr="002E26D2">
        <w:t>Cloning of specific plasmids</w:t>
      </w:r>
      <w:bookmarkEnd w:id="83"/>
    </w:p>
    <w:p w14:paraId="54E57A7C" w14:textId="212AE0DB"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Plasmids used for the overexpression of human NME6 isoforms, NME3 and NME4 in human and bacterial systems were produced in-house by plasmid cloning. A sequence of interest was extracted from one existing plasmid by PCR using specific primers. The resulting DNA sequence of interest (insert) as well as the plasmid of destination were separately digested with specific couple of enzymes to expose single stranded complementary sequences. Ligation was performed by incubating both the insert and the opened plasmid with T4 DNA ligase.</w:t>
      </w:r>
      <w:r w:rsidR="00C520DD">
        <w:rPr>
          <w:rFonts w:ascii="Times New Roman" w:hAnsi="Times New Roman" w:cs="Times New Roman"/>
          <w:sz w:val="24"/>
          <w:szCs w:val="24"/>
        </w:rPr>
        <w:t xml:space="preserve"> </w:t>
      </w:r>
      <w:r w:rsidRPr="002E26D2">
        <w:rPr>
          <w:rFonts w:ascii="Times New Roman" w:hAnsi="Times New Roman" w:cs="Times New Roman"/>
          <w:sz w:val="24"/>
          <w:szCs w:val="24"/>
        </w:rPr>
        <w:t xml:space="preserve">Primers, plasmids and enzymes used for each cloning are listed in </w:t>
      </w:r>
      <w:r w:rsidR="00410E31">
        <w:rPr>
          <w:rFonts w:ascii="Times New Roman" w:hAnsi="Times New Roman" w:cs="Times New Roman"/>
          <w:sz w:val="24"/>
          <w:szCs w:val="24"/>
        </w:rPr>
        <w:fldChar w:fldCharType="begin"/>
      </w:r>
      <w:r w:rsidR="00410E31">
        <w:rPr>
          <w:rFonts w:ascii="Times New Roman" w:hAnsi="Times New Roman" w:cs="Times New Roman"/>
          <w:sz w:val="24"/>
          <w:szCs w:val="24"/>
        </w:rPr>
        <w:instrText xml:space="preserve"> REF _Ref107320460 \h </w:instrText>
      </w:r>
      <w:r w:rsidR="00410E31">
        <w:rPr>
          <w:rFonts w:ascii="Times New Roman" w:hAnsi="Times New Roman" w:cs="Times New Roman"/>
          <w:sz w:val="24"/>
          <w:szCs w:val="24"/>
        </w:rPr>
      </w:r>
      <w:r w:rsidR="00410E31">
        <w:rPr>
          <w:rFonts w:ascii="Times New Roman" w:hAnsi="Times New Roman" w:cs="Times New Roman"/>
          <w:sz w:val="24"/>
          <w:szCs w:val="24"/>
        </w:rPr>
        <w:fldChar w:fldCharType="separate"/>
      </w:r>
      <w:r w:rsidR="00790F77" w:rsidRPr="00F734BC">
        <w:rPr>
          <w:rFonts w:ascii="Times New Roman" w:hAnsi="Times New Roman" w:cs="Times New Roman"/>
          <w:sz w:val="24"/>
          <w:szCs w:val="24"/>
        </w:rPr>
        <w:t xml:space="preserve">Table </w:t>
      </w:r>
      <w:r w:rsidR="00790F77">
        <w:rPr>
          <w:rFonts w:ascii="Times New Roman" w:hAnsi="Times New Roman" w:cs="Times New Roman"/>
          <w:noProof/>
          <w:sz w:val="24"/>
          <w:szCs w:val="24"/>
        </w:rPr>
        <w:t>11</w:t>
      </w:r>
      <w:r w:rsidR="00410E31">
        <w:rPr>
          <w:rFonts w:ascii="Times New Roman" w:hAnsi="Times New Roman" w:cs="Times New Roman"/>
          <w:sz w:val="24"/>
          <w:szCs w:val="24"/>
        </w:rPr>
        <w:fldChar w:fldCharType="end"/>
      </w:r>
      <w:r w:rsidR="00410E31">
        <w:rPr>
          <w:rFonts w:ascii="Times New Roman" w:hAnsi="Times New Roman" w:cs="Times New Roman"/>
          <w:sz w:val="24"/>
          <w:szCs w:val="24"/>
        </w:rPr>
        <w:t xml:space="preserve"> and </w:t>
      </w:r>
      <w:r w:rsidR="00410E31">
        <w:rPr>
          <w:rFonts w:ascii="Times New Roman" w:hAnsi="Times New Roman" w:cs="Times New Roman"/>
          <w:sz w:val="24"/>
          <w:szCs w:val="24"/>
        </w:rPr>
        <w:fldChar w:fldCharType="begin"/>
      </w:r>
      <w:r w:rsidR="00410E31">
        <w:rPr>
          <w:rFonts w:ascii="Times New Roman" w:hAnsi="Times New Roman" w:cs="Times New Roman"/>
          <w:sz w:val="24"/>
          <w:szCs w:val="24"/>
        </w:rPr>
        <w:instrText xml:space="preserve"> REF _Ref107320463 \h </w:instrText>
      </w:r>
      <w:r w:rsidR="00410E31">
        <w:rPr>
          <w:rFonts w:ascii="Times New Roman" w:hAnsi="Times New Roman" w:cs="Times New Roman"/>
          <w:sz w:val="24"/>
          <w:szCs w:val="24"/>
        </w:rPr>
      </w:r>
      <w:r w:rsidR="00410E31">
        <w:rPr>
          <w:rFonts w:ascii="Times New Roman" w:hAnsi="Times New Roman" w:cs="Times New Roman"/>
          <w:sz w:val="24"/>
          <w:szCs w:val="24"/>
        </w:rPr>
        <w:fldChar w:fldCharType="separate"/>
      </w:r>
      <w:r w:rsidR="00790F77" w:rsidRPr="00C838B5">
        <w:rPr>
          <w:rFonts w:ascii="Times New Roman" w:hAnsi="Times New Roman" w:cs="Times New Roman"/>
          <w:sz w:val="24"/>
          <w:szCs w:val="24"/>
        </w:rPr>
        <w:t xml:space="preserve">Table </w:t>
      </w:r>
      <w:r w:rsidR="00790F77">
        <w:rPr>
          <w:rFonts w:ascii="Times New Roman" w:hAnsi="Times New Roman" w:cs="Times New Roman"/>
          <w:noProof/>
          <w:sz w:val="24"/>
          <w:szCs w:val="24"/>
        </w:rPr>
        <w:t>12</w:t>
      </w:r>
      <w:r w:rsidR="00410E31">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0298B952" w14:textId="3FF69712" w:rsidR="000B3AF7" w:rsidRPr="002E26D2" w:rsidRDefault="000D68C1" w:rsidP="00B23BAE">
      <w:pPr>
        <w:pStyle w:val="Heading5"/>
      </w:pPr>
      <w:r w:rsidRPr="002E26D2">
        <w:t>P</w:t>
      </w:r>
      <w:r>
        <w:t>CR</w:t>
      </w:r>
      <w:r w:rsidRPr="002E26D2">
        <w:t xml:space="preserve"> </w:t>
      </w:r>
    </w:p>
    <w:p w14:paraId="380A4333" w14:textId="09648DC2"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PCR was used to extract and amplify a DNA sequence of interest from an existing plasmid using specific primers. Primers and plasmids are listed in </w:t>
      </w:r>
      <w:r w:rsidR="00A00CB7">
        <w:rPr>
          <w:rFonts w:ascii="Times New Roman" w:hAnsi="Times New Roman" w:cs="Times New Roman"/>
          <w:sz w:val="24"/>
          <w:szCs w:val="24"/>
        </w:rPr>
        <w:fldChar w:fldCharType="begin"/>
      </w:r>
      <w:r w:rsidR="00A00CB7">
        <w:rPr>
          <w:rFonts w:ascii="Times New Roman" w:hAnsi="Times New Roman" w:cs="Times New Roman"/>
          <w:sz w:val="24"/>
          <w:szCs w:val="24"/>
        </w:rPr>
        <w:instrText xml:space="preserve"> REF _Ref107320460 \h </w:instrText>
      </w:r>
      <w:r w:rsidR="00A00CB7">
        <w:rPr>
          <w:rFonts w:ascii="Times New Roman" w:hAnsi="Times New Roman" w:cs="Times New Roman"/>
          <w:sz w:val="24"/>
          <w:szCs w:val="24"/>
        </w:rPr>
      </w:r>
      <w:r w:rsidR="00A00CB7">
        <w:rPr>
          <w:rFonts w:ascii="Times New Roman" w:hAnsi="Times New Roman" w:cs="Times New Roman"/>
          <w:sz w:val="24"/>
          <w:szCs w:val="24"/>
        </w:rPr>
        <w:fldChar w:fldCharType="separate"/>
      </w:r>
      <w:r w:rsidR="00790F77" w:rsidRPr="00F734BC">
        <w:rPr>
          <w:rFonts w:ascii="Times New Roman" w:hAnsi="Times New Roman" w:cs="Times New Roman"/>
          <w:sz w:val="24"/>
          <w:szCs w:val="24"/>
        </w:rPr>
        <w:t xml:space="preserve">Table </w:t>
      </w:r>
      <w:r w:rsidR="00790F77">
        <w:rPr>
          <w:rFonts w:ascii="Times New Roman" w:hAnsi="Times New Roman" w:cs="Times New Roman"/>
          <w:noProof/>
          <w:sz w:val="24"/>
          <w:szCs w:val="24"/>
        </w:rPr>
        <w:t>11</w:t>
      </w:r>
      <w:r w:rsidR="00A00CB7">
        <w:rPr>
          <w:rFonts w:ascii="Times New Roman" w:hAnsi="Times New Roman" w:cs="Times New Roman"/>
          <w:sz w:val="24"/>
          <w:szCs w:val="24"/>
        </w:rPr>
        <w:fldChar w:fldCharType="end"/>
      </w:r>
      <w:r w:rsidR="00A00CB7">
        <w:rPr>
          <w:rFonts w:ascii="Times New Roman" w:hAnsi="Times New Roman" w:cs="Times New Roman"/>
          <w:sz w:val="24"/>
          <w:szCs w:val="24"/>
        </w:rPr>
        <w:t xml:space="preserve"> and </w:t>
      </w:r>
      <w:r w:rsidR="00A00CB7">
        <w:rPr>
          <w:rFonts w:ascii="Times New Roman" w:hAnsi="Times New Roman" w:cs="Times New Roman"/>
          <w:sz w:val="24"/>
          <w:szCs w:val="24"/>
        </w:rPr>
        <w:fldChar w:fldCharType="begin"/>
      </w:r>
      <w:r w:rsidR="00A00CB7">
        <w:rPr>
          <w:rFonts w:ascii="Times New Roman" w:hAnsi="Times New Roman" w:cs="Times New Roman"/>
          <w:sz w:val="24"/>
          <w:szCs w:val="24"/>
        </w:rPr>
        <w:instrText xml:space="preserve"> REF _Ref107320463 \h </w:instrText>
      </w:r>
      <w:r w:rsidR="00A00CB7">
        <w:rPr>
          <w:rFonts w:ascii="Times New Roman" w:hAnsi="Times New Roman" w:cs="Times New Roman"/>
          <w:sz w:val="24"/>
          <w:szCs w:val="24"/>
        </w:rPr>
      </w:r>
      <w:r w:rsidR="00A00CB7">
        <w:rPr>
          <w:rFonts w:ascii="Times New Roman" w:hAnsi="Times New Roman" w:cs="Times New Roman"/>
          <w:sz w:val="24"/>
          <w:szCs w:val="24"/>
        </w:rPr>
        <w:fldChar w:fldCharType="separate"/>
      </w:r>
      <w:r w:rsidR="00790F77" w:rsidRPr="00C838B5">
        <w:rPr>
          <w:rFonts w:ascii="Times New Roman" w:hAnsi="Times New Roman" w:cs="Times New Roman"/>
          <w:sz w:val="24"/>
          <w:szCs w:val="24"/>
        </w:rPr>
        <w:t xml:space="preserve">Table </w:t>
      </w:r>
      <w:r w:rsidR="00790F77">
        <w:rPr>
          <w:rFonts w:ascii="Times New Roman" w:hAnsi="Times New Roman" w:cs="Times New Roman"/>
          <w:noProof/>
          <w:sz w:val="24"/>
          <w:szCs w:val="24"/>
        </w:rPr>
        <w:t>12</w:t>
      </w:r>
      <w:r w:rsidR="00A00CB7">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PCR was performed on the </w:t>
      </w:r>
      <w:r w:rsidRPr="00C17458">
        <w:rPr>
          <w:rFonts w:ascii="Times New Roman" w:hAnsi="Times New Roman" w:cs="Times New Roman"/>
          <w:sz w:val="24"/>
          <w:szCs w:val="24"/>
        </w:rPr>
        <w:t>Geneamp 2700,</w:t>
      </w:r>
      <w:r w:rsidRPr="002E26D2">
        <w:rPr>
          <w:rFonts w:ascii="Times New Roman" w:hAnsi="Times New Roman" w:cs="Times New Roman"/>
          <w:sz w:val="24"/>
          <w:szCs w:val="24"/>
        </w:rPr>
        <w:t xml:space="preserve"> using the reaction mix and PCR parameters </w:t>
      </w:r>
      <w:r w:rsidR="007835F4" w:rsidRPr="002E26D2">
        <w:rPr>
          <w:rFonts w:ascii="Times New Roman" w:hAnsi="Times New Roman" w:cs="Times New Roman"/>
          <w:sz w:val="24"/>
          <w:szCs w:val="24"/>
        </w:rPr>
        <w:t>(</w:t>
      </w:r>
      <w:r w:rsidR="001A17BF" w:rsidRPr="002E26D2">
        <w:rPr>
          <w:rFonts w:ascii="Times New Roman" w:hAnsi="Times New Roman" w:cs="Times New Roman"/>
          <w:sz w:val="24"/>
          <w:szCs w:val="24"/>
        </w:rPr>
        <w:fldChar w:fldCharType="begin"/>
      </w:r>
      <w:r w:rsidR="001A17BF" w:rsidRPr="002E26D2">
        <w:rPr>
          <w:rFonts w:ascii="Times New Roman" w:hAnsi="Times New Roman" w:cs="Times New Roman"/>
          <w:sz w:val="24"/>
          <w:szCs w:val="24"/>
        </w:rPr>
        <w:instrText xml:space="preserve"> REF _Ref106008624 \h </w:instrText>
      </w:r>
      <w:r w:rsidR="002E26D2" w:rsidRPr="002E26D2">
        <w:rPr>
          <w:rFonts w:ascii="Times New Roman" w:hAnsi="Times New Roman" w:cs="Times New Roman"/>
          <w:sz w:val="24"/>
          <w:szCs w:val="24"/>
        </w:rPr>
        <w:instrText xml:space="preserve"> \* MERGEFORMAT </w:instrText>
      </w:r>
      <w:r w:rsidR="001A17BF" w:rsidRPr="002E26D2">
        <w:rPr>
          <w:rFonts w:ascii="Times New Roman" w:hAnsi="Times New Roman" w:cs="Times New Roman"/>
          <w:sz w:val="24"/>
          <w:szCs w:val="24"/>
        </w:rPr>
      </w:r>
      <w:r w:rsidR="001A17BF"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16</w:t>
      </w:r>
      <w:r w:rsidR="001A17BF" w:rsidRPr="002E26D2">
        <w:rPr>
          <w:rFonts w:ascii="Times New Roman" w:hAnsi="Times New Roman" w:cs="Times New Roman"/>
          <w:sz w:val="24"/>
          <w:szCs w:val="24"/>
        </w:rPr>
        <w:fldChar w:fldCharType="end"/>
      </w:r>
      <w:r w:rsidR="001A17BF" w:rsidRPr="002E26D2">
        <w:rPr>
          <w:rFonts w:ascii="Times New Roman" w:hAnsi="Times New Roman" w:cs="Times New Roman"/>
          <w:sz w:val="24"/>
          <w:szCs w:val="24"/>
        </w:rPr>
        <w:t xml:space="preserve"> </w:t>
      </w:r>
      <w:r w:rsidR="007835F4" w:rsidRPr="002E26D2">
        <w:rPr>
          <w:rFonts w:ascii="Times New Roman" w:hAnsi="Times New Roman" w:cs="Times New Roman"/>
          <w:sz w:val="24"/>
          <w:szCs w:val="24"/>
        </w:rPr>
        <w:t>and</w:t>
      </w:r>
      <w:r w:rsidR="001A17BF" w:rsidRPr="002E26D2">
        <w:rPr>
          <w:rFonts w:ascii="Times New Roman" w:hAnsi="Times New Roman" w:cs="Times New Roman"/>
          <w:sz w:val="24"/>
          <w:szCs w:val="24"/>
        </w:rPr>
        <w:t xml:space="preserve"> </w:t>
      </w:r>
      <w:r w:rsidR="001A17BF" w:rsidRPr="002E26D2">
        <w:rPr>
          <w:rFonts w:ascii="Times New Roman" w:hAnsi="Times New Roman" w:cs="Times New Roman"/>
          <w:sz w:val="24"/>
          <w:szCs w:val="24"/>
        </w:rPr>
        <w:fldChar w:fldCharType="begin"/>
      </w:r>
      <w:r w:rsidR="001A17BF" w:rsidRPr="002E26D2">
        <w:rPr>
          <w:rFonts w:ascii="Times New Roman" w:hAnsi="Times New Roman" w:cs="Times New Roman"/>
          <w:sz w:val="24"/>
          <w:szCs w:val="24"/>
        </w:rPr>
        <w:instrText xml:space="preserve"> REF _Ref106008636 \h </w:instrText>
      </w:r>
      <w:r w:rsidR="002E26D2" w:rsidRPr="002E26D2">
        <w:rPr>
          <w:rFonts w:ascii="Times New Roman" w:hAnsi="Times New Roman" w:cs="Times New Roman"/>
          <w:sz w:val="24"/>
          <w:szCs w:val="24"/>
        </w:rPr>
        <w:instrText xml:space="preserve"> \* MERGEFORMAT </w:instrText>
      </w:r>
      <w:r w:rsidR="001A17BF" w:rsidRPr="002E26D2">
        <w:rPr>
          <w:rFonts w:ascii="Times New Roman" w:hAnsi="Times New Roman" w:cs="Times New Roman"/>
          <w:sz w:val="24"/>
          <w:szCs w:val="24"/>
        </w:rPr>
      </w:r>
      <w:r w:rsidR="001A17BF"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17</w:t>
      </w:r>
      <w:r w:rsidR="001A17BF" w:rsidRPr="002E26D2">
        <w:rPr>
          <w:rFonts w:ascii="Times New Roman" w:hAnsi="Times New Roman" w:cs="Times New Roman"/>
          <w:sz w:val="24"/>
          <w:szCs w:val="24"/>
        </w:rPr>
        <w:fldChar w:fldCharType="end"/>
      </w:r>
      <w:r w:rsidR="007835F4" w:rsidRPr="002E26D2">
        <w:rPr>
          <w:rFonts w:ascii="Times New Roman" w:hAnsi="Times New Roman" w:cs="Times New Roman"/>
          <w:sz w:val="24"/>
          <w:szCs w:val="24"/>
        </w:rPr>
        <w:t>)</w:t>
      </w:r>
      <w:r w:rsidRPr="002E26D2">
        <w:rPr>
          <w:rFonts w:ascii="Times New Roman" w:hAnsi="Times New Roman" w:cs="Times New Roman"/>
          <w:sz w:val="24"/>
          <w:szCs w:val="24"/>
        </w:rPr>
        <w:t>:</w:t>
      </w:r>
    </w:p>
    <w:p w14:paraId="2D76A8A1" w14:textId="507C7538" w:rsidR="00595AB9" w:rsidRPr="002E26D2" w:rsidRDefault="00595AB9" w:rsidP="004927BB">
      <w:pPr>
        <w:pStyle w:val="Caption"/>
        <w:keepNext/>
        <w:spacing w:line="360" w:lineRule="auto"/>
        <w:rPr>
          <w:rFonts w:ascii="Times New Roman" w:hAnsi="Times New Roman" w:cs="Times New Roman"/>
          <w:sz w:val="24"/>
          <w:szCs w:val="24"/>
        </w:rPr>
      </w:pPr>
      <w:bookmarkStart w:id="84" w:name="_Ref106008624"/>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16</w:t>
      </w:r>
      <w:r w:rsidRPr="002E26D2">
        <w:rPr>
          <w:rFonts w:ascii="Times New Roman" w:hAnsi="Times New Roman" w:cs="Times New Roman"/>
          <w:sz w:val="24"/>
          <w:szCs w:val="24"/>
        </w:rPr>
        <w:fldChar w:fldCharType="end"/>
      </w:r>
      <w:bookmarkEnd w:id="84"/>
      <w:r w:rsidRPr="002E26D2">
        <w:rPr>
          <w:rFonts w:ascii="Times New Roman" w:hAnsi="Times New Roman" w:cs="Times New Roman"/>
          <w:sz w:val="24"/>
          <w:szCs w:val="24"/>
        </w:rPr>
        <w:t xml:space="preserve"> : PCR reaction mix used for plasmid cloning</w:t>
      </w:r>
    </w:p>
    <w:tbl>
      <w:tblPr>
        <w:tblStyle w:val="TableGrid"/>
        <w:tblW w:w="0" w:type="auto"/>
        <w:jc w:val="center"/>
        <w:tblLook w:val="04A0" w:firstRow="1" w:lastRow="0" w:firstColumn="1" w:lastColumn="0" w:noHBand="0" w:noVBand="1"/>
      </w:tblPr>
      <w:tblGrid>
        <w:gridCol w:w="4043"/>
        <w:gridCol w:w="1401"/>
      </w:tblGrid>
      <w:tr w:rsidR="000B3AF7" w:rsidRPr="002E26D2" w14:paraId="5DD591C8" w14:textId="77777777" w:rsidTr="00A00CB7">
        <w:trPr>
          <w:trHeight w:val="451"/>
          <w:jc w:val="center"/>
        </w:trPr>
        <w:tc>
          <w:tcPr>
            <w:tcW w:w="0" w:type="auto"/>
          </w:tcPr>
          <w:p w14:paraId="7CC0CF25"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Plasmid</w:t>
            </w:r>
          </w:p>
        </w:tc>
        <w:tc>
          <w:tcPr>
            <w:tcW w:w="0" w:type="auto"/>
          </w:tcPr>
          <w:p w14:paraId="70829D33" w14:textId="07746D7B"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50 ng</w:t>
            </w:r>
          </w:p>
        </w:tc>
      </w:tr>
      <w:tr w:rsidR="000B3AF7" w:rsidRPr="002E26D2" w14:paraId="1E90B068" w14:textId="77777777" w:rsidTr="00A00CB7">
        <w:trPr>
          <w:trHeight w:val="232"/>
          <w:jc w:val="center"/>
        </w:trPr>
        <w:tc>
          <w:tcPr>
            <w:tcW w:w="0" w:type="auto"/>
          </w:tcPr>
          <w:p w14:paraId="654680F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Primer -forward 10uM, diluted in 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tc>
        <w:tc>
          <w:tcPr>
            <w:tcW w:w="0" w:type="auto"/>
          </w:tcPr>
          <w:p w14:paraId="5CCF7A38"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 µL</w:t>
            </w:r>
          </w:p>
        </w:tc>
      </w:tr>
      <w:tr w:rsidR="000B3AF7" w:rsidRPr="002E26D2" w14:paraId="74907BB4" w14:textId="77777777" w:rsidTr="00A00CB7">
        <w:trPr>
          <w:trHeight w:val="232"/>
          <w:jc w:val="center"/>
        </w:trPr>
        <w:tc>
          <w:tcPr>
            <w:tcW w:w="0" w:type="auto"/>
          </w:tcPr>
          <w:p w14:paraId="2FCC3523"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Primer -reverse 10uM, diluted in 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tc>
        <w:tc>
          <w:tcPr>
            <w:tcW w:w="0" w:type="auto"/>
          </w:tcPr>
          <w:p w14:paraId="481F51C3"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 µL</w:t>
            </w:r>
          </w:p>
        </w:tc>
      </w:tr>
      <w:tr w:rsidR="000B3AF7" w:rsidRPr="002E26D2" w14:paraId="365FEF20" w14:textId="77777777" w:rsidTr="00A00CB7">
        <w:trPr>
          <w:trHeight w:val="219"/>
          <w:jc w:val="center"/>
        </w:trPr>
        <w:tc>
          <w:tcPr>
            <w:tcW w:w="0" w:type="auto"/>
          </w:tcPr>
          <w:p w14:paraId="65E6AEBC" w14:textId="77777777" w:rsidR="000B3AF7" w:rsidRPr="002E26D2" w:rsidRDefault="000B3AF7" w:rsidP="004927BB">
            <w:pPr>
              <w:spacing w:line="360" w:lineRule="auto"/>
              <w:jc w:val="both"/>
              <w:rPr>
                <w:rFonts w:ascii="Times New Roman" w:hAnsi="Times New Roman" w:cs="Times New Roman"/>
                <w:sz w:val="24"/>
                <w:szCs w:val="24"/>
              </w:rPr>
            </w:pPr>
            <w:r w:rsidRPr="00C75A16">
              <w:rPr>
                <w:rFonts w:ascii="Times New Roman" w:hAnsi="Times New Roman" w:cs="Times New Roman"/>
                <w:sz w:val="24"/>
                <w:szCs w:val="24"/>
              </w:rPr>
              <w:t xml:space="preserve">EmeraldAmp </w:t>
            </w:r>
            <w:r w:rsidRPr="002E26D2">
              <w:rPr>
                <w:rFonts w:ascii="Times New Roman" w:hAnsi="Times New Roman" w:cs="Times New Roman"/>
                <w:sz w:val="24"/>
                <w:szCs w:val="24"/>
              </w:rPr>
              <w:t>master mix</w:t>
            </w:r>
          </w:p>
        </w:tc>
        <w:tc>
          <w:tcPr>
            <w:tcW w:w="0" w:type="auto"/>
          </w:tcPr>
          <w:p w14:paraId="5DCA565C"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25 µL</w:t>
            </w:r>
          </w:p>
        </w:tc>
      </w:tr>
      <w:tr w:rsidR="000B3AF7" w:rsidRPr="002E26D2" w14:paraId="7E67EF6B" w14:textId="77777777" w:rsidTr="00A00CB7">
        <w:trPr>
          <w:trHeight w:val="232"/>
          <w:jc w:val="center"/>
        </w:trPr>
        <w:tc>
          <w:tcPr>
            <w:tcW w:w="0" w:type="auto"/>
          </w:tcPr>
          <w:p w14:paraId="1965611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tc>
        <w:tc>
          <w:tcPr>
            <w:tcW w:w="0" w:type="auto"/>
          </w:tcPr>
          <w:p w14:paraId="614A6740"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Up to 50 µL</w:t>
            </w:r>
          </w:p>
        </w:tc>
      </w:tr>
      <w:tr w:rsidR="000B3AF7" w:rsidRPr="002E26D2" w14:paraId="40045470" w14:textId="77777777" w:rsidTr="00A00CB7">
        <w:trPr>
          <w:trHeight w:val="60"/>
          <w:jc w:val="center"/>
        </w:trPr>
        <w:tc>
          <w:tcPr>
            <w:tcW w:w="0" w:type="auto"/>
          </w:tcPr>
          <w:p w14:paraId="7458CEA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Total volume</w:t>
            </w:r>
          </w:p>
        </w:tc>
        <w:tc>
          <w:tcPr>
            <w:tcW w:w="0" w:type="auto"/>
          </w:tcPr>
          <w:p w14:paraId="0DFD0DBA"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50 µL</w:t>
            </w:r>
          </w:p>
        </w:tc>
      </w:tr>
    </w:tbl>
    <w:p w14:paraId="46D17516" w14:textId="51A81968" w:rsidR="00595AB9" w:rsidRPr="002E26D2" w:rsidRDefault="00595AB9" w:rsidP="00404E1E">
      <w:pPr>
        <w:pStyle w:val="Caption"/>
        <w:keepNext/>
        <w:spacing w:before="240" w:line="360" w:lineRule="auto"/>
        <w:rPr>
          <w:rFonts w:ascii="Times New Roman" w:hAnsi="Times New Roman" w:cs="Times New Roman"/>
          <w:sz w:val="24"/>
          <w:szCs w:val="24"/>
        </w:rPr>
      </w:pPr>
      <w:bookmarkStart w:id="85" w:name="_Ref106008636"/>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17</w:t>
      </w:r>
      <w:r w:rsidRPr="002E26D2">
        <w:rPr>
          <w:rFonts w:ascii="Times New Roman" w:hAnsi="Times New Roman" w:cs="Times New Roman"/>
          <w:sz w:val="24"/>
          <w:szCs w:val="24"/>
        </w:rPr>
        <w:fldChar w:fldCharType="end"/>
      </w:r>
      <w:bookmarkEnd w:id="85"/>
      <w:r w:rsidRPr="002E26D2">
        <w:rPr>
          <w:rFonts w:ascii="Times New Roman" w:hAnsi="Times New Roman" w:cs="Times New Roman"/>
          <w:sz w:val="24"/>
          <w:szCs w:val="24"/>
        </w:rPr>
        <w:t xml:space="preserve"> : PCR parameters used for plasmid cloning</w:t>
      </w:r>
    </w:p>
    <w:tbl>
      <w:tblPr>
        <w:tblStyle w:val="TableGrid"/>
        <w:tblpPr w:leftFromText="180" w:rightFromText="180" w:vertAnchor="text" w:horzAnchor="margin" w:tblpXSpec="center" w:tblpY="-34"/>
        <w:tblW w:w="0" w:type="auto"/>
        <w:tblLook w:val="04A0" w:firstRow="1" w:lastRow="0" w:firstColumn="1" w:lastColumn="0" w:noHBand="0" w:noVBand="1"/>
      </w:tblPr>
      <w:tblGrid>
        <w:gridCol w:w="1590"/>
        <w:gridCol w:w="1129"/>
        <w:gridCol w:w="1418"/>
        <w:gridCol w:w="592"/>
      </w:tblGrid>
      <w:tr w:rsidR="000B3AF7" w:rsidRPr="002E26D2" w14:paraId="2BB3F9E1" w14:textId="77777777" w:rsidTr="00F62183">
        <w:tc>
          <w:tcPr>
            <w:tcW w:w="1440" w:type="dxa"/>
          </w:tcPr>
          <w:p w14:paraId="7D1B720C" w14:textId="77777777" w:rsidR="000B3AF7" w:rsidRPr="002E26D2" w:rsidRDefault="000B3AF7" w:rsidP="004927BB">
            <w:pPr>
              <w:spacing w:line="360" w:lineRule="auto"/>
              <w:jc w:val="both"/>
              <w:rPr>
                <w:rFonts w:ascii="Times New Roman" w:hAnsi="Times New Roman" w:cs="Times New Roman"/>
                <w:sz w:val="24"/>
                <w:szCs w:val="24"/>
              </w:rPr>
            </w:pPr>
          </w:p>
        </w:tc>
        <w:tc>
          <w:tcPr>
            <w:tcW w:w="1129" w:type="dxa"/>
          </w:tcPr>
          <w:p w14:paraId="20F32E8C"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95 °C</w:t>
            </w:r>
          </w:p>
        </w:tc>
        <w:tc>
          <w:tcPr>
            <w:tcW w:w="1418" w:type="dxa"/>
          </w:tcPr>
          <w:p w14:paraId="2C4D7D5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 min</w:t>
            </w:r>
          </w:p>
        </w:tc>
        <w:tc>
          <w:tcPr>
            <w:tcW w:w="567" w:type="dxa"/>
          </w:tcPr>
          <w:p w14:paraId="33CF1DB8" w14:textId="77777777" w:rsidR="000B3AF7" w:rsidRPr="002E26D2" w:rsidRDefault="000B3AF7" w:rsidP="004927BB">
            <w:pPr>
              <w:spacing w:line="360" w:lineRule="auto"/>
              <w:jc w:val="both"/>
              <w:rPr>
                <w:rFonts w:ascii="Times New Roman" w:hAnsi="Times New Roman" w:cs="Times New Roman"/>
                <w:sz w:val="24"/>
                <w:szCs w:val="24"/>
              </w:rPr>
            </w:pPr>
          </w:p>
        </w:tc>
      </w:tr>
      <w:tr w:rsidR="000B3AF7" w:rsidRPr="002E26D2" w14:paraId="2C793EFD" w14:textId="77777777" w:rsidTr="00F62183">
        <w:tc>
          <w:tcPr>
            <w:tcW w:w="1440" w:type="dxa"/>
          </w:tcPr>
          <w:p w14:paraId="32860501"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Denaturation</w:t>
            </w:r>
          </w:p>
        </w:tc>
        <w:tc>
          <w:tcPr>
            <w:tcW w:w="1129" w:type="dxa"/>
          </w:tcPr>
          <w:p w14:paraId="5A7AD027"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95 °C</w:t>
            </w:r>
          </w:p>
        </w:tc>
        <w:tc>
          <w:tcPr>
            <w:tcW w:w="1418" w:type="dxa"/>
          </w:tcPr>
          <w:p w14:paraId="34904B60"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30 s</w:t>
            </w:r>
          </w:p>
        </w:tc>
        <w:tc>
          <w:tcPr>
            <w:tcW w:w="567" w:type="dxa"/>
            <w:vMerge w:val="restart"/>
          </w:tcPr>
          <w:p w14:paraId="1EA8683C" w14:textId="77777777" w:rsidR="000B3AF7" w:rsidRPr="002E26D2" w:rsidRDefault="000B3AF7" w:rsidP="004927BB">
            <w:pPr>
              <w:spacing w:line="360" w:lineRule="auto"/>
              <w:jc w:val="both"/>
              <w:rPr>
                <w:rFonts w:ascii="Times New Roman" w:hAnsi="Times New Roman" w:cs="Times New Roman"/>
                <w:sz w:val="24"/>
                <w:szCs w:val="24"/>
              </w:rPr>
            </w:pPr>
          </w:p>
          <w:p w14:paraId="3DB38EC7"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30</w:t>
            </w:r>
            <w:r w:rsidRPr="002E26D2">
              <w:rPr>
                <w:rFonts w:ascii="Times New Roman" w:eastAsia="Times New Roman" w:hAnsi="Times New Roman" w:cs="Times New Roman"/>
                <w:color w:val="000000"/>
                <w:sz w:val="24"/>
                <w:szCs w:val="24"/>
              </w:rPr>
              <w:t>×</w:t>
            </w:r>
          </w:p>
        </w:tc>
      </w:tr>
      <w:tr w:rsidR="000B3AF7" w:rsidRPr="002E26D2" w14:paraId="4A842C7C" w14:textId="77777777" w:rsidTr="00F62183">
        <w:tc>
          <w:tcPr>
            <w:tcW w:w="1440" w:type="dxa"/>
          </w:tcPr>
          <w:p w14:paraId="42722975"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Annealing</w:t>
            </w:r>
          </w:p>
        </w:tc>
        <w:tc>
          <w:tcPr>
            <w:tcW w:w="1129" w:type="dxa"/>
          </w:tcPr>
          <w:p w14:paraId="30AD342A"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65 °C</w:t>
            </w:r>
          </w:p>
        </w:tc>
        <w:tc>
          <w:tcPr>
            <w:tcW w:w="1418" w:type="dxa"/>
          </w:tcPr>
          <w:p w14:paraId="7FB6EDBF"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30 s</w:t>
            </w:r>
          </w:p>
        </w:tc>
        <w:tc>
          <w:tcPr>
            <w:tcW w:w="567" w:type="dxa"/>
            <w:vMerge/>
          </w:tcPr>
          <w:p w14:paraId="27CBA4F6" w14:textId="77777777" w:rsidR="000B3AF7" w:rsidRPr="002E26D2" w:rsidRDefault="000B3AF7" w:rsidP="004927BB">
            <w:pPr>
              <w:spacing w:line="360" w:lineRule="auto"/>
              <w:jc w:val="both"/>
              <w:rPr>
                <w:rFonts w:ascii="Times New Roman" w:hAnsi="Times New Roman" w:cs="Times New Roman"/>
                <w:sz w:val="24"/>
                <w:szCs w:val="24"/>
              </w:rPr>
            </w:pPr>
          </w:p>
        </w:tc>
      </w:tr>
      <w:tr w:rsidR="000B3AF7" w:rsidRPr="002E26D2" w14:paraId="204F596F" w14:textId="77777777" w:rsidTr="00F62183">
        <w:tc>
          <w:tcPr>
            <w:tcW w:w="1440" w:type="dxa"/>
          </w:tcPr>
          <w:p w14:paraId="4BAB76F3"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Elongation</w:t>
            </w:r>
          </w:p>
        </w:tc>
        <w:tc>
          <w:tcPr>
            <w:tcW w:w="1129" w:type="dxa"/>
          </w:tcPr>
          <w:p w14:paraId="0BFF2352"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 xml:space="preserve">72 °C </w:t>
            </w:r>
          </w:p>
        </w:tc>
        <w:tc>
          <w:tcPr>
            <w:tcW w:w="1418" w:type="dxa"/>
          </w:tcPr>
          <w:p w14:paraId="55FAA880"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 xml:space="preserve">1 min </w:t>
            </w:r>
          </w:p>
        </w:tc>
        <w:tc>
          <w:tcPr>
            <w:tcW w:w="567" w:type="dxa"/>
            <w:vMerge/>
          </w:tcPr>
          <w:p w14:paraId="0C1F1AAF" w14:textId="77777777" w:rsidR="000B3AF7" w:rsidRPr="002E26D2" w:rsidRDefault="000B3AF7" w:rsidP="004927BB">
            <w:pPr>
              <w:spacing w:line="360" w:lineRule="auto"/>
              <w:jc w:val="both"/>
              <w:rPr>
                <w:rFonts w:ascii="Times New Roman" w:hAnsi="Times New Roman" w:cs="Times New Roman"/>
                <w:sz w:val="24"/>
                <w:szCs w:val="24"/>
              </w:rPr>
            </w:pPr>
          </w:p>
        </w:tc>
      </w:tr>
      <w:tr w:rsidR="000B3AF7" w:rsidRPr="002E26D2" w14:paraId="4284E60F" w14:textId="77777777" w:rsidTr="00F62183">
        <w:tc>
          <w:tcPr>
            <w:tcW w:w="1440" w:type="dxa"/>
          </w:tcPr>
          <w:p w14:paraId="1F26B119" w14:textId="77777777" w:rsidR="000B3AF7" w:rsidRPr="002E26D2" w:rsidRDefault="000B3AF7" w:rsidP="004927BB">
            <w:pPr>
              <w:spacing w:line="360" w:lineRule="auto"/>
              <w:jc w:val="both"/>
              <w:rPr>
                <w:rFonts w:ascii="Times New Roman" w:hAnsi="Times New Roman" w:cs="Times New Roman"/>
                <w:sz w:val="24"/>
                <w:szCs w:val="24"/>
              </w:rPr>
            </w:pPr>
          </w:p>
        </w:tc>
        <w:tc>
          <w:tcPr>
            <w:tcW w:w="1129" w:type="dxa"/>
          </w:tcPr>
          <w:p w14:paraId="2A64C148"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72 °C</w:t>
            </w:r>
          </w:p>
        </w:tc>
        <w:tc>
          <w:tcPr>
            <w:tcW w:w="1418" w:type="dxa"/>
          </w:tcPr>
          <w:p w14:paraId="7657BFA5"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5 min</w:t>
            </w:r>
          </w:p>
        </w:tc>
        <w:tc>
          <w:tcPr>
            <w:tcW w:w="567" w:type="dxa"/>
          </w:tcPr>
          <w:p w14:paraId="1F600AA4" w14:textId="77777777" w:rsidR="000B3AF7" w:rsidRPr="002E26D2" w:rsidRDefault="000B3AF7" w:rsidP="004927BB">
            <w:pPr>
              <w:spacing w:line="360" w:lineRule="auto"/>
              <w:jc w:val="both"/>
              <w:rPr>
                <w:rFonts w:ascii="Times New Roman" w:hAnsi="Times New Roman" w:cs="Times New Roman"/>
                <w:sz w:val="24"/>
                <w:szCs w:val="24"/>
              </w:rPr>
            </w:pPr>
          </w:p>
        </w:tc>
      </w:tr>
      <w:tr w:rsidR="000B3AF7" w:rsidRPr="002E26D2" w14:paraId="215DF49A" w14:textId="77777777" w:rsidTr="00F62183">
        <w:tc>
          <w:tcPr>
            <w:tcW w:w="1440" w:type="dxa"/>
          </w:tcPr>
          <w:p w14:paraId="7F7A94ED" w14:textId="77777777" w:rsidR="000B3AF7" w:rsidRPr="002E26D2" w:rsidRDefault="000B3AF7" w:rsidP="004927BB">
            <w:pPr>
              <w:spacing w:line="360" w:lineRule="auto"/>
              <w:jc w:val="both"/>
              <w:rPr>
                <w:rFonts w:ascii="Times New Roman" w:hAnsi="Times New Roman" w:cs="Times New Roman"/>
                <w:sz w:val="24"/>
                <w:szCs w:val="24"/>
              </w:rPr>
            </w:pPr>
          </w:p>
        </w:tc>
        <w:tc>
          <w:tcPr>
            <w:tcW w:w="1129" w:type="dxa"/>
          </w:tcPr>
          <w:p w14:paraId="1CB0533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4 °C</w:t>
            </w:r>
          </w:p>
        </w:tc>
        <w:tc>
          <w:tcPr>
            <w:tcW w:w="1418" w:type="dxa"/>
          </w:tcPr>
          <w:p w14:paraId="337630D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t>
            </w:r>
          </w:p>
        </w:tc>
        <w:tc>
          <w:tcPr>
            <w:tcW w:w="567" w:type="dxa"/>
          </w:tcPr>
          <w:p w14:paraId="583C6E3D" w14:textId="77777777" w:rsidR="000B3AF7" w:rsidRPr="002E26D2" w:rsidRDefault="000B3AF7" w:rsidP="004927BB">
            <w:pPr>
              <w:spacing w:line="360" w:lineRule="auto"/>
              <w:jc w:val="both"/>
              <w:rPr>
                <w:rFonts w:ascii="Times New Roman" w:hAnsi="Times New Roman" w:cs="Times New Roman"/>
                <w:sz w:val="24"/>
                <w:szCs w:val="24"/>
              </w:rPr>
            </w:pPr>
          </w:p>
        </w:tc>
      </w:tr>
    </w:tbl>
    <w:p w14:paraId="2C7D74A4" w14:textId="77777777" w:rsidR="000B3AF7" w:rsidRPr="002E26D2" w:rsidRDefault="000B3AF7" w:rsidP="004927BB">
      <w:pPr>
        <w:spacing w:line="360" w:lineRule="auto"/>
        <w:jc w:val="both"/>
        <w:rPr>
          <w:rFonts w:ascii="Times New Roman" w:hAnsi="Times New Roman" w:cs="Times New Roman"/>
          <w:sz w:val="24"/>
          <w:szCs w:val="24"/>
        </w:rPr>
      </w:pPr>
    </w:p>
    <w:p w14:paraId="63F06FFF" w14:textId="77777777" w:rsidR="000B3AF7" w:rsidRPr="002E26D2" w:rsidRDefault="000B3AF7" w:rsidP="004927BB">
      <w:pPr>
        <w:spacing w:line="360" w:lineRule="auto"/>
        <w:jc w:val="both"/>
        <w:rPr>
          <w:rFonts w:ascii="Times New Roman" w:hAnsi="Times New Roman" w:cs="Times New Roman"/>
          <w:sz w:val="24"/>
          <w:szCs w:val="24"/>
        </w:rPr>
      </w:pPr>
    </w:p>
    <w:p w14:paraId="1A05813A" w14:textId="77777777" w:rsidR="000B3AF7" w:rsidRPr="002E26D2" w:rsidRDefault="000B3AF7" w:rsidP="004927BB">
      <w:pPr>
        <w:spacing w:line="360" w:lineRule="auto"/>
        <w:jc w:val="both"/>
        <w:rPr>
          <w:rFonts w:ascii="Times New Roman" w:hAnsi="Times New Roman" w:cs="Times New Roman"/>
          <w:sz w:val="24"/>
          <w:szCs w:val="24"/>
        </w:rPr>
      </w:pPr>
    </w:p>
    <w:p w14:paraId="603B3DA6" w14:textId="2A087CA3" w:rsidR="000B3AF7" w:rsidRPr="002E26D2" w:rsidRDefault="000B3AF7" w:rsidP="004927BB">
      <w:pPr>
        <w:spacing w:line="360" w:lineRule="auto"/>
        <w:jc w:val="both"/>
        <w:rPr>
          <w:rFonts w:ascii="Times New Roman" w:hAnsi="Times New Roman" w:cs="Times New Roman"/>
          <w:sz w:val="24"/>
          <w:szCs w:val="24"/>
        </w:rPr>
      </w:pPr>
    </w:p>
    <w:p w14:paraId="22A23CA7" w14:textId="77777777" w:rsidR="00BF0F06" w:rsidRPr="002E26D2" w:rsidRDefault="00BF0F06" w:rsidP="004927BB">
      <w:pPr>
        <w:spacing w:line="360" w:lineRule="auto"/>
        <w:jc w:val="both"/>
        <w:rPr>
          <w:rFonts w:ascii="Times New Roman" w:hAnsi="Times New Roman" w:cs="Times New Roman"/>
          <w:sz w:val="24"/>
          <w:szCs w:val="24"/>
        </w:rPr>
      </w:pPr>
    </w:p>
    <w:p w14:paraId="60E5DD7B" w14:textId="5CE4AA77" w:rsidR="000B3AF7" w:rsidRPr="000D68C1" w:rsidRDefault="000D68C1" w:rsidP="00B23BAE">
      <w:pPr>
        <w:pStyle w:val="Heading5"/>
      </w:pPr>
      <w:bookmarkStart w:id="86" w:name="_Ref105767472"/>
      <w:r w:rsidRPr="000D68C1">
        <w:lastRenderedPageBreak/>
        <w:t>Agarose gel electrophoresis</w:t>
      </w:r>
      <w:bookmarkEnd w:id="86"/>
    </w:p>
    <w:p w14:paraId="6D6E98CA" w14:textId="652C7EF5" w:rsidR="000B3AF7" w:rsidRPr="00C17458" w:rsidRDefault="000B3AF7" w:rsidP="004927BB">
      <w:pPr>
        <w:spacing w:line="360" w:lineRule="auto"/>
        <w:jc w:val="both"/>
        <w:rPr>
          <w:rFonts w:ascii="Times New Roman" w:hAnsi="Times New Roman" w:cs="Times New Roman"/>
          <w:sz w:val="24"/>
          <w:szCs w:val="24"/>
        </w:rPr>
      </w:pPr>
      <w:r w:rsidRPr="00C17458">
        <w:rPr>
          <w:rFonts w:ascii="Times New Roman" w:hAnsi="Times New Roman" w:cs="Times New Roman"/>
          <w:sz w:val="24"/>
          <w:szCs w:val="24"/>
        </w:rPr>
        <w:t>A fresh 1,2 % agarose gel was produced according to the following recipe (100 mL TAE buffer, 1</w:t>
      </w:r>
      <w:r w:rsidR="009B2493" w:rsidRPr="00C17458">
        <w:rPr>
          <w:rFonts w:ascii="Times New Roman" w:hAnsi="Times New Roman" w:cs="Times New Roman"/>
          <w:sz w:val="24"/>
          <w:szCs w:val="24"/>
        </w:rPr>
        <w:t>.</w:t>
      </w:r>
      <w:r w:rsidRPr="00C17458">
        <w:rPr>
          <w:rFonts w:ascii="Times New Roman" w:hAnsi="Times New Roman" w:cs="Times New Roman"/>
          <w:sz w:val="24"/>
          <w:szCs w:val="24"/>
        </w:rPr>
        <w:t>2 g agarose, 3 µL Midori Green). The mixture was boiled in a microwave and poured into a cast system. After polymerization, the DNA was loaded onto the gel after being diluted in 5</w:t>
      </w:r>
      <w:r w:rsidRPr="00C17458">
        <w:rPr>
          <w:rFonts w:ascii="Times New Roman" w:eastAsia="Times New Roman" w:hAnsi="Times New Roman" w:cs="Times New Roman"/>
          <w:color w:val="000000"/>
          <w:sz w:val="24"/>
          <w:szCs w:val="24"/>
        </w:rPr>
        <w:t>×</w:t>
      </w:r>
      <w:r w:rsidRPr="00C17458">
        <w:rPr>
          <w:rFonts w:ascii="Times New Roman" w:hAnsi="Times New Roman" w:cs="Times New Roman"/>
          <w:sz w:val="24"/>
          <w:szCs w:val="24"/>
        </w:rPr>
        <w:t>LB to 1</w:t>
      </w:r>
      <w:r w:rsidRPr="00C17458">
        <w:rPr>
          <w:rFonts w:ascii="Times New Roman" w:eastAsia="Times New Roman" w:hAnsi="Times New Roman" w:cs="Times New Roman"/>
          <w:color w:val="000000"/>
          <w:sz w:val="24"/>
          <w:szCs w:val="24"/>
        </w:rPr>
        <w:t>×</w:t>
      </w:r>
      <w:r w:rsidRPr="00C17458">
        <w:rPr>
          <w:rFonts w:ascii="Times New Roman" w:hAnsi="Times New Roman" w:cs="Times New Roman"/>
          <w:sz w:val="24"/>
          <w:szCs w:val="24"/>
        </w:rPr>
        <w:t xml:space="preserve"> (50 µL of the above PCR product + 12.5 µL 5</w:t>
      </w:r>
      <w:r w:rsidRPr="00C17458">
        <w:rPr>
          <w:rFonts w:ascii="Times New Roman" w:eastAsia="Times New Roman" w:hAnsi="Times New Roman" w:cs="Times New Roman"/>
          <w:color w:val="000000"/>
          <w:sz w:val="24"/>
          <w:szCs w:val="24"/>
        </w:rPr>
        <w:t>×</w:t>
      </w:r>
      <w:r w:rsidRPr="00C17458">
        <w:rPr>
          <w:rFonts w:ascii="Times New Roman" w:hAnsi="Times New Roman" w:cs="Times New Roman"/>
          <w:sz w:val="24"/>
          <w:szCs w:val="24"/>
        </w:rPr>
        <w:t>LB). One microliter of 1kb plus DNA ladder was loaded</w:t>
      </w:r>
      <w:r w:rsidR="00837464" w:rsidRPr="00C17458">
        <w:rPr>
          <w:rFonts w:ascii="Times New Roman" w:hAnsi="Times New Roman" w:cs="Times New Roman"/>
          <w:sz w:val="24"/>
          <w:szCs w:val="24"/>
        </w:rPr>
        <w:t>,</w:t>
      </w:r>
      <w:r w:rsidRPr="00C17458">
        <w:rPr>
          <w:rFonts w:ascii="Times New Roman" w:hAnsi="Times New Roman" w:cs="Times New Roman"/>
          <w:sz w:val="24"/>
          <w:szCs w:val="24"/>
        </w:rPr>
        <w:t xml:space="preserve"> as well</w:t>
      </w:r>
      <w:r w:rsidR="00837464" w:rsidRPr="00C17458">
        <w:rPr>
          <w:rFonts w:ascii="Times New Roman" w:hAnsi="Times New Roman" w:cs="Times New Roman"/>
          <w:sz w:val="24"/>
          <w:szCs w:val="24"/>
        </w:rPr>
        <w:t>,</w:t>
      </w:r>
      <w:r w:rsidRPr="00C17458">
        <w:rPr>
          <w:rFonts w:ascii="Times New Roman" w:hAnsi="Times New Roman" w:cs="Times New Roman"/>
          <w:sz w:val="24"/>
          <w:szCs w:val="24"/>
        </w:rPr>
        <w:t xml:space="preserve"> to assess the size of different DNAs. The electrophoresis was performed in Sub-Cell GT system at 100 V for 1 h. DNA fragments were visualized using Uvitec alliance 4.7 system.</w:t>
      </w:r>
    </w:p>
    <w:p w14:paraId="46E866CF" w14:textId="4A83C08E" w:rsidR="000B3AF7" w:rsidRPr="002E26D2" w:rsidRDefault="000D68C1" w:rsidP="00B23BAE">
      <w:pPr>
        <w:pStyle w:val="Heading5"/>
      </w:pPr>
      <w:r w:rsidRPr="002E26D2">
        <w:t>Gel extraction</w:t>
      </w:r>
    </w:p>
    <w:p w14:paraId="5CBCDC8D" w14:textId="6C5C6493" w:rsidR="000B3AF7" w:rsidRPr="00C17458" w:rsidRDefault="000B3AF7" w:rsidP="004927BB">
      <w:pPr>
        <w:spacing w:line="360" w:lineRule="auto"/>
        <w:jc w:val="both"/>
        <w:rPr>
          <w:rFonts w:ascii="Times New Roman" w:hAnsi="Times New Roman" w:cs="Times New Roman"/>
          <w:sz w:val="24"/>
          <w:szCs w:val="24"/>
        </w:rPr>
      </w:pPr>
      <w:r w:rsidRPr="00C17458">
        <w:rPr>
          <w:rFonts w:ascii="Times New Roman" w:hAnsi="Times New Roman" w:cs="Times New Roman"/>
          <w:sz w:val="24"/>
          <w:szCs w:val="24"/>
        </w:rPr>
        <w:t>The gel was illuminated using the UV lamp and the band of interest produced by PCR was cut out. The PCR product was extracted using QIAquick Gel Extraction Kit according to manufacturer’s instructions, and eluted in qH</w:t>
      </w:r>
      <w:r w:rsidRPr="00C17458">
        <w:rPr>
          <w:rFonts w:ascii="Times New Roman" w:hAnsi="Times New Roman" w:cs="Times New Roman"/>
          <w:sz w:val="24"/>
          <w:szCs w:val="24"/>
          <w:vertAlign w:val="subscript"/>
        </w:rPr>
        <w:t>2</w:t>
      </w:r>
      <w:r w:rsidRPr="00C17458">
        <w:rPr>
          <w:rFonts w:ascii="Times New Roman" w:hAnsi="Times New Roman" w:cs="Times New Roman"/>
          <w:sz w:val="24"/>
          <w:szCs w:val="24"/>
        </w:rPr>
        <w:t>O. The product’s concentration was determined by nanodrop (</w:t>
      </w:r>
      <w:r w:rsidR="00D4183A">
        <w:rPr>
          <w:rFonts w:ascii="Times New Roman" w:hAnsi="Times New Roman" w:cs="Times New Roman"/>
          <w:sz w:val="24"/>
          <w:szCs w:val="24"/>
        </w:rPr>
        <w:t xml:space="preserve">section </w:t>
      </w:r>
      <w:r w:rsidR="00DE4D4F" w:rsidRPr="00C17458">
        <w:rPr>
          <w:rFonts w:ascii="Times New Roman" w:hAnsi="Times New Roman" w:cs="Times New Roman"/>
          <w:sz w:val="24"/>
          <w:szCs w:val="24"/>
        </w:rPr>
        <w:fldChar w:fldCharType="begin"/>
      </w:r>
      <w:r w:rsidR="00DE4D4F" w:rsidRPr="00C17458">
        <w:rPr>
          <w:rFonts w:ascii="Times New Roman" w:hAnsi="Times New Roman" w:cs="Times New Roman"/>
          <w:sz w:val="24"/>
          <w:szCs w:val="24"/>
        </w:rPr>
        <w:instrText xml:space="preserve"> REF _Ref105767311 \r \h </w:instrText>
      </w:r>
      <w:r w:rsidR="002E26D2" w:rsidRPr="00C17458">
        <w:rPr>
          <w:rFonts w:ascii="Times New Roman" w:hAnsi="Times New Roman" w:cs="Times New Roman"/>
          <w:sz w:val="24"/>
          <w:szCs w:val="24"/>
        </w:rPr>
        <w:instrText xml:space="preserve"> \* MERGEFORMAT </w:instrText>
      </w:r>
      <w:r w:rsidR="00DE4D4F" w:rsidRPr="00C17458">
        <w:rPr>
          <w:rFonts w:ascii="Times New Roman" w:hAnsi="Times New Roman" w:cs="Times New Roman"/>
          <w:sz w:val="24"/>
          <w:szCs w:val="24"/>
        </w:rPr>
      </w:r>
      <w:r w:rsidR="00DE4D4F" w:rsidRPr="00C17458">
        <w:rPr>
          <w:rFonts w:ascii="Times New Roman" w:hAnsi="Times New Roman" w:cs="Times New Roman"/>
          <w:sz w:val="24"/>
          <w:szCs w:val="24"/>
        </w:rPr>
        <w:fldChar w:fldCharType="separate"/>
      </w:r>
      <w:r w:rsidR="00790F77">
        <w:rPr>
          <w:rFonts w:ascii="Times New Roman" w:hAnsi="Times New Roman" w:cs="Times New Roman"/>
          <w:sz w:val="24"/>
          <w:szCs w:val="24"/>
        </w:rPr>
        <w:t>3.2.1.1.4</w:t>
      </w:r>
      <w:r w:rsidR="00DE4D4F" w:rsidRPr="00C17458">
        <w:rPr>
          <w:rFonts w:ascii="Times New Roman" w:hAnsi="Times New Roman" w:cs="Times New Roman"/>
          <w:sz w:val="24"/>
          <w:szCs w:val="24"/>
        </w:rPr>
        <w:fldChar w:fldCharType="end"/>
      </w:r>
      <w:r w:rsidRPr="00C17458">
        <w:rPr>
          <w:rFonts w:ascii="Times New Roman" w:hAnsi="Times New Roman" w:cs="Times New Roman"/>
          <w:sz w:val="24"/>
          <w:szCs w:val="24"/>
        </w:rPr>
        <w:t>) and saved on ice for the next step.</w:t>
      </w:r>
    </w:p>
    <w:p w14:paraId="546606C1" w14:textId="0489D633" w:rsidR="000B3AF7" w:rsidRPr="002E26D2" w:rsidRDefault="00837464" w:rsidP="00B23BAE">
      <w:pPr>
        <w:pStyle w:val="Heading5"/>
      </w:pPr>
      <w:bookmarkStart w:id="87" w:name="_Ref105767311"/>
      <w:r>
        <w:t>D</w:t>
      </w:r>
      <w:r w:rsidR="000D68C1" w:rsidRPr="002E26D2">
        <w:t xml:space="preserve">etermination of </w:t>
      </w:r>
      <w:r>
        <w:t>DNA</w:t>
      </w:r>
      <w:r w:rsidR="000D68C1" w:rsidRPr="002E26D2">
        <w:t xml:space="preserve"> concentration</w:t>
      </w:r>
      <w:bookmarkEnd w:id="87"/>
      <w:r w:rsidR="000D68C1" w:rsidRPr="002E26D2">
        <w:t xml:space="preserve"> </w:t>
      </w:r>
    </w:p>
    <w:p w14:paraId="691E0BC7" w14:textId="12276130" w:rsidR="000B3AF7" w:rsidRPr="002E26D2" w:rsidRDefault="000B3AF7" w:rsidP="004927BB">
      <w:pPr>
        <w:spacing w:line="360" w:lineRule="auto"/>
        <w:jc w:val="both"/>
        <w:rPr>
          <w:rFonts w:ascii="Times New Roman" w:hAnsi="Times New Roman" w:cs="Times New Roman"/>
          <w:sz w:val="24"/>
          <w:szCs w:val="24"/>
        </w:rPr>
      </w:pPr>
      <w:r w:rsidRPr="00C17458">
        <w:rPr>
          <w:rFonts w:ascii="Times New Roman" w:hAnsi="Times New Roman" w:cs="Times New Roman"/>
          <w:sz w:val="24"/>
          <w:szCs w:val="24"/>
        </w:rPr>
        <w:t>The concentration of DNA was determined using Nanophotometer N60 spectrophotometer. One microliter of elution buffer was used as a blank to calibrate the instrument, and 1</w:t>
      </w:r>
      <w:r w:rsidR="00C703E8" w:rsidRPr="00C17458">
        <w:rPr>
          <w:rFonts w:ascii="Times New Roman" w:hAnsi="Times New Roman" w:cs="Times New Roman"/>
          <w:sz w:val="24"/>
          <w:szCs w:val="24"/>
        </w:rPr>
        <w:t xml:space="preserve"> </w:t>
      </w:r>
      <w:r w:rsidRPr="00C17458">
        <w:rPr>
          <w:rFonts w:ascii="Times New Roman" w:hAnsi="Times New Roman" w:cs="Times New Roman"/>
          <w:sz w:val="24"/>
          <w:szCs w:val="24"/>
        </w:rPr>
        <w:t>µL of the sample was used to determine DNA concentration, by measuring the absorbance at 260 nm. The absorbance at 280 and 230 nm was measured as well, and the ratio A260/A280 and A260/A230 were used to assess the purity of DNA. A ratio A260/A280 about 1.8 and A260/A230 between 2.0 and 2.2 were considered to be acceptable for future experiments</w:t>
      </w:r>
      <w:r w:rsidRPr="002E26D2">
        <w:rPr>
          <w:rFonts w:ascii="Times New Roman" w:hAnsi="Times New Roman" w:cs="Times New Roman"/>
          <w:sz w:val="24"/>
          <w:szCs w:val="24"/>
        </w:rPr>
        <w:t>.</w:t>
      </w:r>
    </w:p>
    <w:p w14:paraId="3DF7C4AF" w14:textId="6E9F934F" w:rsidR="000B3AF7" w:rsidRPr="002E26D2" w:rsidRDefault="000D68C1" w:rsidP="00B23BAE">
      <w:pPr>
        <w:pStyle w:val="Heading5"/>
      </w:pPr>
      <w:bookmarkStart w:id="88" w:name="_Ref105767464"/>
      <w:r w:rsidRPr="002E26D2">
        <w:t xml:space="preserve">Digestion of the </w:t>
      </w:r>
      <w:r w:rsidR="00837464">
        <w:t>PCR</w:t>
      </w:r>
      <w:r w:rsidRPr="002E26D2">
        <w:t xml:space="preserve"> product</w:t>
      </w:r>
      <w:r w:rsidR="00A7618D">
        <w:t>s</w:t>
      </w:r>
      <w:r w:rsidRPr="002E26D2">
        <w:t xml:space="preserve"> and plasmid</w:t>
      </w:r>
      <w:r w:rsidR="00A7618D">
        <w:t>s</w:t>
      </w:r>
      <w:r w:rsidRPr="002E26D2">
        <w:t xml:space="preserve"> of interest</w:t>
      </w:r>
      <w:bookmarkEnd w:id="88"/>
    </w:p>
    <w:p w14:paraId="65413FD8" w14:textId="0298F051"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digestion of </w:t>
      </w:r>
      <w:r w:rsidR="00A7618D">
        <w:rPr>
          <w:rFonts w:ascii="Times New Roman" w:hAnsi="Times New Roman" w:cs="Times New Roman"/>
          <w:sz w:val="24"/>
          <w:szCs w:val="24"/>
        </w:rPr>
        <w:t>a</w:t>
      </w:r>
      <w:r w:rsidRPr="002E26D2">
        <w:rPr>
          <w:rFonts w:ascii="Times New Roman" w:hAnsi="Times New Roman" w:cs="Times New Roman"/>
          <w:sz w:val="24"/>
          <w:szCs w:val="24"/>
        </w:rPr>
        <w:t xml:space="preserve"> PCR fragment and </w:t>
      </w:r>
      <w:r w:rsidR="00A7618D">
        <w:rPr>
          <w:rFonts w:ascii="Times New Roman" w:hAnsi="Times New Roman" w:cs="Times New Roman"/>
          <w:sz w:val="24"/>
          <w:szCs w:val="24"/>
        </w:rPr>
        <w:t>a</w:t>
      </w:r>
      <w:r w:rsidRPr="002E26D2">
        <w:rPr>
          <w:rFonts w:ascii="Times New Roman" w:hAnsi="Times New Roman" w:cs="Times New Roman"/>
          <w:sz w:val="24"/>
          <w:szCs w:val="24"/>
        </w:rPr>
        <w:t xml:space="preserve"> plasmid with specific enzymes exposes complementary single stranded DNA sequences to allow proper ligation. PCR fragment and plasmid digestions were realized separately, using the reaction mix as described in </w:t>
      </w:r>
      <w:r w:rsidR="0006080B">
        <w:rPr>
          <w:rFonts w:ascii="Times New Roman" w:hAnsi="Times New Roman" w:cs="Times New Roman"/>
          <w:sz w:val="24"/>
          <w:szCs w:val="24"/>
        </w:rPr>
        <w:fldChar w:fldCharType="begin"/>
      </w:r>
      <w:r w:rsidR="0006080B">
        <w:rPr>
          <w:rFonts w:ascii="Times New Roman" w:hAnsi="Times New Roman" w:cs="Times New Roman"/>
          <w:sz w:val="24"/>
          <w:szCs w:val="24"/>
        </w:rPr>
        <w:instrText xml:space="preserve"> REF _Ref107396080 \h </w:instrText>
      </w:r>
      <w:r w:rsidR="0006080B">
        <w:rPr>
          <w:rFonts w:ascii="Times New Roman" w:hAnsi="Times New Roman" w:cs="Times New Roman"/>
          <w:sz w:val="24"/>
          <w:szCs w:val="24"/>
        </w:rPr>
      </w:r>
      <w:r w:rsidR="0006080B">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18</w:t>
      </w:r>
      <w:r w:rsidR="0006080B">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digestion was carried on for 40 min at 37 °C using restriction enzymes listed in </w:t>
      </w:r>
      <w:r w:rsidR="00D4686E">
        <w:rPr>
          <w:rFonts w:ascii="Times New Roman" w:hAnsi="Times New Roman" w:cs="Times New Roman"/>
          <w:sz w:val="24"/>
          <w:szCs w:val="24"/>
        </w:rPr>
        <w:fldChar w:fldCharType="begin"/>
      </w:r>
      <w:r w:rsidR="00D4686E">
        <w:rPr>
          <w:rFonts w:ascii="Times New Roman" w:hAnsi="Times New Roman" w:cs="Times New Roman"/>
          <w:sz w:val="24"/>
          <w:szCs w:val="24"/>
        </w:rPr>
        <w:instrText xml:space="preserve"> REF _Ref107320463 \h </w:instrText>
      </w:r>
      <w:r w:rsidR="00D4686E">
        <w:rPr>
          <w:rFonts w:ascii="Times New Roman" w:hAnsi="Times New Roman" w:cs="Times New Roman"/>
          <w:sz w:val="24"/>
          <w:szCs w:val="24"/>
        </w:rPr>
      </w:r>
      <w:r w:rsidR="00D4686E">
        <w:rPr>
          <w:rFonts w:ascii="Times New Roman" w:hAnsi="Times New Roman" w:cs="Times New Roman"/>
          <w:sz w:val="24"/>
          <w:szCs w:val="24"/>
        </w:rPr>
        <w:fldChar w:fldCharType="separate"/>
      </w:r>
      <w:r w:rsidR="00790F77" w:rsidRPr="00C838B5">
        <w:rPr>
          <w:rFonts w:ascii="Times New Roman" w:hAnsi="Times New Roman" w:cs="Times New Roman"/>
          <w:sz w:val="24"/>
          <w:szCs w:val="24"/>
        </w:rPr>
        <w:t xml:space="preserve">Table </w:t>
      </w:r>
      <w:r w:rsidR="00790F77">
        <w:rPr>
          <w:rFonts w:ascii="Times New Roman" w:hAnsi="Times New Roman" w:cs="Times New Roman"/>
          <w:noProof/>
          <w:sz w:val="24"/>
          <w:szCs w:val="24"/>
        </w:rPr>
        <w:t>12</w:t>
      </w:r>
      <w:r w:rsidR="00D4686E">
        <w:rPr>
          <w:rFonts w:ascii="Times New Roman" w:hAnsi="Times New Roman" w:cs="Times New Roman"/>
          <w:sz w:val="24"/>
          <w:szCs w:val="24"/>
        </w:rPr>
        <w:fldChar w:fldCharType="end"/>
      </w:r>
      <w:r w:rsidRPr="002E26D2">
        <w:rPr>
          <w:rFonts w:ascii="Times New Roman" w:hAnsi="Times New Roman" w:cs="Times New Roman"/>
          <w:sz w:val="24"/>
          <w:szCs w:val="24"/>
        </w:rPr>
        <w:t>, specific for each plasmid</w:t>
      </w:r>
      <w:r w:rsidR="00D4686E">
        <w:rPr>
          <w:rFonts w:ascii="Times New Roman" w:hAnsi="Times New Roman" w:cs="Times New Roman"/>
          <w:sz w:val="24"/>
          <w:szCs w:val="24"/>
        </w:rPr>
        <w:t xml:space="preserve"> (</w:t>
      </w:r>
      <w:r w:rsidR="00D4686E">
        <w:rPr>
          <w:rFonts w:ascii="Times New Roman" w:hAnsi="Times New Roman" w:cs="Times New Roman"/>
          <w:sz w:val="24"/>
          <w:szCs w:val="24"/>
        </w:rPr>
        <w:fldChar w:fldCharType="begin"/>
      </w:r>
      <w:r w:rsidR="00D4686E">
        <w:rPr>
          <w:rFonts w:ascii="Times New Roman" w:hAnsi="Times New Roman" w:cs="Times New Roman"/>
          <w:sz w:val="24"/>
          <w:szCs w:val="24"/>
        </w:rPr>
        <w:instrText xml:space="preserve"> REF _Ref107320460 \h </w:instrText>
      </w:r>
      <w:r w:rsidR="00D4686E">
        <w:rPr>
          <w:rFonts w:ascii="Times New Roman" w:hAnsi="Times New Roman" w:cs="Times New Roman"/>
          <w:sz w:val="24"/>
          <w:szCs w:val="24"/>
        </w:rPr>
      </w:r>
      <w:r w:rsidR="00D4686E">
        <w:rPr>
          <w:rFonts w:ascii="Times New Roman" w:hAnsi="Times New Roman" w:cs="Times New Roman"/>
          <w:sz w:val="24"/>
          <w:szCs w:val="24"/>
        </w:rPr>
        <w:fldChar w:fldCharType="separate"/>
      </w:r>
      <w:r w:rsidR="00790F77" w:rsidRPr="00F734BC">
        <w:rPr>
          <w:rFonts w:ascii="Times New Roman" w:hAnsi="Times New Roman" w:cs="Times New Roman"/>
          <w:sz w:val="24"/>
          <w:szCs w:val="24"/>
        </w:rPr>
        <w:t xml:space="preserve">Table </w:t>
      </w:r>
      <w:r w:rsidR="00790F77">
        <w:rPr>
          <w:rFonts w:ascii="Times New Roman" w:hAnsi="Times New Roman" w:cs="Times New Roman"/>
          <w:noProof/>
          <w:sz w:val="24"/>
          <w:szCs w:val="24"/>
        </w:rPr>
        <w:t>11</w:t>
      </w:r>
      <w:r w:rsidR="00D4686E">
        <w:rPr>
          <w:rFonts w:ascii="Times New Roman" w:hAnsi="Times New Roman" w:cs="Times New Roman"/>
          <w:sz w:val="24"/>
          <w:szCs w:val="24"/>
        </w:rPr>
        <w:fldChar w:fldCharType="end"/>
      </w:r>
      <w:r w:rsidR="00D4686E">
        <w:rPr>
          <w:rFonts w:ascii="Times New Roman" w:hAnsi="Times New Roman" w:cs="Times New Roman"/>
          <w:sz w:val="24"/>
          <w:szCs w:val="24"/>
        </w:rPr>
        <w:t>)</w:t>
      </w:r>
      <w:r w:rsidRPr="002E26D2">
        <w:rPr>
          <w:rFonts w:ascii="Times New Roman" w:hAnsi="Times New Roman" w:cs="Times New Roman"/>
          <w:sz w:val="24"/>
          <w:szCs w:val="24"/>
        </w:rPr>
        <w:t>.</w:t>
      </w:r>
    </w:p>
    <w:p w14:paraId="0DFD56B8" w14:textId="3043AD85" w:rsidR="00BF3C84" w:rsidRDefault="00BF3C84">
      <w:pPr>
        <w:rPr>
          <w:rFonts w:ascii="Times New Roman" w:hAnsi="Times New Roman" w:cs="Times New Roman"/>
          <w:sz w:val="24"/>
          <w:szCs w:val="24"/>
        </w:rPr>
      </w:pPr>
      <w:bookmarkStart w:id="89" w:name="_Ref106008676"/>
      <w:r>
        <w:rPr>
          <w:rFonts w:ascii="Times New Roman" w:hAnsi="Times New Roman" w:cs="Times New Roman"/>
          <w:sz w:val="24"/>
          <w:szCs w:val="24"/>
        </w:rPr>
        <w:br w:type="page"/>
      </w:r>
    </w:p>
    <w:p w14:paraId="3F3FD2B3" w14:textId="285224AE" w:rsidR="009402DF" w:rsidRPr="002E26D2" w:rsidRDefault="009402DF" w:rsidP="004927BB">
      <w:pPr>
        <w:pStyle w:val="Caption"/>
        <w:keepNext/>
        <w:spacing w:line="360" w:lineRule="auto"/>
        <w:rPr>
          <w:rFonts w:ascii="Times New Roman" w:hAnsi="Times New Roman" w:cs="Times New Roman"/>
          <w:sz w:val="24"/>
          <w:szCs w:val="24"/>
        </w:rPr>
      </w:pPr>
      <w:bookmarkStart w:id="90" w:name="_Ref107396080"/>
      <w:bookmarkStart w:id="91" w:name="_Ref107396050"/>
      <w:r w:rsidRPr="002E26D2">
        <w:rPr>
          <w:rFonts w:ascii="Times New Roman" w:hAnsi="Times New Roman" w:cs="Times New Roman"/>
          <w:sz w:val="24"/>
          <w:szCs w:val="24"/>
        </w:rPr>
        <w:lastRenderedPageBreak/>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18</w:t>
      </w:r>
      <w:r w:rsidRPr="002E26D2">
        <w:rPr>
          <w:rFonts w:ascii="Times New Roman" w:hAnsi="Times New Roman" w:cs="Times New Roman"/>
          <w:sz w:val="24"/>
          <w:szCs w:val="24"/>
        </w:rPr>
        <w:fldChar w:fldCharType="end"/>
      </w:r>
      <w:bookmarkEnd w:id="89"/>
      <w:bookmarkEnd w:id="90"/>
      <w:r w:rsidRPr="002E26D2">
        <w:rPr>
          <w:rFonts w:ascii="Times New Roman" w:hAnsi="Times New Roman" w:cs="Times New Roman"/>
          <w:sz w:val="24"/>
          <w:szCs w:val="24"/>
        </w:rPr>
        <w:t xml:space="preserve"> : Digestion reaction mix</w:t>
      </w:r>
      <w:bookmarkEnd w:id="91"/>
    </w:p>
    <w:tbl>
      <w:tblPr>
        <w:tblStyle w:val="TableGrid"/>
        <w:tblW w:w="0" w:type="auto"/>
        <w:jc w:val="center"/>
        <w:tblLook w:val="04A0" w:firstRow="1" w:lastRow="0" w:firstColumn="1" w:lastColumn="0" w:noHBand="0" w:noVBand="1"/>
      </w:tblPr>
      <w:tblGrid>
        <w:gridCol w:w="2676"/>
        <w:gridCol w:w="1401"/>
      </w:tblGrid>
      <w:tr w:rsidR="000B3AF7" w:rsidRPr="002E26D2" w14:paraId="5780CC31" w14:textId="77777777" w:rsidTr="00D4686E">
        <w:trPr>
          <w:jc w:val="center"/>
        </w:trPr>
        <w:tc>
          <w:tcPr>
            <w:tcW w:w="0" w:type="auto"/>
          </w:tcPr>
          <w:p w14:paraId="133B2C3F" w14:textId="16DD28B9"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PCR fragment or plasmid</w:t>
            </w:r>
          </w:p>
        </w:tc>
        <w:tc>
          <w:tcPr>
            <w:tcW w:w="0" w:type="auto"/>
          </w:tcPr>
          <w:p w14:paraId="601D1A24" w14:textId="70C2514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w:t>
            </w:r>
            <w:r w:rsidR="00BF3C84">
              <w:rPr>
                <w:rFonts w:ascii="Times New Roman" w:hAnsi="Times New Roman" w:cs="Times New Roman"/>
                <w:sz w:val="24"/>
                <w:szCs w:val="24"/>
              </w:rPr>
              <w:t xml:space="preserve"> </w:t>
            </w:r>
            <w:r w:rsidR="00BF3C84" w:rsidRPr="002E26D2">
              <w:rPr>
                <w:rFonts w:ascii="Symbol" w:eastAsia="Symbol" w:hAnsi="Symbol" w:cs="Symbol"/>
                <w:sz w:val="24"/>
                <w:szCs w:val="24"/>
              </w:rPr>
              <w:t></w:t>
            </w:r>
            <w:r w:rsidR="00BF3C84" w:rsidRPr="002E26D2">
              <w:rPr>
                <w:rFonts w:ascii="Times New Roman" w:hAnsi="Times New Roman" w:cs="Times New Roman"/>
                <w:sz w:val="24"/>
                <w:szCs w:val="24"/>
              </w:rPr>
              <w:t>g</w:t>
            </w:r>
          </w:p>
        </w:tc>
      </w:tr>
      <w:tr w:rsidR="000B3AF7" w:rsidRPr="002E26D2" w14:paraId="1C1B5200" w14:textId="77777777" w:rsidTr="00D4686E">
        <w:trPr>
          <w:jc w:val="center"/>
        </w:trPr>
        <w:tc>
          <w:tcPr>
            <w:tcW w:w="0" w:type="auto"/>
          </w:tcPr>
          <w:p w14:paraId="032649F9" w14:textId="11017FAC"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Enzyme 1</w:t>
            </w:r>
          </w:p>
        </w:tc>
        <w:tc>
          <w:tcPr>
            <w:tcW w:w="0" w:type="auto"/>
          </w:tcPr>
          <w:p w14:paraId="6EF08496" w14:textId="3C4B1CF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w:t>
            </w:r>
            <w:r w:rsidR="00C703E8">
              <w:rPr>
                <w:rFonts w:ascii="Times New Roman" w:hAnsi="Times New Roman" w:cs="Times New Roman"/>
                <w:sz w:val="24"/>
                <w:szCs w:val="24"/>
              </w:rPr>
              <w:t>.</w:t>
            </w:r>
            <w:r w:rsidRPr="002E26D2">
              <w:rPr>
                <w:rFonts w:ascii="Times New Roman" w:hAnsi="Times New Roman" w:cs="Times New Roman"/>
                <w:sz w:val="24"/>
                <w:szCs w:val="24"/>
              </w:rPr>
              <w:t>5</w:t>
            </w:r>
            <w:r w:rsidR="00BF3C84">
              <w:rPr>
                <w:rFonts w:ascii="Times New Roman" w:hAnsi="Times New Roman" w:cs="Times New Roman"/>
                <w:sz w:val="24"/>
                <w:szCs w:val="24"/>
              </w:rPr>
              <w:t xml:space="preserve"> </w:t>
            </w:r>
            <w:r w:rsidR="00BF3C84" w:rsidRPr="002E26D2">
              <w:rPr>
                <w:rFonts w:ascii="Symbol" w:eastAsia="Symbol" w:hAnsi="Symbol" w:cs="Symbol"/>
                <w:sz w:val="24"/>
                <w:szCs w:val="24"/>
              </w:rPr>
              <w:t></w:t>
            </w:r>
            <w:r w:rsidR="00BF3C84" w:rsidRPr="002E26D2">
              <w:rPr>
                <w:rFonts w:ascii="Times New Roman" w:hAnsi="Times New Roman" w:cs="Times New Roman"/>
                <w:sz w:val="24"/>
                <w:szCs w:val="24"/>
              </w:rPr>
              <w:t>L</w:t>
            </w:r>
          </w:p>
        </w:tc>
      </w:tr>
      <w:tr w:rsidR="000B3AF7" w:rsidRPr="002E26D2" w14:paraId="2372DDBE" w14:textId="77777777" w:rsidTr="00D4686E">
        <w:trPr>
          <w:jc w:val="center"/>
        </w:trPr>
        <w:tc>
          <w:tcPr>
            <w:tcW w:w="0" w:type="auto"/>
          </w:tcPr>
          <w:p w14:paraId="5F259CF2" w14:textId="58F9349D"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Enzyme 2</w:t>
            </w:r>
          </w:p>
        </w:tc>
        <w:tc>
          <w:tcPr>
            <w:tcW w:w="0" w:type="auto"/>
          </w:tcPr>
          <w:p w14:paraId="4102CCAD" w14:textId="6F094EBC"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w:t>
            </w:r>
            <w:r w:rsidR="00C703E8">
              <w:rPr>
                <w:rFonts w:ascii="Times New Roman" w:hAnsi="Times New Roman" w:cs="Times New Roman"/>
                <w:sz w:val="24"/>
                <w:szCs w:val="24"/>
              </w:rPr>
              <w:t>.</w:t>
            </w:r>
            <w:r w:rsidRPr="002E26D2">
              <w:rPr>
                <w:rFonts w:ascii="Times New Roman" w:hAnsi="Times New Roman" w:cs="Times New Roman"/>
                <w:sz w:val="24"/>
                <w:szCs w:val="24"/>
              </w:rPr>
              <w:t>5</w:t>
            </w:r>
            <w:r w:rsidR="00BF3C84">
              <w:rPr>
                <w:rFonts w:ascii="Times New Roman" w:hAnsi="Times New Roman" w:cs="Times New Roman"/>
                <w:sz w:val="24"/>
                <w:szCs w:val="24"/>
              </w:rPr>
              <w:t xml:space="preserve"> </w:t>
            </w:r>
            <w:r w:rsidR="00BF3C84" w:rsidRPr="002E26D2">
              <w:rPr>
                <w:rFonts w:ascii="Symbol" w:eastAsia="Symbol" w:hAnsi="Symbol" w:cs="Symbol"/>
                <w:sz w:val="24"/>
                <w:szCs w:val="24"/>
              </w:rPr>
              <w:t></w:t>
            </w:r>
            <w:r w:rsidR="00BF3C84" w:rsidRPr="002E26D2">
              <w:rPr>
                <w:rFonts w:ascii="Times New Roman" w:hAnsi="Times New Roman" w:cs="Times New Roman"/>
                <w:sz w:val="24"/>
                <w:szCs w:val="24"/>
              </w:rPr>
              <w:t>L</w:t>
            </w:r>
          </w:p>
        </w:tc>
      </w:tr>
      <w:tr w:rsidR="000B3AF7" w:rsidRPr="002E26D2" w14:paraId="05E87BA9" w14:textId="77777777" w:rsidTr="00D4686E">
        <w:trPr>
          <w:jc w:val="center"/>
        </w:trPr>
        <w:tc>
          <w:tcPr>
            <w:tcW w:w="0" w:type="auto"/>
          </w:tcPr>
          <w:p w14:paraId="08B19426" w14:textId="1AABDAE1" w:rsidR="000B3AF7" w:rsidRPr="007C0615" w:rsidRDefault="000B3AF7" w:rsidP="004927BB">
            <w:pPr>
              <w:spacing w:line="360" w:lineRule="auto"/>
              <w:jc w:val="both"/>
              <w:rPr>
                <w:rFonts w:ascii="Times New Roman" w:hAnsi="Times New Roman" w:cs="Times New Roman"/>
                <w:sz w:val="24"/>
                <w:szCs w:val="24"/>
              </w:rPr>
            </w:pPr>
            <w:r w:rsidRPr="007C0615">
              <w:rPr>
                <w:rFonts w:ascii="Times New Roman" w:hAnsi="Times New Roman" w:cs="Times New Roman"/>
                <w:sz w:val="24"/>
                <w:szCs w:val="24"/>
              </w:rPr>
              <w:t>Buffer FD10</w:t>
            </w:r>
            <w:r w:rsidR="00C6769A" w:rsidRPr="007C0615">
              <w:rPr>
                <w:rFonts w:ascii="Times New Roman" w:hAnsi="Times New Roman" w:cs="Times New Roman"/>
                <w:sz w:val="24"/>
                <w:szCs w:val="24"/>
              </w:rPr>
              <w:t>×</w:t>
            </w:r>
          </w:p>
        </w:tc>
        <w:tc>
          <w:tcPr>
            <w:tcW w:w="0" w:type="auto"/>
          </w:tcPr>
          <w:p w14:paraId="1F8D2C48" w14:textId="75D838A8"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w:t>
            </w:r>
            <w:r w:rsidR="00C703E8">
              <w:rPr>
                <w:rFonts w:ascii="Times New Roman" w:hAnsi="Times New Roman" w:cs="Times New Roman"/>
                <w:sz w:val="24"/>
                <w:szCs w:val="24"/>
              </w:rPr>
              <w:t>.</w:t>
            </w:r>
            <w:r w:rsidRPr="002E26D2">
              <w:rPr>
                <w:rFonts w:ascii="Times New Roman" w:hAnsi="Times New Roman" w:cs="Times New Roman"/>
                <w:sz w:val="24"/>
                <w:szCs w:val="24"/>
              </w:rPr>
              <w:t>5</w:t>
            </w:r>
            <w:r w:rsidR="00BF3C84">
              <w:rPr>
                <w:rFonts w:ascii="Times New Roman" w:hAnsi="Times New Roman" w:cs="Times New Roman"/>
                <w:sz w:val="24"/>
                <w:szCs w:val="24"/>
              </w:rPr>
              <w:t xml:space="preserve"> </w:t>
            </w:r>
            <w:r w:rsidR="00BF3C84" w:rsidRPr="002E26D2">
              <w:rPr>
                <w:rFonts w:ascii="Symbol" w:eastAsia="Symbol" w:hAnsi="Symbol" w:cs="Symbol"/>
                <w:sz w:val="24"/>
                <w:szCs w:val="24"/>
              </w:rPr>
              <w:t></w:t>
            </w:r>
            <w:r w:rsidR="00BF3C84" w:rsidRPr="002E26D2">
              <w:rPr>
                <w:rFonts w:ascii="Times New Roman" w:hAnsi="Times New Roman" w:cs="Times New Roman"/>
                <w:sz w:val="24"/>
                <w:szCs w:val="24"/>
              </w:rPr>
              <w:t>L</w:t>
            </w:r>
          </w:p>
        </w:tc>
      </w:tr>
      <w:tr w:rsidR="000B3AF7" w:rsidRPr="002E26D2" w14:paraId="4450A13D" w14:textId="77777777" w:rsidTr="00D4686E">
        <w:trPr>
          <w:jc w:val="center"/>
        </w:trPr>
        <w:tc>
          <w:tcPr>
            <w:tcW w:w="0" w:type="auto"/>
          </w:tcPr>
          <w:p w14:paraId="42DCAA08" w14:textId="14F825EB"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tc>
        <w:tc>
          <w:tcPr>
            <w:tcW w:w="0" w:type="auto"/>
          </w:tcPr>
          <w:p w14:paraId="2673D21E" w14:textId="5CE5B43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Up to 36</w:t>
            </w:r>
            <w:r w:rsidR="00BF3C84">
              <w:rPr>
                <w:rFonts w:ascii="Times New Roman" w:hAnsi="Times New Roman" w:cs="Times New Roman"/>
                <w:sz w:val="24"/>
                <w:szCs w:val="24"/>
              </w:rPr>
              <w:t xml:space="preserve"> </w:t>
            </w:r>
            <w:r w:rsidR="00BF3C84" w:rsidRPr="002E26D2">
              <w:rPr>
                <w:rFonts w:ascii="Symbol" w:eastAsia="Symbol" w:hAnsi="Symbol" w:cs="Symbol"/>
                <w:sz w:val="24"/>
                <w:szCs w:val="24"/>
              </w:rPr>
              <w:t></w:t>
            </w:r>
            <w:r w:rsidR="00BF3C84" w:rsidRPr="002E26D2">
              <w:rPr>
                <w:rFonts w:ascii="Times New Roman" w:hAnsi="Times New Roman" w:cs="Times New Roman"/>
                <w:sz w:val="24"/>
                <w:szCs w:val="24"/>
              </w:rPr>
              <w:t>L</w:t>
            </w:r>
          </w:p>
        </w:tc>
      </w:tr>
      <w:tr w:rsidR="000B3AF7" w:rsidRPr="002E26D2" w14:paraId="66B4CD3C" w14:textId="77777777" w:rsidTr="00D4686E">
        <w:trPr>
          <w:jc w:val="center"/>
        </w:trPr>
        <w:tc>
          <w:tcPr>
            <w:tcW w:w="0" w:type="auto"/>
          </w:tcPr>
          <w:p w14:paraId="644680EB" w14:textId="107EE29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Tot</w:t>
            </w:r>
            <w:r w:rsidR="00BF3C84">
              <w:rPr>
                <w:rFonts w:ascii="Times New Roman" w:hAnsi="Times New Roman" w:cs="Times New Roman"/>
                <w:sz w:val="24"/>
                <w:szCs w:val="24"/>
              </w:rPr>
              <w:t>al volume</w:t>
            </w:r>
          </w:p>
        </w:tc>
        <w:tc>
          <w:tcPr>
            <w:tcW w:w="0" w:type="auto"/>
          </w:tcPr>
          <w:p w14:paraId="7FCC9674" w14:textId="155010A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36</w:t>
            </w:r>
            <w:r w:rsidR="00BF3C84">
              <w:rPr>
                <w:rFonts w:ascii="Times New Roman" w:hAnsi="Times New Roman" w:cs="Times New Roman"/>
                <w:sz w:val="24"/>
                <w:szCs w:val="24"/>
              </w:rPr>
              <w:t xml:space="preserve"> </w:t>
            </w:r>
            <w:r w:rsidR="00BF3C84" w:rsidRPr="002E26D2">
              <w:rPr>
                <w:rFonts w:ascii="Symbol" w:eastAsia="Symbol" w:hAnsi="Symbol" w:cs="Symbol"/>
                <w:sz w:val="24"/>
                <w:szCs w:val="24"/>
              </w:rPr>
              <w:t></w:t>
            </w:r>
            <w:r w:rsidR="00BF3C84" w:rsidRPr="002E26D2">
              <w:rPr>
                <w:rFonts w:ascii="Times New Roman" w:hAnsi="Times New Roman" w:cs="Times New Roman"/>
                <w:sz w:val="24"/>
                <w:szCs w:val="24"/>
              </w:rPr>
              <w:t>L</w:t>
            </w:r>
          </w:p>
        </w:tc>
      </w:tr>
    </w:tbl>
    <w:p w14:paraId="1D0D9DF1" w14:textId="77777777" w:rsidR="00297E3A" w:rsidRPr="002E26D2" w:rsidRDefault="00297E3A" w:rsidP="004927BB">
      <w:pPr>
        <w:spacing w:line="360" w:lineRule="auto"/>
        <w:jc w:val="both"/>
        <w:rPr>
          <w:rFonts w:ascii="Times New Roman" w:hAnsi="Times New Roman" w:cs="Times New Roman"/>
          <w:sz w:val="24"/>
          <w:szCs w:val="24"/>
        </w:rPr>
      </w:pPr>
    </w:p>
    <w:p w14:paraId="44FE2FD9" w14:textId="4901D201" w:rsidR="000B3AF7" w:rsidRPr="002E26D2" w:rsidRDefault="000D68C1" w:rsidP="00B23BAE">
      <w:pPr>
        <w:pStyle w:val="Heading5"/>
      </w:pPr>
      <w:bookmarkStart w:id="92" w:name="_Ref105767355"/>
      <w:r w:rsidRPr="002E26D2">
        <w:t xml:space="preserve">Purification of the digested </w:t>
      </w:r>
      <w:r w:rsidR="00A7618D">
        <w:t>PCR</w:t>
      </w:r>
      <w:r w:rsidRPr="002E26D2">
        <w:t xml:space="preserve"> fragment and plasmid</w:t>
      </w:r>
      <w:bookmarkEnd w:id="92"/>
    </w:p>
    <w:p w14:paraId="667E799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purifications were performed separately using </w:t>
      </w:r>
      <w:r w:rsidRPr="00C17458">
        <w:rPr>
          <w:rFonts w:ascii="Times New Roman" w:hAnsi="Times New Roman" w:cs="Times New Roman"/>
          <w:sz w:val="24"/>
          <w:szCs w:val="24"/>
        </w:rPr>
        <w:t>QIAquick PCR purification Kit according</w:t>
      </w:r>
      <w:r w:rsidRPr="002E26D2">
        <w:rPr>
          <w:rFonts w:ascii="Times New Roman" w:hAnsi="Times New Roman" w:cs="Times New Roman"/>
          <w:sz w:val="24"/>
          <w:szCs w:val="24"/>
        </w:rPr>
        <w:t xml:space="preserve"> to manufacturer’s instructions. PCR fragments were eluted in 30 µL while the plasmids were eluted in 50 µL of 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xml:space="preserve">O. </w:t>
      </w:r>
    </w:p>
    <w:p w14:paraId="7D83A154" w14:textId="7B111425" w:rsidR="000B3AF7" w:rsidRPr="002E26D2" w:rsidRDefault="000D68C1" w:rsidP="00B23BAE">
      <w:pPr>
        <w:pStyle w:val="Heading5"/>
      </w:pPr>
      <w:r w:rsidRPr="002E26D2">
        <w:t>C</w:t>
      </w:r>
      <w:r w:rsidR="00A7618D">
        <w:t>IP</w:t>
      </w:r>
      <w:r w:rsidRPr="002E26D2">
        <w:t xml:space="preserve"> procedure of the digested plasmid</w:t>
      </w:r>
    </w:p>
    <w:p w14:paraId="3DD10974" w14:textId="39198F3D"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Plasmids were digested with </w:t>
      </w:r>
      <w:r w:rsidRPr="00C17458">
        <w:rPr>
          <w:rFonts w:ascii="Times New Roman" w:hAnsi="Times New Roman" w:cs="Times New Roman"/>
          <w:sz w:val="24"/>
          <w:szCs w:val="24"/>
        </w:rPr>
        <w:t>CIP (</w:t>
      </w:r>
      <w:r w:rsidRPr="002E26D2">
        <w:rPr>
          <w:rFonts w:ascii="Times New Roman" w:hAnsi="Times New Roman" w:cs="Times New Roman"/>
          <w:sz w:val="24"/>
          <w:szCs w:val="24"/>
        </w:rPr>
        <w:t xml:space="preserve">calf intestinal alkaline phosphatase) to remove the terminal phosphate of the open plasmid and reduce the re-ligation of linearized plasmids. The procedure was performed with the reaction mix described in </w:t>
      </w:r>
      <w:r w:rsidR="001A17BF" w:rsidRPr="002E26D2">
        <w:rPr>
          <w:rFonts w:ascii="Times New Roman" w:hAnsi="Times New Roman" w:cs="Times New Roman"/>
          <w:sz w:val="24"/>
          <w:szCs w:val="24"/>
        </w:rPr>
        <w:fldChar w:fldCharType="begin"/>
      </w:r>
      <w:r w:rsidR="001A17BF" w:rsidRPr="002E26D2">
        <w:rPr>
          <w:rFonts w:ascii="Times New Roman" w:hAnsi="Times New Roman" w:cs="Times New Roman"/>
          <w:sz w:val="24"/>
          <w:szCs w:val="24"/>
        </w:rPr>
        <w:instrText xml:space="preserve"> REF _Ref106008696 \h </w:instrText>
      </w:r>
      <w:r w:rsidR="002E26D2" w:rsidRPr="002E26D2">
        <w:rPr>
          <w:rFonts w:ascii="Times New Roman" w:hAnsi="Times New Roman" w:cs="Times New Roman"/>
          <w:sz w:val="24"/>
          <w:szCs w:val="24"/>
        </w:rPr>
        <w:instrText xml:space="preserve"> \* MERGEFORMAT </w:instrText>
      </w:r>
      <w:r w:rsidR="001A17BF" w:rsidRPr="002E26D2">
        <w:rPr>
          <w:rFonts w:ascii="Times New Roman" w:hAnsi="Times New Roman" w:cs="Times New Roman"/>
          <w:sz w:val="24"/>
          <w:szCs w:val="24"/>
        </w:rPr>
      </w:r>
      <w:r w:rsidR="001A17BF"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19</w:t>
      </w:r>
      <w:r w:rsidR="001A17B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incubation was carried at</w:t>
      </w:r>
      <w:r w:rsidR="0011755E">
        <w:rPr>
          <w:rFonts w:ascii="Times New Roman" w:hAnsi="Times New Roman" w:cs="Times New Roman"/>
          <w:sz w:val="24"/>
          <w:szCs w:val="24"/>
        </w:rPr>
        <w:t xml:space="preserve"> </w:t>
      </w:r>
      <w:r w:rsidRPr="002E26D2">
        <w:rPr>
          <w:rFonts w:ascii="Times New Roman" w:hAnsi="Times New Roman" w:cs="Times New Roman"/>
          <w:sz w:val="24"/>
          <w:szCs w:val="24"/>
        </w:rPr>
        <w:t>37</w:t>
      </w:r>
      <w:r w:rsidR="0011755E">
        <w:rPr>
          <w:rFonts w:ascii="Times New Roman" w:hAnsi="Times New Roman" w:cs="Times New Roman"/>
          <w:sz w:val="24"/>
          <w:szCs w:val="24"/>
        </w:rPr>
        <w:t> </w:t>
      </w:r>
      <w:r w:rsidRPr="002E26D2">
        <w:rPr>
          <w:rFonts w:ascii="Times New Roman" w:hAnsi="Times New Roman" w:cs="Times New Roman"/>
          <w:sz w:val="24"/>
          <w:szCs w:val="24"/>
        </w:rPr>
        <w:t xml:space="preserve">°C for 1 h. </w:t>
      </w:r>
    </w:p>
    <w:p w14:paraId="5FBD484A" w14:textId="3561155C" w:rsidR="009402DF" w:rsidRPr="002E26D2" w:rsidRDefault="009402DF" w:rsidP="004927BB">
      <w:pPr>
        <w:pStyle w:val="Caption"/>
        <w:keepNext/>
        <w:spacing w:line="360" w:lineRule="auto"/>
        <w:rPr>
          <w:rFonts w:ascii="Times New Roman" w:hAnsi="Times New Roman" w:cs="Times New Roman"/>
          <w:sz w:val="24"/>
          <w:szCs w:val="24"/>
        </w:rPr>
      </w:pPr>
      <w:bookmarkStart w:id="93" w:name="_Ref106008696"/>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19</w:t>
      </w:r>
      <w:r w:rsidRPr="002E26D2">
        <w:rPr>
          <w:rFonts w:ascii="Times New Roman" w:hAnsi="Times New Roman" w:cs="Times New Roman"/>
          <w:sz w:val="24"/>
          <w:szCs w:val="24"/>
        </w:rPr>
        <w:fldChar w:fldCharType="end"/>
      </w:r>
      <w:bookmarkEnd w:id="93"/>
      <w:r w:rsidRPr="002E26D2">
        <w:rPr>
          <w:rFonts w:ascii="Times New Roman" w:hAnsi="Times New Roman" w:cs="Times New Roman"/>
          <w:sz w:val="24"/>
          <w:szCs w:val="24"/>
        </w:rPr>
        <w:t xml:space="preserve"> : CIP reaction mix</w:t>
      </w:r>
    </w:p>
    <w:tbl>
      <w:tblPr>
        <w:tblStyle w:val="TableGrid"/>
        <w:tblW w:w="0" w:type="auto"/>
        <w:jc w:val="center"/>
        <w:tblLook w:val="04A0" w:firstRow="1" w:lastRow="0" w:firstColumn="1" w:lastColumn="0" w:noHBand="0" w:noVBand="1"/>
      </w:tblPr>
      <w:tblGrid>
        <w:gridCol w:w="3095"/>
        <w:gridCol w:w="1720"/>
      </w:tblGrid>
      <w:tr w:rsidR="000B3AF7" w:rsidRPr="002E26D2" w14:paraId="5C084632" w14:textId="77777777" w:rsidTr="005F1542">
        <w:trPr>
          <w:jc w:val="center"/>
        </w:trPr>
        <w:tc>
          <w:tcPr>
            <w:tcW w:w="3095" w:type="dxa"/>
          </w:tcPr>
          <w:p w14:paraId="17647D63"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Open plasmid</w:t>
            </w:r>
          </w:p>
        </w:tc>
        <w:tc>
          <w:tcPr>
            <w:tcW w:w="1720" w:type="dxa"/>
          </w:tcPr>
          <w:p w14:paraId="052AF511"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50 </w:t>
            </w:r>
            <w:r w:rsidRPr="002E26D2">
              <w:rPr>
                <w:rFonts w:ascii="Symbol" w:eastAsia="Symbol" w:hAnsi="Symbol" w:cs="Symbol"/>
                <w:sz w:val="24"/>
                <w:szCs w:val="24"/>
              </w:rPr>
              <w:t></w:t>
            </w:r>
            <w:r w:rsidRPr="002E26D2">
              <w:rPr>
                <w:rFonts w:ascii="Times New Roman" w:hAnsi="Times New Roman" w:cs="Times New Roman"/>
                <w:sz w:val="24"/>
                <w:szCs w:val="24"/>
              </w:rPr>
              <w:t>L</w:t>
            </w:r>
          </w:p>
        </w:tc>
      </w:tr>
      <w:tr w:rsidR="000B3AF7" w:rsidRPr="002E26D2" w14:paraId="268D25DE" w14:textId="77777777" w:rsidTr="005F1542">
        <w:trPr>
          <w:jc w:val="center"/>
        </w:trPr>
        <w:tc>
          <w:tcPr>
            <w:tcW w:w="3095" w:type="dxa"/>
          </w:tcPr>
          <w:p w14:paraId="4479CEC5" w14:textId="77777777" w:rsidR="000B3AF7" w:rsidRPr="002E26D2" w:rsidRDefault="000B3AF7" w:rsidP="004927BB">
            <w:pPr>
              <w:spacing w:line="360" w:lineRule="auto"/>
              <w:jc w:val="both"/>
              <w:rPr>
                <w:rFonts w:ascii="Times New Roman" w:hAnsi="Times New Roman" w:cs="Times New Roman"/>
                <w:sz w:val="24"/>
                <w:szCs w:val="24"/>
              </w:rPr>
            </w:pPr>
            <w:r w:rsidRPr="000A75E3">
              <w:rPr>
                <w:rFonts w:ascii="Times New Roman" w:hAnsi="Times New Roman" w:cs="Times New Roman"/>
                <w:sz w:val="24"/>
                <w:szCs w:val="24"/>
              </w:rPr>
              <w:t xml:space="preserve">CIP </w:t>
            </w:r>
            <w:r w:rsidRPr="002E26D2">
              <w:rPr>
                <w:rFonts w:ascii="Times New Roman" w:hAnsi="Times New Roman" w:cs="Times New Roman"/>
                <w:sz w:val="24"/>
                <w:szCs w:val="24"/>
              </w:rPr>
              <w:t>(10 U/</w:t>
            </w:r>
            <w:r w:rsidRPr="002E26D2">
              <w:rPr>
                <w:rFonts w:ascii="Symbol" w:eastAsia="Symbol" w:hAnsi="Symbol" w:cs="Symbol"/>
                <w:sz w:val="24"/>
                <w:szCs w:val="24"/>
              </w:rPr>
              <w:t></w:t>
            </w:r>
            <w:r w:rsidRPr="002E26D2">
              <w:rPr>
                <w:rFonts w:ascii="Times New Roman" w:hAnsi="Times New Roman" w:cs="Times New Roman"/>
                <w:sz w:val="24"/>
                <w:szCs w:val="24"/>
              </w:rPr>
              <w:t xml:space="preserve">L) </w:t>
            </w:r>
          </w:p>
        </w:tc>
        <w:tc>
          <w:tcPr>
            <w:tcW w:w="1720" w:type="dxa"/>
          </w:tcPr>
          <w:p w14:paraId="0FFE36E8"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1 </w:t>
            </w:r>
            <w:r w:rsidRPr="002E26D2">
              <w:rPr>
                <w:rFonts w:ascii="Symbol" w:eastAsia="Symbol" w:hAnsi="Symbol" w:cs="Symbol"/>
                <w:sz w:val="24"/>
                <w:szCs w:val="24"/>
              </w:rPr>
              <w:t></w:t>
            </w:r>
            <w:r w:rsidRPr="002E26D2">
              <w:rPr>
                <w:rFonts w:ascii="Times New Roman" w:hAnsi="Times New Roman" w:cs="Times New Roman"/>
                <w:sz w:val="24"/>
                <w:szCs w:val="24"/>
              </w:rPr>
              <w:t>L</w:t>
            </w:r>
          </w:p>
        </w:tc>
      </w:tr>
      <w:tr w:rsidR="000B3AF7" w:rsidRPr="002E26D2" w14:paraId="1BEB93FD" w14:textId="77777777" w:rsidTr="005F1542">
        <w:trPr>
          <w:jc w:val="center"/>
        </w:trPr>
        <w:tc>
          <w:tcPr>
            <w:tcW w:w="3095" w:type="dxa"/>
          </w:tcPr>
          <w:p w14:paraId="0FF2895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tc>
        <w:tc>
          <w:tcPr>
            <w:tcW w:w="1720" w:type="dxa"/>
          </w:tcPr>
          <w:p w14:paraId="668BCAAF"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3 </w:t>
            </w:r>
            <w:r w:rsidRPr="002E26D2">
              <w:rPr>
                <w:rFonts w:ascii="Symbol" w:eastAsia="Symbol" w:hAnsi="Symbol" w:cs="Symbol"/>
                <w:sz w:val="24"/>
                <w:szCs w:val="24"/>
              </w:rPr>
              <w:t></w:t>
            </w:r>
            <w:r w:rsidRPr="002E26D2">
              <w:rPr>
                <w:rFonts w:ascii="Times New Roman" w:hAnsi="Times New Roman" w:cs="Times New Roman"/>
                <w:sz w:val="24"/>
                <w:szCs w:val="24"/>
              </w:rPr>
              <w:t>L</w:t>
            </w:r>
          </w:p>
        </w:tc>
      </w:tr>
      <w:tr w:rsidR="000B3AF7" w:rsidRPr="002E26D2" w14:paraId="557F2966" w14:textId="77777777" w:rsidTr="005F1542">
        <w:trPr>
          <w:jc w:val="center"/>
        </w:trPr>
        <w:tc>
          <w:tcPr>
            <w:tcW w:w="3095" w:type="dxa"/>
          </w:tcPr>
          <w:p w14:paraId="3799006A" w14:textId="77777777" w:rsidR="000B3AF7" w:rsidRPr="000A75E3" w:rsidRDefault="000B3AF7" w:rsidP="004927BB">
            <w:pPr>
              <w:spacing w:line="360" w:lineRule="auto"/>
              <w:jc w:val="both"/>
              <w:rPr>
                <w:rFonts w:ascii="Times New Roman" w:hAnsi="Times New Roman" w:cs="Times New Roman"/>
                <w:sz w:val="24"/>
                <w:szCs w:val="24"/>
              </w:rPr>
            </w:pPr>
            <w:r w:rsidRPr="000A75E3">
              <w:rPr>
                <w:rFonts w:ascii="Times New Roman" w:hAnsi="Times New Roman" w:cs="Times New Roman"/>
                <w:sz w:val="24"/>
                <w:szCs w:val="24"/>
              </w:rPr>
              <w:t>NEBuffer 3</w:t>
            </w:r>
          </w:p>
        </w:tc>
        <w:tc>
          <w:tcPr>
            <w:tcW w:w="1720" w:type="dxa"/>
          </w:tcPr>
          <w:p w14:paraId="03B1C27F"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6 </w:t>
            </w:r>
            <w:r w:rsidRPr="002E26D2">
              <w:rPr>
                <w:rFonts w:ascii="Symbol" w:eastAsia="Symbol" w:hAnsi="Symbol" w:cs="Symbol"/>
                <w:sz w:val="24"/>
                <w:szCs w:val="24"/>
              </w:rPr>
              <w:t></w:t>
            </w:r>
            <w:r w:rsidRPr="002E26D2">
              <w:rPr>
                <w:rFonts w:ascii="Times New Roman" w:hAnsi="Times New Roman" w:cs="Times New Roman"/>
                <w:sz w:val="24"/>
                <w:szCs w:val="24"/>
              </w:rPr>
              <w:t>L</w:t>
            </w:r>
          </w:p>
        </w:tc>
      </w:tr>
      <w:tr w:rsidR="000B3AF7" w:rsidRPr="002E26D2" w14:paraId="565BDE9D" w14:textId="77777777" w:rsidTr="005F1542">
        <w:trPr>
          <w:jc w:val="center"/>
        </w:trPr>
        <w:tc>
          <w:tcPr>
            <w:tcW w:w="3095" w:type="dxa"/>
          </w:tcPr>
          <w:p w14:paraId="0A640ECA" w14:textId="5FC158A9"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w:t>
            </w:r>
            <w:r w:rsidR="00BF3C84">
              <w:rPr>
                <w:rFonts w:ascii="Times New Roman" w:hAnsi="Times New Roman" w:cs="Times New Roman"/>
                <w:sz w:val="24"/>
                <w:szCs w:val="24"/>
              </w:rPr>
              <w:t>otal volume</w:t>
            </w:r>
          </w:p>
        </w:tc>
        <w:tc>
          <w:tcPr>
            <w:tcW w:w="1720" w:type="dxa"/>
          </w:tcPr>
          <w:p w14:paraId="3B9821F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60 </w:t>
            </w:r>
            <w:r w:rsidRPr="002E26D2">
              <w:rPr>
                <w:rFonts w:ascii="Symbol" w:eastAsia="Symbol" w:hAnsi="Symbol" w:cs="Symbol"/>
                <w:sz w:val="24"/>
                <w:szCs w:val="24"/>
              </w:rPr>
              <w:t></w:t>
            </w:r>
            <w:r w:rsidRPr="002E26D2">
              <w:rPr>
                <w:rFonts w:ascii="Times New Roman" w:hAnsi="Times New Roman" w:cs="Times New Roman"/>
                <w:sz w:val="24"/>
                <w:szCs w:val="24"/>
              </w:rPr>
              <w:t>L</w:t>
            </w:r>
          </w:p>
        </w:tc>
      </w:tr>
    </w:tbl>
    <w:p w14:paraId="06A87BF4" w14:textId="77777777" w:rsidR="00297E3A" w:rsidRPr="002E26D2" w:rsidRDefault="00297E3A" w:rsidP="004927BB">
      <w:pPr>
        <w:spacing w:line="360" w:lineRule="auto"/>
        <w:jc w:val="both"/>
        <w:rPr>
          <w:rFonts w:ascii="Times New Roman" w:hAnsi="Times New Roman" w:cs="Times New Roman"/>
          <w:sz w:val="24"/>
          <w:szCs w:val="24"/>
        </w:rPr>
      </w:pPr>
    </w:p>
    <w:p w14:paraId="2419499B" w14:textId="6B0D50CA"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Purification of the plasmid was carried out as described in </w:t>
      </w:r>
      <w:r w:rsidR="009C423D">
        <w:rPr>
          <w:rFonts w:ascii="Times New Roman" w:hAnsi="Times New Roman" w:cs="Times New Roman"/>
          <w:sz w:val="24"/>
          <w:szCs w:val="24"/>
        </w:rPr>
        <w:t xml:space="preserve">section </w:t>
      </w:r>
      <w:r w:rsidR="00DE4D4F" w:rsidRPr="002E26D2">
        <w:rPr>
          <w:rFonts w:ascii="Times New Roman" w:hAnsi="Times New Roman" w:cs="Times New Roman"/>
          <w:sz w:val="24"/>
          <w:szCs w:val="24"/>
        </w:rPr>
        <w:fldChar w:fldCharType="begin"/>
      </w:r>
      <w:r w:rsidR="00DE4D4F" w:rsidRPr="002E26D2">
        <w:rPr>
          <w:rFonts w:ascii="Times New Roman" w:hAnsi="Times New Roman" w:cs="Times New Roman"/>
          <w:sz w:val="24"/>
          <w:szCs w:val="24"/>
        </w:rPr>
        <w:instrText xml:space="preserve"> REF _Ref105767355 \r \h </w:instrText>
      </w:r>
      <w:r w:rsidR="002E26D2" w:rsidRPr="002E26D2">
        <w:rPr>
          <w:rFonts w:ascii="Times New Roman" w:hAnsi="Times New Roman" w:cs="Times New Roman"/>
          <w:sz w:val="24"/>
          <w:szCs w:val="24"/>
        </w:rPr>
        <w:instrText xml:space="preserve"> \* MERGEFORMAT </w:instrText>
      </w:r>
      <w:r w:rsidR="00DE4D4F" w:rsidRPr="002E26D2">
        <w:rPr>
          <w:rFonts w:ascii="Times New Roman" w:hAnsi="Times New Roman" w:cs="Times New Roman"/>
          <w:sz w:val="24"/>
          <w:szCs w:val="24"/>
        </w:rPr>
      </w:r>
      <w:r w:rsidR="00DE4D4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3.2.1.1.6</w:t>
      </w:r>
      <w:r w:rsidR="00DE4D4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plasmid concentration was measured as described in section </w:t>
      </w:r>
      <w:r w:rsidR="00DE4D4F" w:rsidRPr="002E26D2">
        <w:rPr>
          <w:rFonts w:ascii="Times New Roman" w:hAnsi="Times New Roman" w:cs="Times New Roman"/>
          <w:sz w:val="24"/>
          <w:szCs w:val="24"/>
        </w:rPr>
        <w:fldChar w:fldCharType="begin"/>
      </w:r>
      <w:r w:rsidR="00DE4D4F" w:rsidRPr="002E26D2">
        <w:rPr>
          <w:rFonts w:ascii="Times New Roman" w:hAnsi="Times New Roman" w:cs="Times New Roman"/>
          <w:sz w:val="24"/>
          <w:szCs w:val="24"/>
        </w:rPr>
        <w:instrText xml:space="preserve"> REF _Ref105767311 \r \h </w:instrText>
      </w:r>
      <w:r w:rsidR="002E26D2" w:rsidRPr="002E26D2">
        <w:rPr>
          <w:rFonts w:ascii="Times New Roman" w:hAnsi="Times New Roman" w:cs="Times New Roman"/>
          <w:sz w:val="24"/>
          <w:szCs w:val="24"/>
        </w:rPr>
        <w:instrText xml:space="preserve"> \* MERGEFORMAT </w:instrText>
      </w:r>
      <w:r w:rsidR="00DE4D4F" w:rsidRPr="002E26D2">
        <w:rPr>
          <w:rFonts w:ascii="Times New Roman" w:hAnsi="Times New Roman" w:cs="Times New Roman"/>
          <w:sz w:val="24"/>
          <w:szCs w:val="24"/>
        </w:rPr>
      </w:r>
      <w:r w:rsidR="00DE4D4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3.2.1.1.4</w:t>
      </w:r>
      <w:r w:rsidR="00DE4D4F"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79297B66" w14:textId="045A990A"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PCR fragment and CIP-digested open plasmid were loaded on 1.2% agarose gel as described in </w:t>
      </w:r>
      <w:r w:rsidR="009C423D">
        <w:rPr>
          <w:rFonts w:ascii="Times New Roman" w:hAnsi="Times New Roman" w:cs="Times New Roman"/>
          <w:sz w:val="24"/>
          <w:szCs w:val="24"/>
        </w:rPr>
        <w:t xml:space="preserve">section </w:t>
      </w:r>
      <w:r w:rsidRPr="002E26D2">
        <w:rPr>
          <w:rFonts w:ascii="Times New Roman" w:hAnsi="Times New Roman" w:cs="Times New Roman"/>
          <w:sz w:val="24"/>
          <w:szCs w:val="24"/>
        </w:rPr>
        <w:t xml:space="preserve">1.1.2 using a mix of 1 </w:t>
      </w:r>
      <w:r w:rsidR="00A7618D" w:rsidRPr="00A7618D">
        <w:rPr>
          <w:rFonts w:ascii="Times New Roman" w:hAnsi="Times New Roman" w:cs="Times New Roman"/>
          <w:sz w:val="24"/>
          <w:szCs w:val="24"/>
        </w:rPr>
        <w:t>µ</w:t>
      </w:r>
      <w:r w:rsidRPr="002E26D2">
        <w:rPr>
          <w:rFonts w:ascii="Times New Roman" w:hAnsi="Times New Roman" w:cs="Times New Roman"/>
          <w:sz w:val="24"/>
          <w:szCs w:val="24"/>
        </w:rPr>
        <w:t xml:space="preserve">L of sample, 2 </w:t>
      </w:r>
      <w:bookmarkStart w:id="94" w:name="_Hlk106477614"/>
      <w:r w:rsidRPr="002E26D2">
        <w:rPr>
          <w:rFonts w:ascii="Times New Roman" w:hAnsi="Times New Roman" w:cs="Times New Roman"/>
          <w:sz w:val="24"/>
          <w:szCs w:val="24"/>
        </w:rPr>
        <w:t>µ</w:t>
      </w:r>
      <w:bookmarkEnd w:id="94"/>
      <w:r w:rsidRPr="002E26D2">
        <w:rPr>
          <w:rFonts w:ascii="Times New Roman" w:hAnsi="Times New Roman" w:cs="Times New Roman"/>
          <w:sz w:val="24"/>
          <w:szCs w:val="24"/>
        </w:rPr>
        <w:t xml:space="preserve">L </w:t>
      </w:r>
      <w:r w:rsidRPr="00C17458">
        <w:rPr>
          <w:rFonts w:ascii="Times New Roman" w:hAnsi="Times New Roman" w:cs="Times New Roman"/>
          <w:sz w:val="24"/>
          <w:szCs w:val="24"/>
        </w:rPr>
        <w:t>of 5</w:t>
      </w:r>
      <w:r w:rsidRPr="00C17458">
        <w:rPr>
          <w:rFonts w:ascii="Times New Roman" w:eastAsia="Times New Roman" w:hAnsi="Times New Roman" w:cs="Times New Roman"/>
          <w:color w:val="000000"/>
          <w:sz w:val="24"/>
          <w:szCs w:val="24"/>
        </w:rPr>
        <w:t>×</w:t>
      </w:r>
      <w:r w:rsidRPr="00C17458">
        <w:rPr>
          <w:rFonts w:ascii="Times New Roman" w:hAnsi="Times New Roman" w:cs="Times New Roman"/>
          <w:sz w:val="24"/>
          <w:szCs w:val="24"/>
        </w:rPr>
        <w:t>LB and</w:t>
      </w:r>
      <w:r w:rsidRPr="002E26D2">
        <w:rPr>
          <w:rFonts w:ascii="Times New Roman" w:hAnsi="Times New Roman" w:cs="Times New Roman"/>
          <w:sz w:val="24"/>
          <w:szCs w:val="24"/>
        </w:rPr>
        <w:t xml:space="preserve"> 7 µL of 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xml:space="preserve">O to control the presence and purity of each </w:t>
      </w:r>
      <w:r w:rsidR="00937255" w:rsidRPr="002E26D2">
        <w:rPr>
          <w:rFonts w:ascii="Times New Roman" w:hAnsi="Times New Roman" w:cs="Times New Roman"/>
          <w:sz w:val="24"/>
          <w:szCs w:val="24"/>
        </w:rPr>
        <w:t>component</w:t>
      </w:r>
      <w:r w:rsidRPr="002E26D2">
        <w:rPr>
          <w:rFonts w:ascii="Times New Roman" w:hAnsi="Times New Roman" w:cs="Times New Roman"/>
          <w:sz w:val="24"/>
          <w:szCs w:val="24"/>
        </w:rPr>
        <w:t xml:space="preserve"> before ligation.</w:t>
      </w:r>
    </w:p>
    <w:p w14:paraId="476FEBD2" w14:textId="72DAA164" w:rsidR="000B3AF7" w:rsidRPr="002E26D2" w:rsidRDefault="000D68C1" w:rsidP="00B23BAE">
      <w:pPr>
        <w:pStyle w:val="Heading5"/>
      </w:pPr>
      <w:r w:rsidRPr="002E26D2">
        <w:lastRenderedPageBreak/>
        <w:t xml:space="preserve">Ligation </w:t>
      </w:r>
    </w:p>
    <w:p w14:paraId="2BB6A331" w14:textId="3D59148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The ligation mixture was calculated using the NEB calculator service, with a plasmid mass of 100 ng and plasmid to insert mass ratio of 3:1. (</w:t>
      </w:r>
      <w:hyperlink r:id="rId31" w:anchor="!/ligation" w:history="1">
        <w:r w:rsidRPr="002E26D2">
          <w:rPr>
            <w:rStyle w:val="Hyperlink"/>
            <w:rFonts w:ascii="Times New Roman" w:hAnsi="Times New Roman" w:cs="Times New Roman"/>
            <w:sz w:val="24"/>
            <w:szCs w:val="24"/>
          </w:rPr>
          <w:t>https://nebiocalculator.neb.com/#!/ligation</w:t>
        </w:r>
      </w:hyperlink>
      <w:r w:rsidRPr="002E26D2">
        <w:rPr>
          <w:rFonts w:ascii="Times New Roman" w:hAnsi="Times New Roman" w:cs="Times New Roman"/>
          <w:sz w:val="24"/>
          <w:szCs w:val="24"/>
        </w:rPr>
        <w:t xml:space="preserve">). </w:t>
      </w:r>
      <w:r w:rsidR="00C44198">
        <w:rPr>
          <w:rFonts w:ascii="Times New Roman" w:hAnsi="Times New Roman" w:cs="Times New Roman"/>
          <w:sz w:val="24"/>
          <w:szCs w:val="24"/>
        </w:rPr>
        <w:t>v</w:t>
      </w:r>
      <w:r w:rsidRPr="002E26D2">
        <w:rPr>
          <w:rFonts w:ascii="Times New Roman" w:hAnsi="Times New Roman" w:cs="Times New Roman"/>
          <w:sz w:val="24"/>
          <w:szCs w:val="24"/>
        </w:rPr>
        <w:t>olumes were dependent on the length of the insert and of the linearized plasmid. The reaction mixture was performed as described in</w:t>
      </w:r>
      <w:r w:rsidR="00917BB0" w:rsidRPr="002E26D2">
        <w:rPr>
          <w:rFonts w:ascii="Times New Roman" w:hAnsi="Times New Roman" w:cs="Times New Roman"/>
          <w:sz w:val="24"/>
          <w:szCs w:val="24"/>
        </w:rPr>
        <w:t xml:space="preserve"> </w:t>
      </w:r>
      <w:r w:rsidR="001A17BF" w:rsidRPr="002E26D2">
        <w:rPr>
          <w:rFonts w:ascii="Times New Roman" w:hAnsi="Times New Roman" w:cs="Times New Roman"/>
          <w:sz w:val="24"/>
          <w:szCs w:val="24"/>
        </w:rPr>
        <w:fldChar w:fldCharType="begin"/>
      </w:r>
      <w:r w:rsidR="001A17BF" w:rsidRPr="002E26D2">
        <w:rPr>
          <w:rFonts w:ascii="Times New Roman" w:hAnsi="Times New Roman" w:cs="Times New Roman"/>
          <w:sz w:val="24"/>
          <w:szCs w:val="24"/>
        </w:rPr>
        <w:instrText xml:space="preserve"> REF _Ref106008710 \h </w:instrText>
      </w:r>
      <w:r w:rsidR="002E26D2" w:rsidRPr="002E26D2">
        <w:rPr>
          <w:rFonts w:ascii="Times New Roman" w:hAnsi="Times New Roman" w:cs="Times New Roman"/>
          <w:sz w:val="24"/>
          <w:szCs w:val="24"/>
        </w:rPr>
        <w:instrText xml:space="preserve"> \* MERGEFORMAT </w:instrText>
      </w:r>
      <w:r w:rsidR="001A17BF" w:rsidRPr="002E26D2">
        <w:rPr>
          <w:rFonts w:ascii="Times New Roman" w:hAnsi="Times New Roman" w:cs="Times New Roman"/>
          <w:sz w:val="24"/>
          <w:szCs w:val="24"/>
        </w:rPr>
      </w:r>
      <w:r w:rsidR="001A17BF"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20</w:t>
      </w:r>
      <w:r w:rsidR="001A17B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ligation reaction started by adding the ligase and was allowed to perform for 10 min at room temperature. The reaction was heat inactivated by 10 min incubation at 65°C. The reaction mix was chilled on ice and 1 µL was immediately used to transform electrocompetent bacteria as described in </w:t>
      </w:r>
      <w:r w:rsidR="007F1ACD">
        <w:rPr>
          <w:rFonts w:ascii="Times New Roman" w:hAnsi="Times New Roman" w:cs="Times New Roman"/>
          <w:sz w:val="24"/>
          <w:szCs w:val="24"/>
        </w:rPr>
        <w:t xml:space="preserve">section </w:t>
      </w:r>
      <w:r w:rsidR="00DE4D4F" w:rsidRPr="002E26D2">
        <w:rPr>
          <w:rFonts w:ascii="Times New Roman" w:hAnsi="Times New Roman" w:cs="Times New Roman"/>
          <w:sz w:val="24"/>
          <w:szCs w:val="24"/>
        </w:rPr>
        <w:fldChar w:fldCharType="begin"/>
      </w:r>
      <w:r w:rsidR="00DE4D4F" w:rsidRPr="002E26D2">
        <w:rPr>
          <w:rFonts w:ascii="Times New Roman" w:hAnsi="Times New Roman" w:cs="Times New Roman"/>
          <w:sz w:val="24"/>
          <w:szCs w:val="24"/>
        </w:rPr>
        <w:instrText xml:space="preserve"> REF _Ref105767403 \r \h </w:instrText>
      </w:r>
      <w:r w:rsidR="002E26D2" w:rsidRPr="002E26D2">
        <w:rPr>
          <w:rFonts w:ascii="Times New Roman" w:hAnsi="Times New Roman" w:cs="Times New Roman"/>
          <w:sz w:val="24"/>
          <w:szCs w:val="24"/>
        </w:rPr>
        <w:instrText xml:space="preserve"> \* MERGEFORMAT </w:instrText>
      </w:r>
      <w:r w:rsidR="00DE4D4F" w:rsidRPr="002E26D2">
        <w:rPr>
          <w:rFonts w:ascii="Times New Roman" w:hAnsi="Times New Roman" w:cs="Times New Roman"/>
          <w:sz w:val="24"/>
          <w:szCs w:val="24"/>
        </w:rPr>
      </w:r>
      <w:r w:rsidR="00DE4D4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3.2.1.2</w:t>
      </w:r>
      <w:r w:rsidR="00DE4D4F"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233DA406" w14:textId="157F8E92" w:rsidR="00C40E13" w:rsidRPr="002E26D2" w:rsidRDefault="00C40E13" w:rsidP="004927BB">
      <w:pPr>
        <w:pStyle w:val="Caption"/>
        <w:keepNext/>
        <w:spacing w:line="360" w:lineRule="auto"/>
        <w:rPr>
          <w:rFonts w:ascii="Times New Roman" w:hAnsi="Times New Roman" w:cs="Times New Roman"/>
          <w:sz w:val="24"/>
          <w:szCs w:val="24"/>
        </w:rPr>
      </w:pPr>
      <w:bookmarkStart w:id="95" w:name="_Ref106008710"/>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20</w:t>
      </w:r>
      <w:r w:rsidRPr="002E26D2">
        <w:rPr>
          <w:rFonts w:ascii="Times New Roman" w:hAnsi="Times New Roman" w:cs="Times New Roman"/>
          <w:sz w:val="24"/>
          <w:szCs w:val="24"/>
        </w:rPr>
        <w:fldChar w:fldCharType="end"/>
      </w:r>
      <w:bookmarkEnd w:id="95"/>
      <w:r w:rsidRPr="002E26D2">
        <w:rPr>
          <w:rFonts w:ascii="Times New Roman" w:hAnsi="Times New Roman" w:cs="Times New Roman"/>
          <w:sz w:val="24"/>
          <w:szCs w:val="24"/>
        </w:rPr>
        <w:t xml:space="preserve"> : Ligation reaction mix</w:t>
      </w:r>
    </w:p>
    <w:tbl>
      <w:tblPr>
        <w:tblStyle w:val="TableGrid"/>
        <w:tblW w:w="0" w:type="auto"/>
        <w:jc w:val="center"/>
        <w:tblLook w:val="04A0" w:firstRow="1" w:lastRow="0" w:firstColumn="1" w:lastColumn="0" w:noHBand="0" w:noVBand="1"/>
      </w:tblPr>
      <w:tblGrid>
        <w:gridCol w:w="3964"/>
        <w:gridCol w:w="2552"/>
      </w:tblGrid>
      <w:tr w:rsidR="000B3AF7" w:rsidRPr="002E26D2" w14:paraId="0FE13389" w14:textId="77777777" w:rsidTr="00C17458">
        <w:trPr>
          <w:trHeight w:val="189"/>
          <w:jc w:val="center"/>
        </w:trPr>
        <w:tc>
          <w:tcPr>
            <w:tcW w:w="3964" w:type="dxa"/>
          </w:tcPr>
          <w:p w14:paraId="189F68B8"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Insert (NEB calculated)</w:t>
            </w:r>
          </w:p>
        </w:tc>
        <w:tc>
          <w:tcPr>
            <w:tcW w:w="2552" w:type="dxa"/>
          </w:tcPr>
          <w:p w14:paraId="36810D1F"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X ng (Roughly 34 ng)</w:t>
            </w:r>
          </w:p>
        </w:tc>
      </w:tr>
      <w:tr w:rsidR="000B3AF7" w:rsidRPr="002E26D2" w14:paraId="45A687BD" w14:textId="77777777" w:rsidTr="00C17458">
        <w:trPr>
          <w:trHeight w:val="189"/>
          <w:jc w:val="center"/>
        </w:trPr>
        <w:tc>
          <w:tcPr>
            <w:tcW w:w="3964" w:type="dxa"/>
          </w:tcPr>
          <w:p w14:paraId="4D82B701"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Plasmid </w:t>
            </w:r>
          </w:p>
        </w:tc>
        <w:tc>
          <w:tcPr>
            <w:tcW w:w="2552" w:type="dxa"/>
          </w:tcPr>
          <w:p w14:paraId="2AB38FF6"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100 ng</w:t>
            </w:r>
          </w:p>
        </w:tc>
      </w:tr>
      <w:tr w:rsidR="000B3AF7" w:rsidRPr="002E26D2" w14:paraId="3FF6D95D" w14:textId="77777777" w:rsidTr="00C17458">
        <w:trPr>
          <w:trHeight w:val="314"/>
          <w:jc w:val="center"/>
        </w:trPr>
        <w:tc>
          <w:tcPr>
            <w:tcW w:w="3964" w:type="dxa"/>
          </w:tcPr>
          <w:p w14:paraId="20B2406B" w14:textId="401C6C0A" w:rsidR="000B3AF7" w:rsidRPr="00C17458" w:rsidRDefault="000B3AF7" w:rsidP="004927BB">
            <w:pPr>
              <w:spacing w:line="360" w:lineRule="auto"/>
              <w:jc w:val="both"/>
              <w:rPr>
                <w:rFonts w:ascii="Times New Roman" w:hAnsi="Times New Roman" w:cs="Times New Roman"/>
                <w:sz w:val="24"/>
                <w:szCs w:val="24"/>
              </w:rPr>
            </w:pPr>
            <w:r w:rsidRPr="00C17458">
              <w:rPr>
                <w:rFonts w:ascii="Times New Roman" w:hAnsi="Times New Roman" w:cs="Times New Roman"/>
                <w:sz w:val="24"/>
                <w:szCs w:val="24"/>
              </w:rPr>
              <w:t>T4 DNA Ligase Reaction Buffer (10</w:t>
            </w:r>
            <w:r w:rsidR="00C6769A" w:rsidRPr="00C17458">
              <w:rPr>
                <w:rFonts w:ascii="Times New Roman" w:hAnsi="Times New Roman" w:cs="Times New Roman"/>
                <w:sz w:val="24"/>
                <w:szCs w:val="24"/>
              </w:rPr>
              <w:t>×</w:t>
            </w:r>
            <w:r w:rsidRPr="00C17458">
              <w:rPr>
                <w:rFonts w:ascii="Times New Roman" w:hAnsi="Times New Roman" w:cs="Times New Roman"/>
                <w:sz w:val="24"/>
                <w:szCs w:val="24"/>
              </w:rPr>
              <w:t>)</w:t>
            </w:r>
          </w:p>
        </w:tc>
        <w:tc>
          <w:tcPr>
            <w:tcW w:w="2552" w:type="dxa"/>
          </w:tcPr>
          <w:p w14:paraId="715E0BC8"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2 </w:t>
            </w:r>
            <w:r w:rsidRPr="002E26D2">
              <w:rPr>
                <w:rFonts w:ascii="Symbol" w:eastAsia="Symbol" w:hAnsi="Symbol" w:cs="Symbol"/>
                <w:sz w:val="24"/>
                <w:szCs w:val="24"/>
              </w:rPr>
              <w:t></w:t>
            </w:r>
            <w:r w:rsidRPr="002E26D2">
              <w:rPr>
                <w:rFonts w:ascii="Times New Roman" w:hAnsi="Times New Roman" w:cs="Times New Roman"/>
                <w:sz w:val="24"/>
                <w:szCs w:val="24"/>
              </w:rPr>
              <w:t>L</w:t>
            </w:r>
          </w:p>
        </w:tc>
      </w:tr>
      <w:tr w:rsidR="000B3AF7" w:rsidRPr="002E26D2" w14:paraId="63A47085" w14:textId="77777777" w:rsidTr="00C17458">
        <w:trPr>
          <w:trHeight w:val="170"/>
          <w:jc w:val="center"/>
        </w:trPr>
        <w:tc>
          <w:tcPr>
            <w:tcW w:w="3964" w:type="dxa"/>
          </w:tcPr>
          <w:p w14:paraId="7BFD993A"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tc>
        <w:tc>
          <w:tcPr>
            <w:tcW w:w="2552" w:type="dxa"/>
          </w:tcPr>
          <w:p w14:paraId="4AEC3B1C"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Up to 19 </w:t>
            </w:r>
            <w:r w:rsidRPr="002E26D2">
              <w:rPr>
                <w:rFonts w:ascii="Symbol" w:eastAsia="Symbol" w:hAnsi="Symbol" w:cs="Symbol"/>
                <w:sz w:val="24"/>
                <w:szCs w:val="24"/>
              </w:rPr>
              <w:t></w:t>
            </w:r>
            <w:r w:rsidRPr="002E26D2">
              <w:rPr>
                <w:rFonts w:ascii="Times New Roman" w:hAnsi="Times New Roman" w:cs="Times New Roman"/>
                <w:sz w:val="24"/>
                <w:szCs w:val="24"/>
              </w:rPr>
              <w:t>L</w:t>
            </w:r>
          </w:p>
        </w:tc>
      </w:tr>
      <w:tr w:rsidR="000B3AF7" w:rsidRPr="002E26D2" w14:paraId="023B1E47" w14:textId="77777777" w:rsidTr="00C17458">
        <w:trPr>
          <w:trHeight w:val="170"/>
          <w:jc w:val="center"/>
        </w:trPr>
        <w:tc>
          <w:tcPr>
            <w:tcW w:w="3964" w:type="dxa"/>
          </w:tcPr>
          <w:p w14:paraId="367D85DE" w14:textId="77777777" w:rsidR="000B3AF7" w:rsidRPr="00C17458" w:rsidRDefault="000B3AF7" w:rsidP="004927BB">
            <w:pPr>
              <w:spacing w:line="360" w:lineRule="auto"/>
              <w:jc w:val="both"/>
              <w:rPr>
                <w:rFonts w:ascii="Times New Roman" w:hAnsi="Times New Roman" w:cs="Times New Roman"/>
                <w:sz w:val="24"/>
                <w:szCs w:val="24"/>
              </w:rPr>
            </w:pPr>
            <w:r w:rsidRPr="00C17458">
              <w:rPr>
                <w:rFonts w:ascii="Times New Roman" w:hAnsi="Times New Roman" w:cs="Times New Roman"/>
                <w:sz w:val="24"/>
                <w:szCs w:val="24"/>
              </w:rPr>
              <w:t xml:space="preserve">T4 DNA Ligase </w:t>
            </w:r>
          </w:p>
        </w:tc>
        <w:tc>
          <w:tcPr>
            <w:tcW w:w="2552" w:type="dxa"/>
          </w:tcPr>
          <w:p w14:paraId="0885708A"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1 </w:t>
            </w:r>
            <w:r w:rsidRPr="002E26D2">
              <w:rPr>
                <w:rFonts w:ascii="Symbol" w:eastAsia="Symbol" w:hAnsi="Symbol" w:cs="Symbol"/>
                <w:sz w:val="24"/>
                <w:szCs w:val="24"/>
              </w:rPr>
              <w:t></w:t>
            </w:r>
            <w:r w:rsidRPr="002E26D2">
              <w:rPr>
                <w:rFonts w:ascii="Times New Roman" w:hAnsi="Times New Roman" w:cs="Times New Roman"/>
                <w:sz w:val="24"/>
                <w:szCs w:val="24"/>
              </w:rPr>
              <w:t>L</w:t>
            </w:r>
          </w:p>
        </w:tc>
      </w:tr>
      <w:tr w:rsidR="000B3AF7" w:rsidRPr="002E26D2" w14:paraId="080B7CEC" w14:textId="77777777" w:rsidTr="00C17458">
        <w:trPr>
          <w:trHeight w:val="170"/>
          <w:jc w:val="center"/>
        </w:trPr>
        <w:tc>
          <w:tcPr>
            <w:tcW w:w="3964" w:type="dxa"/>
          </w:tcPr>
          <w:p w14:paraId="3105297D" w14:textId="4DD975D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Total</w:t>
            </w:r>
            <w:r w:rsidR="00A2480A">
              <w:rPr>
                <w:rFonts w:ascii="Times New Roman" w:hAnsi="Times New Roman" w:cs="Times New Roman"/>
                <w:sz w:val="24"/>
                <w:szCs w:val="24"/>
              </w:rPr>
              <w:t xml:space="preserve"> volume</w:t>
            </w:r>
          </w:p>
        </w:tc>
        <w:tc>
          <w:tcPr>
            <w:tcW w:w="2552" w:type="dxa"/>
          </w:tcPr>
          <w:p w14:paraId="2E1573E2"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20 </w:t>
            </w:r>
            <w:r w:rsidRPr="002E26D2">
              <w:rPr>
                <w:rFonts w:ascii="Symbol" w:eastAsia="Symbol" w:hAnsi="Symbol" w:cs="Symbol"/>
                <w:sz w:val="24"/>
                <w:szCs w:val="24"/>
              </w:rPr>
              <w:t></w:t>
            </w:r>
            <w:r w:rsidRPr="002E26D2">
              <w:rPr>
                <w:rFonts w:ascii="Times New Roman" w:hAnsi="Times New Roman" w:cs="Times New Roman"/>
                <w:sz w:val="24"/>
                <w:szCs w:val="24"/>
              </w:rPr>
              <w:t>L</w:t>
            </w:r>
          </w:p>
        </w:tc>
      </w:tr>
    </w:tbl>
    <w:p w14:paraId="6CF4FA0C" w14:textId="77777777" w:rsidR="000B3AF7" w:rsidRPr="002E26D2" w:rsidRDefault="000B3AF7" w:rsidP="004927BB">
      <w:pPr>
        <w:spacing w:line="360" w:lineRule="auto"/>
        <w:jc w:val="both"/>
        <w:rPr>
          <w:rFonts w:ascii="Times New Roman" w:hAnsi="Times New Roman" w:cs="Times New Roman"/>
          <w:sz w:val="24"/>
          <w:szCs w:val="24"/>
        </w:rPr>
      </w:pPr>
    </w:p>
    <w:p w14:paraId="0D2988D6" w14:textId="3264AA1D" w:rsidR="000B3AF7" w:rsidRPr="002E26D2" w:rsidRDefault="000B3AF7" w:rsidP="002E2D58">
      <w:pPr>
        <w:pStyle w:val="Heading4"/>
      </w:pPr>
      <w:bookmarkStart w:id="96" w:name="_Ref105767403"/>
      <w:bookmarkStart w:id="97" w:name="_Toc117153845"/>
      <w:r w:rsidRPr="002E26D2">
        <w:t>Transformation of bacteria by electroporation</w:t>
      </w:r>
      <w:bookmarkEnd w:id="96"/>
      <w:bookmarkEnd w:id="97"/>
    </w:p>
    <w:p w14:paraId="0D733191" w14:textId="04773953"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Freshly produced plasmids were immediately used to transform bacteria and produce stable bacteria</w:t>
      </w:r>
      <w:r w:rsidR="00A7618D">
        <w:rPr>
          <w:rFonts w:ascii="Times New Roman" w:hAnsi="Times New Roman" w:cs="Times New Roman"/>
          <w:sz w:val="24"/>
          <w:szCs w:val="24"/>
        </w:rPr>
        <w:t>l</w:t>
      </w:r>
      <w:r w:rsidRPr="002E26D2">
        <w:rPr>
          <w:rFonts w:ascii="Times New Roman" w:hAnsi="Times New Roman" w:cs="Times New Roman"/>
          <w:sz w:val="24"/>
          <w:szCs w:val="24"/>
        </w:rPr>
        <w:t xml:space="preserve"> colonies carrying the plasmid of interest. Selected bacteria were s</w:t>
      </w:r>
      <w:r w:rsidR="00A7618D">
        <w:rPr>
          <w:rFonts w:ascii="Times New Roman" w:hAnsi="Times New Roman" w:cs="Times New Roman"/>
          <w:sz w:val="24"/>
          <w:szCs w:val="24"/>
        </w:rPr>
        <w:t>tored</w:t>
      </w:r>
      <w:r w:rsidRPr="002E26D2">
        <w:rPr>
          <w:rFonts w:ascii="Times New Roman" w:hAnsi="Times New Roman" w:cs="Times New Roman"/>
          <w:sz w:val="24"/>
          <w:szCs w:val="24"/>
        </w:rPr>
        <w:t xml:space="preserve"> a</w:t>
      </w:r>
      <w:r w:rsidR="00A7618D">
        <w:rPr>
          <w:rFonts w:ascii="Times New Roman" w:hAnsi="Times New Roman" w:cs="Times New Roman"/>
          <w:sz w:val="24"/>
          <w:szCs w:val="24"/>
        </w:rPr>
        <w:t>t</w:t>
      </w:r>
      <w:r w:rsidRPr="002E26D2">
        <w:rPr>
          <w:rFonts w:ascii="Times New Roman" w:hAnsi="Times New Roman" w:cs="Times New Roman"/>
          <w:sz w:val="24"/>
          <w:szCs w:val="24"/>
        </w:rPr>
        <w:t xml:space="preserve"> -80 °C and used for plasmid production o</w:t>
      </w:r>
      <w:r w:rsidR="006E6331">
        <w:rPr>
          <w:rFonts w:ascii="Times New Roman" w:hAnsi="Times New Roman" w:cs="Times New Roman"/>
          <w:sz w:val="24"/>
          <w:szCs w:val="24"/>
        </w:rPr>
        <w:t>r</w:t>
      </w:r>
      <w:r w:rsidRPr="002E26D2">
        <w:rPr>
          <w:rFonts w:ascii="Times New Roman" w:hAnsi="Times New Roman" w:cs="Times New Roman"/>
          <w:sz w:val="24"/>
          <w:szCs w:val="24"/>
        </w:rPr>
        <w:t xml:space="preserve"> for recombinant protein production. Every step involving bacteria was performed under sterile environment </w:t>
      </w:r>
      <w:r w:rsidR="006E6331">
        <w:rPr>
          <w:rFonts w:ascii="Times New Roman" w:hAnsi="Times New Roman" w:cs="Times New Roman"/>
          <w:sz w:val="24"/>
          <w:szCs w:val="24"/>
        </w:rPr>
        <w:t>near a</w:t>
      </w:r>
      <w:r w:rsidRPr="002E26D2">
        <w:rPr>
          <w:rFonts w:ascii="Times New Roman" w:hAnsi="Times New Roman" w:cs="Times New Roman"/>
          <w:sz w:val="24"/>
          <w:szCs w:val="24"/>
        </w:rPr>
        <w:t xml:space="preserve"> benzene burner.</w:t>
      </w:r>
    </w:p>
    <w:p w14:paraId="17414784" w14:textId="76A49F08"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DH5α electrocompetent bacteria were a kind gift of Dr. sc. Nikolina Škrobot Vidaček. The concentration of the plasmid of interest was measured (</w:t>
      </w:r>
      <w:r w:rsidR="007D149E">
        <w:rPr>
          <w:rFonts w:ascii="Times New Roman" w:hAnsi="Times New Roman" w:cs="Times New Roman"/>
          <w:sz w:val="24"/>
          <w:szCs w:val="24"/>
        </w:rPr>
        <w:t xml:space="preserve">section </w:t>
      </w:r>
      <w:r w:rsidR="00DE4D4F" w:rsidRPr="002E26D2">
        <w:rPr>
          <w:rFonts w:ascii="Times New Roman" w:hAnsi="Times New Roman" w:cs="Times New Roman"/>
          <w:sz w:val="24"/>
          <w:szCs w:val="24"/>
        </w:rPr>
        <w:fldChar w:fldCharType="begin"/>
      </w:r>
      <w:r w:rsidR="00DE4D4F" w:rsidRPr="002E26D2">
        <w:rPr>
          <w:rFonts w:ascii="Times New Roman" w:hAnsi="Times New Roman" w:cs="Times New Roman"/>
          <w:sz w:val="24"/>
          <w:szCs w:val="24"/>
        </w:rPr>
        <w:instrText xml:space="preserve"> REF _Ref105767311 \r \h </w:instrText>
      </w:r>
      <w:r w:rsidR="002E26D2" w:rsidRPr="002E26D2">
        <w:rPr>
          <w:rFonts w:ascii="Times New Roman" w:hAnsi="Times New Roman" w:cs="Times New Roman"/>
          <w:sz w:val="24"/>
          <w:szCs w:val="24"/>
        </w:rPr>
        <w:instrText xml:space="preserve"> \* MERGEFORMAT </w:instrText>
      </w:r>
      <w:r w:rsidR="00DE4D4F" w:rsidRPr="002E26D2">
        <w:rPr>
          <w:rFonts w:ascii="Times New Roman" w:hAnsi="Times New Roman" w:cs="Times New Roman"/>
          <w:sz w:val="24"/>
          <w:szCs w:val="24"/>
        </w:rPr>
      </w:r>
      <w:r w:rsidR="00DE4D4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3.2.1.1.4</w:t>
      </w:r>
      <w:r w:rsidR="00DE4D4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and diluted in dH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 at 20 ng/µL</w:t>
      </w:r>
      <w:r w:rsidRPr="007352CA">
        <w:rPr>
          <w:rFonts w:ascii="Times New Roman" w:hAnsi="Times New Roman" w:cs="Times New Roman"/>
          <w:sz w:val="24"/>
          <w:szCs w:val="24"/>
        </w:rPr>
        <w:t>. Electroporation cuvette</w:t>
      </w:r>
      <w:r w:rsidRPr="002E26D2">
        <w:rPr>
          <w:rFonts w:ascii="Times New Roman" w:hAnsi="Times New Roman" w:cs="Times New Roman"/>
          <w:sz w:val="24"/>
          <w:szCs w:val="24"/>
        </w:rPr>
        <w:t xml:space="preserve"> was cooled down at -20 °C overnight. Under the sterile environment of a benzene burner, 1 µL of diluted plasmid was pipetted on top of 40 µL of electrocompetent bacteria, and the mixture was directly transferred into </w:t>
      </w:r>
      <w:r w:rsidRPr="007352CA">
        <w:rPr>
          <w:rFonts w:ascii="Times New Roman" w:hAnsi="Times New Roman" w:cs="Times New Roman"/>
          <w:sz w:val="24"/>
          <w:szCs w:val="24"/>
        </w:rPr>
        <w:t>the electroporation cuvette. Electroporation was performed using the gene pulser xCell system</w:t>
      </w:r>
      <w:r w:rsidRPr="002E26D2">
        <w:rPr>
          <w:rFonts w:ascii="Times New Roman" w:hAnsi="Times New Roman" w:cs="Times New Roman"/>
          <w:sz w:val="24"/>
          <w:szCs w:val="24"/>
        </w:rPr>
        <w:t xml:space="preserve"> and the preset bacterial protocol 2 (</w:t>
      </w:r>
      <w:r w:rsidRPr="003A2FAE">
        <w:rPr>
          <w:rFonts w:ascii="Times New Roman" w:hAnsi="Times New Roman" w:cs="Times New Roman"/>
          <w:i/>
          <w:iCs/>
          <w:sz w:val="24"/>
          <w:szCs w:val="24"/>
        </w:rPr>
        <w:t>E. coli</w:t>
      </w:r>
      <w:r w:rsidRPr="002E26D2">
        <w:rPr>
          <w:rFonts w:ascii="Times New Roman" w:hAnsi="Times New Roman" w:cs="Times New Roman"/>
          <w:sz w:val="24"/>
          <w:szCs w:val="24"/>
        </w:rPr>
        <w:t xml:space="preserve">, exponential decay, 25 µF, 200 </w:t>
      </w:r>
      <w:r w:rsidR="006E6331">
        <w:rPr>
          <w:rFonts w:ascii="Times New Roman" w:hAnsi="Times New Roman" w:cs="Times New Roman"/>
          <w:sz w:val="24"/>
          <w:szCs w:val="24"/>
        </w:rPr>
        <w:t>Ω</w:t>
      </w:r>
      <w:r w:rsidRPr="002E26D2">
        <w:rPr>
          <w:rFonts w:ascii="Times New Roman" w:hAnsi="Times New Roman" w:cs="Times New Roman"/>
          <w:sz w:val="24"/>
          <w:szCs w:val="24"/>
        </w:rPr>
        <w:t xml:space="preserve">, 2500 V, 2 mm cuvette). Bacteria were immediately transferred into 1 mL </w:t>
      </w:r>
      <w:r w:rsidRPr="002F0FF1">
        <w:rPr>
          <w:rFonts w:ascii="Times New Roman" w:hAnsi="Times New Roman" w:cs="Times New Roman"/>
          <w:sz w:val="24"/>
          <w:szCs w:val="24"/>
        </w:rPr>
        <w:t xml:space="preserve">of liquid LB without antibiotic in 1.5 mL tube for recovery, and mixed by inversion. The tube was incubated on </w:t>
      </w:r>
      <w:r w:rsidR="006E6331" w:rsidRPr="002F0FF1">
        <w:rPr>
          <w:rFonts w:ascii="Times New Roman" w:hAnsi="Times New Roman" w:cs="Times New Roman"/>
          <w:sz w:val="24"/>
          <w:szCs w:val="24"/>
        </w:rPr>
        <w:t xml:space="preserve">a </w:t>
      </w:r>
      <w:r w:rsidRPr="002F0FF1">
        <w:rPr>
          <w:rFonts w:ascii="Times New Roman" w:hAnsi="Times New Roman" w:cs="Times New Roman"/>
          <w:sz w:val="24"/>
          <w:szCs w:val="24"/>
        </w:rPr>
        <w:t xml:space="preserve">thermoshaker for 1 h at 37 °C, 200 rpm. Bacteria were plated on solid LB complemented with a specific antibiotic (LB+Kan </w:t>
      </w:r>
      <w:r w:rsidRPr="002F0FF1">
        <w:rPr>
          <w:rFonts w:ascii="Times New Roman" w:hAnsi="Times New Roman" w:cs="Times New Roman"/>
          <w:sz w:val="24"/>
          <w:szCs w:val="24"/>
        </w:rPr>
        <w:lastRenderedPageBreak/>
        <w:t>for selection of the pET28b and pEGFP plasmids, LB+Amp for pcDNA 3.1 plasmids) at low density (50 µL of transformed bacteria) and high density (300 µL of transformed bacteria). Plates were incubated overnight at 37 °C. The next day, single colonies were selected, inoculated in 5 mL of liquid LB+antibiotic and incubated overnight at 37 °C with vigorous</w:t>
      </w:r>
      <w:r w:rsidRPr="002E26D2">
        <w:rPr>
          <w:rFonts w:ascii="Times New Roman" w:hAnsi="Times New Roman" w:cs="Times New Roman"/>
          <w:sz w:val="24"/>
          <w:szCs w:val="24"/>
        </w:rPr>
        <w:t xml:space="preserve"> shaking. Colonies were stored in a bank at -80 °C after mixing 1.4 mL of the overnight liquid culture with 0.6 mL of sterile 50 % glycerol. The rest of the overnight culture was used to extract plasmid </w:t>
      </w:r>
      <w:r w:rsidRPr="002F0FF1">
        <w:rPr>
          <w:rFonts w:ascii="Times New Roman" w:hAnsi="Times New Roman" w:cs="Times New Roman"/>
          <w:sz w:val="24"/>
          <w:szCs w:val="24"/>
        </w:rPr>
        <w:t>using QIAprep spin miniprep kit according to the manufacturer’s instructions. DNA concentration was measured as described earlier (</w:t>
      </w:r>
      <w:r w:rsidR="007E69C6" w:rsidRPr="002F0FF1">
        <w:rPr>
          <w:rFonts w:ascii="Times New Roman" w:hAnsi="Times New Roman" w:cs="Times New Roman"/>
          <w:sz w:val="24"/>
          <w:szCs w:val="24"/>
        </w:rPr>
        <w:t xml:space="preserve">section </w:t>
      </w:r>
      <w:r w:rsidR="00DE4D4F" w:rsidRPr="002F0FF1">
        <w:rPr>
          <w:rFonts w:ascii="Times New Roman" w:hAnsi="Times New Roman" w:cs="Times New Roman"/>
          <w:sz w:val="24"/>
          <w:szCs w:val="24"/>
        </w:rPr>
        <w:fldChar w:fldCharType="begin"/>
      </w:r>
      <w:r w:rsidR="00DE4D4F" w:rsidRPr="002F0FF1">
        <w:rPr>
          <w:rFonts w:ascii="Times New Roman" w:hAnsi="Times New Roman" w:cs="Times New Roman"/>
          <w:sz w:val="24"/>
          <w:szCs w:val="24"/>
        </w:rPr>
        <w:instrText xml:space="preserve"> REF _Ref105767311 \r \h </w:instrText>
      </w:r>
      <w:r w:rsidR="002E26D2" w:rsidRPr="002F0FF1">
        <w:rPr>
          <w:rFonts w:ascii="Times New Roman" w:hAnsi="Times New Roman" w:cs="Times New Roman"/>
          <w:sz w:val="24"/>
          <w:szCs w:val="24"/>
        </w:rPr>
        <w:instrText xml:space="preserve"> \* MERGEFORMAT </w:instrText>
      </w:r>
      <w:r w:rsidR="00DE4D4F" w:rsidRPr="002F0FF1">
        <w:rPr>
          <w:rFonts w:ascii="Times New Roman" w:hAnsi="Times New Roman" w:cs="Times New Roman"/>
          <w:sz w:val="24"/>
          <w:szCs w:val="24"/>
        </w:rPr>
      </w:r>
      <w:r w:rsidR="00DE4D4F"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3.2.1.1.4</w:t>
      </w:r>
      <w:r w:rsidR="00DE4D4F" w:rsidRPr="002F0FF1">
        <w:rPr>
          <w:rFonts w:ascii="Times New Roman" w:hAnsi="Times New Roman" w:cs="Times New Roman"/>
          <w:sz w:val="24"/>
          <w:szCs w:val="24"/>
        </w:rPr>
        <w:fldChar w:fldCharType="end"/>
      </w:r>
      <w:r w:rsidRPr="002F0FF1">
        <w:rPr>
          <w:rFonts w:ascii="Times New Roman" w:hAnsi="Times New Roman" w:cs="Times New Roman"/>
          <w:sz w:val="24"/>
          <w:szCs w:val="24"/>
        </w:rPr>
        <w:t>). The presence of the plasmid of interest within the colony was crosschecked by enzymatic digestion (</w:t>
      </w:r>
      <w:r w:rsidR="007E69C6" w:rsidRPr="002F0FF1">
        <w:rPr>
          <w:rFonts w:ascii="Times New Roman" w:hAnsi="Times New Roman" w:cs="Times New Roman"/>
          <w:sz w:val="24"/>
          <w:szCs w:val="24"/>
        </w:rPr>
        <w:t xml:space="preserve">section </w:t>
      </w:r>
      <w:r w:rsidR="00DE4D4F" w:rsidRPr="002F0FF1">
        <w:rPr>
          <w:rFonts w:ascii="Times New Roman" w:hAnsi="Times New Roman" w:cs="Times New Roman"/>
          <w:sz w:val="24"/>
          <w:szCs w:val="24"/>
        </w:rPr>
        <w:fldChar w:fldCharType="begin"/>
      </w:r>
      <w:r w:rsidR="00DE4D4F" w:rsidRPr="002F0FF1">
        <w:rPr>
          <w:rFonts w:ascii="Times New Roman" w:hAnsi="Times New Roman" w:cs="Times New Roman"/>
          <w:sz w:val="24"/>
          <w:szCs w:val="24"/>
        </w:rPr>
        <w:instrText xml:space="preserve"> REF _Ref105767464 \r \h </w:instrText>
      </w:r>
      <w:r w:rsidR="002E26D2" w:rsidRPr="002F0FF1">
        <w:rPr>
          <w:rFonts w:ascii="Times New Roman" w:hAnsi="Times New Roman" w:cs="Times New Roman"/>
          <w:sz w:val="24"/>
          <w:szCs w:val="24"/>
        </w:rPr>
        <w:instrText xml:space="preserve"> \* MERGEFORMAT </w:instrText>
      </w:r>
      <w:r w:rsidR="00DE4D4F" w:rsidRPr="002F0FF1">
        <w:rPr>
          <w:rFonts w:ascii="Times New Roman" w:hAnsi="Times New Roman" w:cs="Times New Roman"/>
          <w:sz w:val="24"/>
          <w:szCs w:val="24"/>
        </w:rPr>
      </w:r>
      <w:r w:rsidR="00DE4D4F"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3.2.1.1.5</w:t>
      </w:r>
      <w:r w:rsidR="00DE4D4F"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using relevant restriction enzymes listed in </w:t>
      </w:r>
      <w:r w:rsidR="005F1542" w:rsidRPr="002F0FF1">
        <w:rPr>
          <w:rFonts w:ascii="Times New Roman" w:hAnsi="Times New Roman" w:cs="Times New Roman"/>
          <w:sz w:val="24"/>
          <w:szCs w:val="24"/>
        </w:rPr>
        <w:fldChar w:fldCharType="begin"/>
      </w:r>
      <w:r w:rsidR="005F1542" w:rsidRPr="002F0FF1">
        <w:rPr>
          <w:rFonts w:ascii="Times New Roman" w:hAnsi="Times New Roman" w:cs="Times New Roman"/>
          <w:sz w:val="24"/>
          <w:szCs w:val="24"/>
        </w:rPr>
        <w:instrText xml:space="preserve"> REF _Ref107320463 \h </w:instrText>
      </w:r>
      <w:r w:rsidR="002F0FF1" w:rsidRPr="002F0FF1">
        <w:rPr>
          <w:rFonts w:ascii="Times New Roman" w:hAnsi="Times New Roman" w:cs="Times New Roman"/>
          <w:sz w:val="24"/>
          <w:szCs w:val="24"/>
        </w:rPr>
        <w:instrText xml:space="preserve"> \* MERGEFORMAT </w:instrText>
      </w:r>
      <w:r w:rsidR="005F1542" w:rsidRPr="002F0FF1">
        <w:rPr>
          <w:rFonts w:ascii="Times New Roman" w:hAnsi="Times New Roman" w:cs="Times New Roman"/>
          <w:sz w:val="24"/>
          <w:szCs w:val="24"/>
        </w:rPr>
      </w:r>
      <w:r w:rsidR="005F1542" w:rsidRPr="002F0FF1">
        <w:rPr>
          <w:rFonts w:ascii="Times New Roman" w:hAnsi="Times New Roman" w:cs="Times New Roman"/>
          <w:sz w:val="24"/>
          <w:szCs w:val="24"/>
        </w:rPr>
        <w:fldChar w:fldCharType="separate"/>
      </w:r>
      <w:r w:rsidR="00790F77" w:rsidRPr="00C838B5">
        <w:rPr>
          <w:rFonts w:ascii="Times New Roman" w:hAnsi="Times New Roman" w:cs="Times New Roman"/>
          <w:sz w:val="24"/>
          <w:szCs w:val="24"/>
        </w:rPr>
        <w:t xml:space="preserve">Table </w:t>
      </w:r>
      <w:r w:rsidR="00790F77">
        <w:rPr>
          <w:rFonts w:ascii="Times New Roman" w:hAnsi="Times New Roman" w:cs="Times New Roman"/>
          <w:noProof/>
          <w:sz w:val="24"/>
          <w:szCs w:val="24"/>
        </w:rPr>
        <w:t>12</w:t>
      </w:r>
      <w:r w:rsidR="005F1542" w:rsidRPr="002F0FF1">
        <w:rPr>
          <w:rFonts w:ascii="Times New Roman" w:hAnsi="Times New Roman" w:cs="Times New Roman"/>
          <w:sz w:val="24"/>
          <w:szCs w:val="24"/>
        </w:rPr>
        <w:fldChar w:fldCharType="end"/>
      </w:r>
      <w:r w:rsidRPr="002F0FF1">
        <w:rPr>
          <w:rFonts w:ascii="Times New Roman" w:hAnsi="Times New Roman" w:cs="Times New Roman"/>
          <w:sz w:val="24"/>
          <w:szCs w:val="24"/>
        </w:rPr>
        <w:t>. Digested plasmids were subjected to gel electrophoresis (</w:t>
      </w:r>
      <w:r w:rsidR="007E69C6" w:rsidRPr="002F0FF1">
        <w:rPr>
          <w:rFonts w:ascii="Times New Roman" w:hAnsi="Times New Roman" w:cs="Times New Roman"/>
          <w:sz w:val="24"/>
          <w:szCs w:val="24"/>
        </w:rPr>
        <w:t xml:space="preserve">section </w:t>
      </w:r>
      <w:r w:rsidR="00DE4D4F" w:rsidRPr="002F0FF1">
        <w:rPr>
          <w:rFonts w:ascii="Times New Roman" w:hAnsi="Times New Roman" w:cs="Times New Roman"/>
          <w:sz w:val="24"/>
          <w:szCs w:val="24"/>
        </w:rPr>
        <w:fldChar w:fldCharType="begin"/>
      </w:r>
      <w:r w:rsidR="00DE4D4F" w:rsidRPr="002F0FF1">
        <w:rPr>
          <w:rFonts w:ascii="Times New Roman" w:hAnsi="Times New Roman" w:cs="Times New Roman"/>
          <w:sz w:val="24"/>
          <w:szCs w:val="24"/>
        </w:rPr>
        <w:instrText xml:space="preserve"> REF _Ref105767472 \r \h </w:instrText>
      </w:r>
      <w:r w:rsidR="002E26D2" w:rsidRPr="002F0FF1">
        <w:rPr>
          <w:rFonts w:ascii="Times New Roman" w:hAnsi="Times New Roman" w:cs="Times New Roman"/>
          <w:sz w:val="24"/>
          <w:szCs w:val="24"/>
        </w:rPr>
        <w:instrText xml:space="preserve"> \* MERGEFORMAT </w:instrText>
      </w:r>
      <w:r w:rsidR="00DE4D4F" w:rsidRPr="002F0FF1">
        <w:rPr>
          <w:rFonts w:ascii="Times New Roman" w:hAnsi="Times New Roman" w:cs="Times New Roman"/>
          <w:sz w:val="24"/>
          <w:szCs w:val="24"/>
        </w:rPr>
      </w:r>
      <w:r w:rsidR="00DE4D4F"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3.2.1.1.2</w:t>
      </w:r>
      <w:r w:rsidR="00DE4D4F" w:rsidRPr="002F0FF1">
        <w:rPr>
          <w:rFonts w:ascii="Times New Roman" w:hAnsi="Times New Roman" w:cs="Times New Roman"/>
          <w:sz w:val="24"/>
          <w:szCs w:val="24"/>
        </w:rPr>
        <w:fldChar w:fldCharType="end"/>
      </w:r>
      <w:r w:rsidRPr="002F0FF1">
        <w:rPr>
          <w:rFonts w:ascii="Times New Roman" w:hAnsi="Times New Roman" w:cs="Times New Roman"/>
          <w:sz w:val="24"/>
          <w:szCs w:val="24"/>
        </w:rPr>
        <w:t>) using a mix of 1 µL of sample diluted in 2 µL 5</w:t>
      </w:r>
      <w:r w:rsidRPr="002F0FF1">
        <w:rPr>
          <w:rFonts w:ascii="Times New Roman" w:eastAsia="Times New Roman" w:hAnsi="Times New Roman" w:cs="Times New Roman"/>
          <w:color w:val="000000"/>
          <w:sz w:val="24"/>
          <w:szCs w:val="24"/>
        </w:rPr>
        <w:t>×</w:t>
      </w:r>
      <w:r w:rsidRPr="002F0FF1">
        <w:rPr>
          <w:rFonts w:ascii="Times New Roman" w:hAnsi="Times New Roman" w:cs="Times New Roman"/>
          <w:sz w:val="24"/>
          <w:szCs w:val="24"/>
        </w:rPr>
        <w:t xml:space="preserve">LB and 7 µL </w:t>
      </w:r>
      <w:r w:rsidR="00E4779C" w:rsidRPr="002F0FF1">
        <w:rPr>
          <w:rFonts w:ascii="Times New Roman" w:hAnsi="Times New Roman" w:cs="Times New Roman"/>
          <w:sz w:val="24"/>
          <w:szCs w:val="24"/>
        </w:rPr>
        <w:t>q</w:t>
      </w:r>
      <w:r w:rsidRPr="002F0FF1">
        <w:rPr>
          <w:rFonts w:ascii="Times New Roman" w:hAnsi="Times New Roman" w:cs="Times New Roman"/>
          <w:sz w:val="24"/>
          <w:szCs w:val="24"/>
        </w:rPr>
        <w:t>H</w:t>
      </w:r>
      <w:r w:rsidRPr="002F0FF1">
        <w:rPr>
          <w:rFonts w:ascii="Times New Roman" w:hAnsi="Times New Roman" w:cs="Times New Roman"/>
          <w:sz w:val="24"/>
          <w:szCs w:val="24"/>
          <w:vertAlign w:val="subscript"/>
        </w:rPr>
        <w:t>2</w:t>
      </w:r>
      <w:r w:rsidRPr="002F0FF1">
        <w:rPr>
          <w:rFonts w:ascii="Times New Roman" w:hAnsi="Times New Roman" w:cs="Times New Roman"/>
          <w:sz w:val="24"/>
          <w:szCs w:val="24"/>
        </w:rPr>
        <w:t>O.</w:t>
      </w:r>
      <w:r w:rsidR="00C520DD" w:rsidRPr="002F0FF1">
        <w:rPr>
          <w:rFonts w:ascii="Times New Roman" w:hAnsi="Times New Roman" w:cs="Times New Roman"/>
          <w:sz w:val="24"/>
          <w:szCs w:val="24"/>
        </w:rPr>
        <w:t xml:space="preserve"> </w:t>
      </w:r>
      <w:r w:rsidR="00C05B8F" w:rsidRPr="002F0FF1">
        <w:rPr>
          <w:rFonts w:ascii="Times New Roman" w:hAnsi="Times New Roman" w:cs="Times New Roman"/>
          <w:sz w:val="24"/>
          <w:szCs w:val="24"/>
        </w:rPr>
        <w:t>Plasmids were sent to sequencing to control the cloning</w:t>
      </w:r>
      <w:r w:rsidR="00C05B8F">
        <w:rPr>
          <w:rFonts w:ascii="Times New Roman" w:hAnsi="Times New Roman" w:cs="Times New Roman"/>
          <w:sz w:val="24"/>
          <w:szCs w:val="24"/>
        </w:rPr>
        <w:t>.</w:t>
      </w:r>
    </w:p>
    <w:p w14:paraId="39330975" w14:textId="1A4FD822" w:rsidR="000B3AF7" w:rsidRPr="002E26D2" w:rsidRDefault="000B3AF7" w:rsidP="002E2D58">
      <w:pPr>
        <w:pStyle w:val="Heading4"/>
      </w:pPr>
      <w:bookmarkStart w:id="98" w:name="_Toc97118577"/>
      <w:bookmarkStart w:id="99" w:name="_Toc97118578"/>
      <w:bookmarkStart w:id="100" w:name="_Ref105768323"/>
      <w:bookmarkStart w:id="101" w:name="_Toc117153846"/>
      <w:bookmarkEnd w:id="98"/>
      <w:bookmarkEnd w:id="99"/>
      <w:r w:rsidRPr="002E26D2">
        <w:t>Production of recombinant proteins</w:t>
      </w:r>
      <w:bookmarkEnd w:id="100"/>
      <w:bookmarkEnd w:id="101"/>
    </w:p>
    <w:p w14:paraId="75FE8CD1" w14:textId="0CF1E4E0"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For enzymatic and structural analysis of NME6, human NME6-186-His and NME6-194-His proteins were produced in bacterial systems. Proteins were extracted and purified by immobilized metal affinity chromatography (IMAC), using the natural affinity of the His-tag for the positively charged metal ions (Ni</w:t>
      </w:r>
      <w:r w:rsidRPr="002E26D2">
        <w:rPr>
          <w:rFonts w:ascii="Times New Roman" w:hAnsi="Times New Roman" w:cs="Times New Roman"/>
          <w:sz w:val="24"/>
          <w:szCs w:val="24"/>
          <w:vertAlign w:val="superscript"/>
        </w:rPr>
        <w:t>2+</w:t>
      </w:r>
      <w:r w:rsidRPr="002E26D2">
        <w:rPr>
          <w:rFonts w:ascii="Times New Roman" w:hAnsi="Times New Roman" w:cs="Times New Roman"/>
          <w:sz w:val="24"/>
          <w:szCs w:val="24"/>
        </w:rPr>
        <w:t>, Co</w:t>
      </w:r>
      <w:r w:rsidRPr="002E26D2">
        <w:rPr>
          <w:rFonts w:ascii="Times New Roman" w:hAnsi="Times New Roman" w:cs="Times New Roman"/>
          <w:sz w:val="24"/>
          <w:szCs w:val="24"/>
          <w:vertAlign w:val="superscript"/>
        </w:rPr>
        <w:t>2+</w:t>
      </w:r>
      <w:r w:rsidRPr="002E26D2">
        <w:rPr>
          <w:rFonts w:ascii="Times New Roman" w:hAnsi="Times New Roman" w:cs="Times New Roman"/>
          <w:sz w:val="24"/>
          <w:szCs w:val="24"/>
        </w:rPr>
        <w:t>, Cu</w:t>
      </w:r>
      <w:r w:rsidRPr="002E26D2">
        <w:rPr>
          <w:rFonts w:ascii="Times New Roman" w:hAnsi="Times New Roman" w:cs="Times New Roman"/>
          <w:sz w:val="24"/>
          <w:szCs w:val="24"/>
          <w:vertAlign w:val="superscript"/>
        </w:rPr>
        <w:t>2+</w:t>
      </w:r>
      <w:r w:rsidRPr="002E26D2">
        <w:rPr>
          <w:rFonts w:ascii="Times New Roman" w:hAnsi="Times New Roman" w:cs="Times New Roman"/>
          <w:sz w:val="24"/>
          <w:szCs w:val="24"/>
        </w:rPr>
        <w:t xml:space="preserve"> and Zn</w:t>
      </w:r>
      <w:r w:rsidRPr="002E26D2">
        <w:rPr>
          <w:rFonts w:ascii="Times New Roman" w:hAnsi="Times New Roman" w:cs="Times New Roman"/>
          <w:sz w:val="24"/>
          <w:szCs w:val="24"/>
          <w:vertAlign w:val="superscript"/>
        </w:rPr>
        <w:t>2+</w:t>
      </w:r>
      <w:r w:rsidRPr="002E26D2">
        <w:rPr>
          <w:rFonts w:ascii="Times New Roman" w:hAnsi="Times New Roman" w:cs="Times New Roman"/>
          <w:sz w:val="24"/>
          <w:szCs w:val="24"/>
        </w:rPr>
        <w:t xml:space="preserve">) immobilized in </w:t>
      </w:r>
      <w:r w:rsidR="006E6331">
        <w:rPr>
          <w:rFonts w:ascii="Times New Roman" w:hAnsi="Times New Roman" w:cs="Times New Roman"/>
          <w:sz w:val="24"/>
          <w:szCs w:val="24"/>
        </w:rPr>
        <w:t>the</w:t>
      </w:r>
      <w:r w:rsidRPr="002E26D2">
        <w:rPr>
          <w:rFonts w:ascii="Times New Roman" w:hAnsi="Times New Roman" w:cs="Times New Roman"/>
          <w:sz w:val="24"/>
          <w:szCs w:val="24"/>
        </w:rPr>
        <w:t xml:space="preserve"> resin. Pure eluted NME6-His proteins underwent buffer exchange and concentration before storage in</w:t>
      </w:r>
      <w:r w:rsidR="0011755E">
        <w:rPr>
          <w:rFonts w:ascii="Times New Roman" w:hAnsi="Times New Roman" w:cs="Times New Roman"/>
          <w:sz w:val="24"/>
          <w:szCs w:val="24"/>
        </w:rPr>
        <w:t xml:space="preserve"> </w:t>
      </w:r>
      <w:r w:rsidRPr="002E26D2">
        <w:rPr>
          <w:rFonts w:ascii="Times New Roman" w:hAnsi="Times New Roman" w:cs="Times New Roman"/>
          <w:sz w:val="24"/>
          <w:szCs w:val="24"/>
        </w:rPr>
        <w:t>-</w:t>
      </w:r>
      <w:r w:rsidR="0011755E">
        <w:rPr>
          <w:rFonts w:ascii="Times New Roman" w:hAnsi="Times New Roman" w:cs="Times New Roman"/>
          <w:sz w:val="24"/>
          <w:szCs w:val="24"/>
        </w:rPr>
        <w:t> </w:t>
      </w:r>
      <w:r w:rsidRPr="002E26D2">
        <w:rPr>
          <w:rFonts w:ascii="Times New Roman" w:hAnsi="Times New Roman" w:cs="Times New Roman"/>
          <w:sz w:val="24"/>
          <w:szCs w:val="24"/>
        </w:rPr>
        <w:t>80</w:t>
      </w:r>
      <w:r w:rsidR="0011755E">
        <w:rPr>
          <w:rFonts w:ascii="Times New Roman" w:hAnsi="Times New Roman" w:cs="Times New Roman"/>
          <w:sz w:val="24"/>
          <w:szCs w:val="24"/>
        </w:rPr>
        <w:t> </w:t>
      </w:r>
      <w:r w:rsidRPr="002E26D2">
        <w:rPr>
          <w:rFonts w:ascii="Times New Roman" w:hAnsi="Times New Roman" w:cs="Times New Roman"/>
          <w:sz w:val="24"/>
          <w:szCs w:val="24"/>
        </w:rPr>
        <w:t>°C. The human NME1-His purified protein, already prepared following the same protocol, was a kind gift from Dr. sc. Helena Ćetković.</w:t>
      </w:r>
    </w:p>
    <w:p w14:paraId="119B7BAD" w14:textId="1861A633" w:rsidR="000B3AF7" w:rsidRPr="002E26D2" w:rsidRDefault="000D68C1" w:rsidP="00B23BAE">
      <w:pPr>
        <w:pStyle w:val="Heading5"/>
      </w:pPr>
      <w:bookmarkStart w:id="102" w:name="_Ref105767530"/>
      <w:r w:rsidRPr="002E26D2">
        <w:t xml:space="preserve">Large scale production of </w:t>
      </w:r>
      <w:r w:rsidR="00853A92">
        <w:t>NME</w:t>
      </w:r>
      <w:r w:rsidRPr="002E26D2">
        <w:t>6-</w:t>
      </w:r>
      <w:r w:rsidR="0054393F">
        <w:t>H</w:t>
      </w:r>
      <w:r w:rsidRPr="002E26D2">
        <w:t>is recombinant proteins</w:t>
      </w:r>
      <w:bookmarkEnd w:id="102"/>
    </w:p>
    <w:p w14:paraId="14E4588B"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Glass material, LB, tips and pipettes were sterilized and used under the sterile environment of a benzene burner until the harvesting of the large-scale bacteria culture. After harvesting, the samples were constantly kept on ice to avoid protein degradation.</w:t>
      </w:r>
    </w:p>
    <w:p w14:paraId="172584EB" w14:textId="591F67FE" w:rsidR="000B3AF7" w:rsidRPr="002F0FF1"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Bacteria carrying plasmid pET28b-NME6-194-His or pET28b-NME6-186-His were inoculated into </w:t>
      </w:r>
      <w:r w:rsidRPr="002F0FF1">
        <w:rPr>
          <w:rFonts w:ascii="Times New Roman" w:hAnsi="Times New Roman" w:cs="Times New Roman"/>
          <w:sz w:val="24"/>
          <w:szCs w:val="24"/>
        </w:rPr>
        <w:t>12 mL of liquid LB+Kan and incubated overnight (18 h) at 37 °C with vigorous shaking. The next day, 10 mL of the overnight culture was used to inoculate 1 L of liquid LB+Kan, and divided in two Erlenmeyer of 2 L volume (i.e. 0.5</w:t>
      </w:r>
      <w:r w:rsidR="00C77E84" w:rsidRPr="002F0FF1">
        <w:rPr>
          <w:rFonts w:ascii="Times New Roman" w:hAnsi="Times New Roman" w:cs="Times New Roman"/>
          <w:sz w:val="24"/>
          <w:szCs w:val="24"/>
        </w:rPr>
        <w:t xml:space="preserve"> </w:t>
      </w:r>
      <w:r w:rsidRPr="002F0FF1">
        <w:rPr>
          <w:rFonts w:ascii="Times New Roman" w:hAnsi="Times New Roman" w:cs="Times New Roman"/>
          <w:sz w:val="24"/>
          <w:szCs w:val="24"/>
        </w:rPr>
        <w:t>L of bacterial culture per Erlenmeyer). Bacterial cultures were incubated at 37 °C with vigorous shaking until OD</w:t>
      </w:r>
      <w:r w:rsidRPr="002F0FF1">
        <w:rPr>
          <w:rFonts w:ascii="Times New Roman" w:hAnsi="Times New Roman" w:cs="Times New Roman"/>
          <w:sz w:val="24"/>
          <w:szCs w:val="24"/>
          <w:vertAlign w:val="subscript"/>
        </w:rPr>
        <w:t>600</w:t>
      </w:r>
      <w:r w:rsidRPr="002F0FF1">
        <w:rPr>
          <w:rFonts w:ascii="Times New Roman" w:hAnsi="Times New Roman" w:cs="Times New Roman"/>
          <w:sz w:val="24"/>
          <w:szCs w:val="24"/>
        </w:rPr>
        <w:t xml:space="preserve"> of 0.7-0.8 was reached. Protein production was induced by addition of IPTG in the culture medi</w:t>
      </w:r>
      <w:r w:rsidR="0088464D" w:rsidRPr="002F0FF1">
        <w:rPr>
          <w:rFonts w:ascii="Times New Roman" w:hAnsi="Times New Roman" w:cs="Times New Roman"/>
          <w:sz w:val="24"/>
          <w:szCs w:val="24"/>
        </w:rPr>
        <w:t>um</w:t>
      </w:r>
      <w:r w:rsidRPr="002F0FF1">
        <w:rPr>
          <w:rFonts w:ascii="Times New Roman" w:hAnsi="Times New Roman" w:cs="Times New Roman"/>
          <w:sz w:val="24"/>
          <w:szCs w:val="24"/>
        </w:rPr>
        <w:t xml:space="preserve"> at 0.1 mM final</w:t>
      </w:r>
      <w:r w:rsidR="0065594A" w:rsidRPr="002F0FF1">
        <w:rPr>
          <w:rFonts w:ascii="Times New Roman" w:hAnsi="Times New Roman" w:cs="Times New Roman"/>
          <w:sz w:val="24"/>
          <w:szCs w:val="24"/>
        </w:rPr>
        <w:t xml:space="preserve"> concentration</w:t>
      </w:r>
      <w:r w:rsidRPr="002F0FF1">
        <w:rPr>
          <w:rFonts w:ascii="Times New Roman" w:hAnsi="Times New Roman" w:cs="Times New Roman"/>
          <w:sz w:val="24"/>
          <w:szCs w:val="24"/>
        </w:rPr>
        <w:t>. The culture was immediately incubated at 16 °C overnight (20 h) with vigorous shaking using Innova 40 incubator.</w:t>
      </w:r>
      <w:r w:rsidRPr="002E26D2">
        <w:rPr>
          <w:rFonts w:ascii="Times New Roman" w:hAnsi="Times New Roman" w:cs="Times New Roman"/>
          <w:sz w:val="24"/>
          <w:szCs w:val="24"/>
        </w:rPr>
        <w:t xml:space="preserve"> The next day, bacteria were </w:t>
      </w:r>
      <w:r w:rsidRPr="002E26D2">
        <w:rPr>
          <w:rFonts w:ascii="Times New Roman" w:hAnsi="Times New Roman" w:cs="Times New Roman"/>
          <w:sz w:val="24"/>
          <w:szCs w:val="24"/>
        </w:rPr>
        <w:lastRenderedPageBreak/>
        <w:t xml:space="preserve">separately harvested by centrifugation at 4 000 g for 30 min, 4 °C (one tube per Erlenmeyer). Resulting pellets were separately resuspended in 40 mL </w:t>
      </w:r>
      <w:r w:rsidRPr="002F0FF1">
        <w:rPr>
          <w:rFonts w:ascii="Times New Roman" w:hAnsi="Times New Roman" w:cs="Times New Roman"/>
          <w:sz w:val="24"/>
          <w:szCs w:val="24"/>
        </w:rPr>
        <w:t xml:space="preserve">of resuspension buffer and transferred in two 50 mL centrifugation tubes. Bacteria were centrifuged at 16 000 g, 4 °C, 5 min. The supernatant was discarded while the pellets were immediately stored at -80 °C overnight. The next day, each pellet was resuspended in 10 mL of resuspension buffer supplemented with imidazole and combined. Lysozyme was added at a final concentration of 1 mg/mL and sample was incubated on ice for 15 min. The sample was sonicated on ice using the CP 130 sonicator with 6 mm probe, 8 </w:t>
      </w:r>
      <w:r w:rsidR="0093048F" w:rsidRPr="002F0FF1">
        <w:rPr>
          <w:rFonts w:cstheme="minorHAnsi"/>
        </w:rPr>
        <w:t>×</w:t>
      </w:r>
      <w:r w:rsidRPr="002F0FF1">
        <w:rPr>
          <w:rFonts w:ascii="Times New Roman" w:hAnsi="Times New Roman" w:cs="Times New Roman"/>
          <w:sz w:val="24"/>
          <w:szCs w:val="24"/>
        </w:rPr>
        <w:t xml:space="preserve"> 30 s with 1 min cooling period between each burst, amplitude 40, output 10 watt. Sample was centrifuged at 16 000 g for 30 min at 10 °C. The supernatant was saved in a new tube and filtered through a 0.20 µm pore filter</w:t>
      </w:r>
      <w:r w:rsidR="00435BB8" w:rsidRPr="002F0FF1">
        <w:rPr>
          <w:rFonts w:ascii="Times New Roman" w:hAnsi="Times New Roman" w:cs="Times New Roman"/>
          <w:sz w:val="24"/>
          <w:szCs w:val="24"/>
        </w:rPr>
        <w:t xml:space="preserve">, and named </w:t>
      </w:r>
      <w:r w:rsidRPr="002F0FF1">
        <w:rPr>
          <w:rFonts w:ascii="Times New Roman" w:hAnsi="Times New Roman" w:cs="Times New Roman"/>
          <w:sz w:val="24"/>
          <w:szCs w:val="24"/>
        </w:rPr>
        <w:t>“Filtrate”. The “</w:t>
      </w:r>
      <w:r w:rsidRPr="002F0FF1">
        <w:rPr>
          <w:rFonts w:ascii="Times New Roman" w:hAnsi="Times New Roman" w:cs="Times New Roman"/>
          <w:sz w:val="24"/>
          <w:szCs w:val="24"/>
          <w:u w:val="single"/>
        </w:rPr>
        <w:t>Filtrate”</w:t>
      </w:r>
      <w:r w:rsidRPr="002F0FF1">
        <w:rPr>
          <w:rFonts w:ascii="Times New Roman" w:hAnsi="Times New Roman" w:cs="Times New Roman"/>
          <w:sz w:val="24"/>
          <w:szCs w:val="24"/>
        </w:rPr>
        <w:t xml:space="preserve"> was saved on ice until IMAC purification (</w:t>
      </w:r>
      <w:r w:rsidR="008B272D" w:rsidRPr="002F0FF1">
        <w:rPr>
          <w:rFonts w:ascii="Times New Roman" w:hAnsi="Times New Roman" w:cs="Times New Roman"/>
          <w:sz w:val="24"/>
          <w:szCs w:val="24"/>
        </w:rPr>
        <w:t xml:space="preserve">section </w:t>
      </w:r>
      <w:r w:rsidR="00DE4D4F" w:rsidRPr="002F0FF1">
        <w:rPr>
          <w:rFonts w:ascii="Times New Roman" w:hAnsi="Times New Roman" w:cs="Times New Roman"/>
          <w:sz w:val="24"/>
          <w:szCs w:val="24"/>
        </w:rPr>
        <w:fldChar w:fldCharType="begin"/>
      </w:r>
      <w:r w:rsidR="00DE4D4F" w:rsidRPr="002F0FF1">
        <w:rPr>
          <w:rFonts w:ascii="Times New Roman" w:hAnsi="Times New Roman" w:cs="Times New Roman"/>
          <w:sz w:val="24"/>
          <w:szCs w:val="24"/>
        </w:rPr>
        <w:instrText xml:space="preserve"> REF _Ref105767507 \r \h </w:instrText>
      </w:r>
      <w:r w:rsidR="002E26D2" w:rsidRPr="002F0FF1">
        <w:rPr>
          <w:rFonts w:ascii="Times New Roman" w:hAnsi="Times New Roman" w:cs="Times New Roman"/>
          <w:sz w:val="24"/>
          <w:szCs w:val="24"/>
        </w:rPr>
        <w:instrText xml:space="preserve"> \* MERGEFORMAT </w:instrText>
      </w:r>
      <w:r w:rsidR="00DE4D4F" w:rsidRPr="002F0FF1">
        <w:rPr>
          <w:rFonts w:ascii="Times New Roman" w:hAnsi="Times New Roman" w:cs="Times New Roman"/>
          <w:sz w:val="24"/>
          <w:szCs w:val="24"/>
        </w:rPr>
      </w:r>
      <w:r w:rsidR="00DE4D4F"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3.2.1.3.2</w:t>
      </w:r>
      <w:r w:rsidR="00DE4D4F"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p>
    <w:p w14:paraId="77AF2929" w14:textId="672D6D8C" w:rsidR="000B3AF7" w:rsidRPr="002E26D2" w:rsidRDefault="000D68C1" w:rsidP="00B23BAE">
      <w:pPr>
        <w:pStyle w:val="Heading5"/>
      </w:pPr>
      <w:bookmarkStart w:id="103" w:name="_Ref105767507"/>
      <w:r w:rsidRPr="002E26D2">
        <w:t>I</w:t>
      </w:r>
      <w:r w:rsidR="0065594A">
        <w:t>MAC</w:t>
      </w:r>
      <w:r w:rsidRPr="002E26D2">
        <w:t>: immobilized metal affinity chromatography</w:t>
      </w:r>
      <w:bookmarkEnd w:id="103"/>
    </w:p>
    <w:p w14:paraId="15CAF0D9" w14:textId="17C65FFA"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The purification process was performed in the cold room with buffers precooled at 4 °C to ensure preservation of the proteins. The Poly-Prep gravity-flow column was prepared by adding 400 µL of TALON resin on the filter. The column was equilibrated with 5 mL of washing buffer</w:t>
      </w:r>
      <w:r w:rsidR="00A65AA2" w:rsidRPr="002F0FF1">
        <w:rPr>
          <w:rFonts w:ascii="Times New Roman" w:hAnsi="Times New Roman" w:cs="Times New Roman"/>
          <w:sz w:val="24"/>
          <w:szCs w:val="24"/>
        </w:rPr>
        <w:t xml:space="preserve"> </w:t>
      </w:r>
      <w:r w:rsidRPr="002F0FF1">
        <w:rPr>
          <w:rFonts w:ascii="Times New Roman" w:hAnsi="Times New Roman" w:cs="Times New Roman"/>
          <w:sz w:val="24"/>
          <w:szCs w:val="24"/>
        </w:rPr>
        <w:t>and the flow through was discarded. “</w:t>
      </w:r>
      <w:r w:rsidRPr="002F0FF1">
        <w:rPr>
          <w:rFonts w:ascii="Times New Roman" w:hAnsi="Times New Roman" w:cs="Times New Roman"/>
          <w:sz w:val="24"/>
          <w:szCs w:val="24"/>
          <w:u w:val="single"/>
        </w:rPr>
        <w:t xml:space="preserve">Filtrate” </w:t>
      </w:r>
      <w:r w:rsidRPr="002F0FF1">
        <w:rPr>
          <w:rFonts w:ascii="Times New Roman" w:hAnsi="Times New Roman" w:cs="Times New Roman"/>
          <w:sz w:val="24"/>
          <w:szCs w:val="24"/>
        </w:rPr>
        <w:t>sample (</w:t>
      </w:r>
      <w:r w:rsidR="008B272D" w:rsidRPr="002F0FF1">
        <w:rPr>
          <w:rFonts w:ascii="Times New Roman" w:hAnsi="Times New Roman" w:cs="Times New Roman"/>
          <w:sz w:val="24"/>
          <w:szCs w:val="24"/>
        </w:rPr>
        <w:t xml:space="preserve">section </w:t>
      </w:r>
      <w:r w:rsidR="00D2375B" w:rsidRPr="002F0FF1">
        <w:rPr>
          <w:rFonts w:ascii="Times New Roman" w:hAnsi="Times New Roman" w:cs="Times New Roman"/>
          <w:sz w:val="24"/>
          <w:szCs w:val="24"/>
        </w:rPr>
        <w:fldChar w:fldCharType="begin"/>
      </w:r>
      <w:r w:rsidR="00D2375B" w:rsidRPr="002F0FF1">
        <w:rPr>
          <w:rFonts w:ascii="Times New Roman" w:hAnsi="Times New Roman" w:cs="Times New Roman"/>
          <w:sz w:val="24"/>
          <w:szCs w:val="24"/>
        </w:rPr>
        <w:instrText xml:space="preserve"> REF _Ref105767530 \r \h </w:instrText>
      </w:r>
      <w:r w:rsidR="002E26D2" w:rsidRPr="002F0FF1">
        <w:rPr>
          <w:rFonts w:ascii="Times New Roman" w:hAnsi="Times New Roman" w:cs="Times New Roman"/>
          <w:sz w:val="24"/>
          <w:szCs w:val="24"/>
        </w:rPr>
        <w:instrText xml:space="preserve"> \* MERGEFORMAT </w:instrText>
      </w:r>
      <w:r w:rsidR="00D2375B" w:rsidRPr="002F0FF1">
        <w:rPr>
          <w:rFonts w:ascii="Times New Roman" w:hAnsi="Times New Roman" w:cs="Times New Roman"/>
          <w:sz w:val="24"/>
          <w:szCs w:val="24"/>
        </w:rPr>
      </w:r>
      <w:r w:rsidR="00D2375B"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3.2.1.3.1</w:t>
      </w:r>
      <w:r w:rsidR="00D2375B" w:rsidRPr="002F0FF1">
        <w:rPr>
          <w:rFonts w:ascii="Times New Roman" w:hAnsi="Times New Roman" w:cs="Times New Roman"/>
          <w:sz w:val="24"/>
          <w:szCs w:val="24"/>
        </w:rPr>
        <w:fldChar w:fldCharType="end"/>
      </w:r>
      <w:r w:rsidRPr="002F0FF1">
        <w:rPr>
          <w:rFonts w:ascii="Times New Roman" w:hAnsi="Times New Roman" w:cs="Times New Roman"/>
          <w:sz w:val="24"/>
          <w:szCs w:val="24"/>
        </w:rPr>
        <w:t>) was loaded on the column and allowed to drain until the volume reaches the top of the resin bed (“</w:t>
      </w:r>
      <w:r w:rsidR="00435BB8" w:rsidRPr="002F0FF1">
        <w:rPr>
          <w:rFonts w:ascii="Times New Roman" w:hAnsi="Times New Roman" w:cs="Times New Roman"/>
          <w:sz w:val="24"/>
          <w:szCs w:val="24"/>
        </w:rPr>
        <w:t>F</w:t>
      </w:r>
      <w:r w:rsidRPr="002F0FF1">
        <w:rPr>
          <w:rFonts w:ascii="Times New Roman" w:hAnsi="Times New Roman" w:cs="Times New Roman"/>
          <w:sz w:val="24"/>
          <w:szCs w:val="24"/>
        </w:rPr>
        <w:t xml:space="preserve">low-through”). The column was washed </w:t>
      </w:r>
      <w:r w:rsidR="00271200" w:rsidRPr="002F0FF1">
        <w:rPr>
          <w:rFonts w:ascii="Times New Roman" w:hAnsi="Times New Roman" w:cs="Times New Roman"/>
          <w:sz w:val="24"/>
          <w:szCs w:val="24"/>
        </w:rPr>
        <w:t xml:space="preserve">three </w:t>
      </w:r>
      <w:r w:rsidRPr="002F0FF1">
        <w:rPr>
          <w:rFonts w:ascii="Times New Roman" w:hAnsi="Times New Roman" w:cs="Times New Roman"/>
          <w:sz w:val="24"/>
          <w:szCs w:val="24"/>
        </w:rPr>
        <w:t>times with 10 mL of washing buffer (“W1”, “W2”, “W3”). The protein of interest was eluted using elution buffer. First 150 µL was applied for “E0”, that represent the buffer’s volume trapped in the resin, and not containing the protein of interest. The fraction was assayed by quick Bradford (</w:t>
      </w:r>
      <w:r w:rsidR="008B272D" w:rsidRPr="002F0FF1">
        <w:rPr>
          <w:rFonts w:ascii="Times New Roman" w:hAnsi="Times New Roman" w:cs="Times New Roman"/>
          <w:sz w:val="24"/>
          <w:szCs w:val="24"/>
        </w:rPr>
        <w:t xml:space="preserve">section </w:t>
      </w:r>
      <w:r w:rsidR="00D2375B" w:rsidRPr="002F0FF1">
        <w:rPr>
          <w:rFonts w:ascii="Times New Roman" w:hAnsi="Times New Roman" w:cs="Times New Roman"/>
          <w:sz w:val="24"/>
          <w:szCs w:val="24"/>
        </w:rPr>
        <w:fldChar w:fldCharType="begin"/>
      </w:r>
      <w:r w:rsidR="00D2375B" w:rsidRPr="002F0FF1">
        <w:rPr>
          <w:rFonts w:ascii="Times New Roman" w:hAnsi="Times New Roman" w:cs="Times New Roman"/>
          <w:sz w:val="24"/>
          <w:szCs w:val="24"/>
        </w:rPr>
        <w:instrText xml:space="preserve"> REF _Ref105767551 \r \h </w:instrText>
      </w:r>
      <w:r w:rsidR="002E26D2" w:rsidRPr="002F0FF1">
        <w:rPr>
          <w:rFonts w:ascii="Times New Roman" w:hAnsi="Times New Roman" w:cs="Times New Roman"/>
          <w:sz w:val="24"/>
          <w:szCs w:val="24"/>
        </w:rPr>
        <w:instrText xml:space="preserve"> \* MERGEFORMAT </w:instrText>
      </w:r>
      <w:r w:rsidR="00D2375B" w:rsidRPr="002F0FF1">
        <w:rPr>
          <w:rFonts w:ascii="Times New Roman" w:hAnsi="Times New Roman" w:cs="Times New Roman"/>
          <w:sz w:val="24"/>
          <w:szCs w:val="24"/>
        </w:rPr>
      </w:r>
      <w:r w:rsidR="00D2375B"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3.2.1.3.4</w:t>
      </w:r>
      <w:r w:rsidR="00D2375B" w:rsidRPr="002F0FF1">
        <w:rPr>
          <w:rFonts w:ascii="Times New Roman" w:hAnsi="Times New Roman" w:cs="Times New Roman"/>
          <w:sz w:val="24"/>
          <w:szCs w:val="24"/>
        </w:rPr>
        <w:fldChar w:fldCharType="end"/>
      </w:r>
      <w:r w:rsidRPr="002F0FF1">
        <w:rPr>
          <w:rFonts w:ascii="Times New Roman" w:hAnsi="Times New Roman" w:cs="Times New Roman"/>
          <w:sz w:val="24"/>
          <w:szCs w:val="24"/>
        </w:rPr>
        <w:t>) to assess the absence of protein of interest. “E1” to “E10” were eluted with 1 mL of elution buffer and collected in separate tubes. The concentration of eluted protein was controlled visually by performing a quick Bradford (</w:t>
      </w:r>
      <w:r w:rsidR="00F233F6" w:rsidRPr="002F0FF1">
        <w:rPr>
          <w:rFonts w:ascii="Times New Roman" w:hAnsi="Times New Roman" w:cs="Times New Roman"/>
          <w:sz w:val="24"/>
          <w:szCs w:val="24"/>
        </w:rPr>
        <w:t xml:space="preserve">section </w:t>
      </w:r>
      <w:r w:rsidR="00D2375B" w:rsidRPr="002F0FF1">
        <w:rPr>
          <w:rFonts w:ascii="Times New Roman" w:hAnsi="Times New Roman" w:cs="Times New Roman"/>
          <w:sz w:val="24"/>
          <w:szCs w:val="24"/>
        </w:rPr>
        <w:fldChar w:fldCharType="begin"/>
      </w:r>
      <w:r w:rsidR="00D2375B" w:rsidRPr="002F0FF1">
        <w:rPr>
          <w:rFonts w:ascii="Times New Roman" w:hAnsi="Times New Roman" w:cs="Times New Roman"/>
          <w:sz w:val="24"/>
          <w:szCs w:val="24"/>
        </w:rPr>
        <w:instrText xml:space="preserve"> REF _Ref105767551 \r \h </w:instrText>
      </w:r>
      <w:r w:rsidR="002E26D2" w:rsidRPr="002F0FF1">
        <w:rPr>
          <w:rFonts w:ascii="Times New Roman" w:hAnsi="Times New Roman" w:cs="Times New Roman"/>
          <w:sz w:val="24"/>
          <w:szCs w:val="24"/>
        </w:rPr>
        <w:instrText xml:space="preserve"> \* MERGEFORMAT </w:instrText>
      </w:r>
      <w:r w:rsidR="00D2375B" w:rsidRPr="002F0FF1">
        <w:rPr>
          <w:rFonts w:ascii="Times New Roman" w:hAnsi="Times New Roman" w:cs="Times New Roman"/>
          <w:sz w:val="24"/>
          <w:szCs w:val="24"/>
        </w:rPr>
      </w:r>
      <w:r w:rsidR="00D2375B"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3.2.1.3.4</w:t>
      </w:r>
      <w:r w:rsidR="00D2375B" w:rsidRPr="002F0FF1">
        <w:rPr>
          <w:rFonts w:ascii="Times New Roman" w:hAnsi="Times New Roman" w:cs="Times New Roman"/>
          <w:sz w:val="24"/>
          <w:szCs w:val="24"/>
        </w:rPr>
        <w:fldChar w:fldCharType="end"/>
      </w:r>
      <w:r w:rsidRPr="002F0FF1">
        <w:rPr>
          <w:rFonts w:ascii="Times New Roman" w:hAnsi="Times New Roman" w:cs="Times New Roman"/>
          <w:sz w:val="24"/>
          <w:szCs w:val="24"/>
        </w:rPr>
        <w:t>). The elution process was stopped when no more proteins could be detected. Ten µL of fractions: “</w:t>
      </w:r>
      <w:r w:rsidR="00435BB8" w:rsidRPr="002F0FF1">
        <w:rPr>
          <w:rFonts w:ascii="Times New Roman" w:hAnsi="Times New Roman" w:cs="Times New Roman"/>
          <w:sz w:val="24"/>
          <w:szCs w:val="24"/>
        </w:rPr>
        <w:t>F</w:t>
      </w:r>
      <w:r w:rsidRPr="002F0FF1">
        <w:rPr>
          <w:rFonts w:ascii="Times New Roman" w:hAnsi="Times New Roman" w:cs="Times New Roman"/>
          <w:sz w:val="24"/>
          <w:szCs w:val="24"/>
        </w:rPr>
        <w:t>iltrate”, “</w:t>
      </w:r>
      <w:r w:rsidR="00435BB8" w:rsidRPr="002F0FF1">
        <w:rPr>
          <w:rFonts w:ascii="Times New Roman" w:hAnsi="Times New Roman" w:cs="Times New Roman"/>
          <w:sz w:val="24"/>
          <w:szCs w:val="24"/>
        </w:rPr>
        <w:t>F</w:t>
      </w:r>
      <w:r w:rsidRPr="002F0FF1">
        <w:rPr>
          <w:rFonts w:ascii="Times New Roman" w:hAnsi="Times New Roman" w:cs="Times New Roman"/>
          <w:sz w:val="24"/>
          <w:szCs w:val="24"/>
        </w:rPr>
        <w:t>low-through”, “W1-3”, “E0-10” were saved to be analyzed by</w:t>
      </w:r>
      <w:r w:rsidR="003A2FAE" w:rsidRPr="002F0FF1">
        <w:t xml:space="preserve"> s</w:t>
      </w:r>
      <w:r w:rsidR="003A2FAE" w:rsidRPr="002F0FF1">
        <w:rPr>
          <w:rFonts w:ascii="Times New Roman" w:hAnsi="Times New Roman" w:cs="Times New Roman"/>
          <w:sz w:val="24"/>
          <w:szCs w:val="24"/>
        </w:rPr>
        <w:t>odium dodecyl sulfate-polyacrylamide gel electrophoresis</w:t>
      </w:r>
      <w:r w:rsidRPr="002F0FF1">
        <w:rPr>
          <w:rFonts w:ascii="Times New Roman" w:hAnsi="Times New Roman" w:cs="Times New Roman"/>
          <w:sz w:val="24"/>
          <w:szCs w:val="24"/>
        </w:rPr>
        <w:t xml:space="preserve"> </w:t>
      </w:r>
      <w:r w:rsidR="003A2FAE" w:rsidRPr="002F0FF1">
        <w:rPr>
          <w:rFonts w:ascii="Times New Roman" w:hAnsi="Times New Roman" w:cs="Times New Roman"/>
          <w:sz w:val="24"/>
          <w:szCs w:val="24"/>
        </w:rPr>
        <w:t>(</w:t>
      </w:r>
      <w:r w:rsidRPr="002F0FF1">
        <w:rPr>
          <w:rFonts w:ascii="Times New Roman" w:hAnsi="Times New Roman" w:cs="Times New Roman"/>
          <w:sz w:val="24"/>
          <w:szCs w:val="24"/>
        </w:rPr>
        <w:t>SDS-PAGE</w:t>
      </w:r>
      <w:r w:rsidR="003A2FAE" w:rsidRPr="002F0FF1">
        <w:rPr>
          <w:rFonts w:ascii="Times New Roman" w:hAnsi="Times New Roman" w:cs="Times New Roman"/>
          <w:sz w:val="24"/>
          <w:szCs w:val="24"/>
        </w:rPr>
        <w:t>)</w:t>
      </w:r>
      <w:r w:rsidRPr="002F0FF1">
        <w:rPr>
          <w:rFonts w:ascii="Times New Roman" w:hAnsi="Times New Roman" w:cs="Times New Roman"/>
          <w:sz w:val="24"/>
          <w:szCs w:val="24"/>
        </w:rPr>
        <w:t>, transferred on nitrocellulose membrane and stained with naphthol blue (</w:t>
      </w:r>
      <w:r w:rsidR="00D2375B" w:rsidRPr="002F0FF1">
        <w:rPr>
          <w:rFonts w:ascii="Times New Roman" w:hAnsi="Times New Roman" w:cs="Times New Roman"/>
          <w:sz w:val="24"/>
          <w:szCs w:val="24"/>
        </w:rPr>
        <w:fldChar w:fldCharType="begin"/>
      </w:r>
      <w:r w:rsidR="00D2375B"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D2375B" w:rsidRPr="002F0FF1">
        <w:rPr>
          <w:rFonts w:ascii="Times New Roman" w:hAnsi="Times New Roman" w:cs="Times New Roman"/>
          <w:sz w:val="24"/>
          <w:szCs w:val="24"/>
        </w:rPr>
      </w:r>
      <w:r w:rsidR="00D2375B"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D2375B"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All samples were saved on ice. </w:t>
      </w:r>
    </w:p>
    <w:p w14:paraId="33AF4A17" w14:textId="4A50CE59" w:rsidR="000B3AF7" w:rsidRPr="002E26D2" w:rsidRDefault="000D68C1" w:rsidP="00B23BAE">
      <w:pPr>
        <w:pStyle w:val="Heading5"/>
      </w:pPr>
      <w:bookmarkStart w:id="104" w:name="_Ref105768056"/>
      <w:r w:rsidRPr="002E26D2">
        <w:t>Sample concentration and buffer exchange</w:t>
      </w:r>
      <w:bookmarkEnd w:id="104"/>
    </w:p>
    <w:p w14:paraId="66BA3589" w14:textId="6DDB9501"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Amicon ultra centrifugal filter</w:t>
      </w:r>
      <w:r w:rsidR="0050790B" w:rsidRPr="002F0FF1">
        <w:rPr>
          <w:rFonts w:ascii="Times New Roman" w:hAnsi="Times New Roman" w:cs="Times New Roman"/>
          <w:sz w:val="24"/>
          <w:szCs w:val="24"/>
        </w:rPr>
        <w:t>s</w:t>
      </w:r>
      <w:r w:rsidRPr="002F0FF1">
        <w:rPr>
          <w:rFonts w:ascii="Times New Roman" w:hAnsi="Times New Roman" w:cs="Times New Roman"/>
          <w:sz w:val="24"/>
          <w:szCs w:val="24"/>
        </w:rPr>
        <w:t xml:space="preserve"> were used with a 10 kDa cutoff, according to the manufacturer’s instruction. </w:t>
      </w:r>
      <w:r w:rsidR="00997E89" w:rsidRPr="002F0FF1">
        <w:rPr>
          <w:rFonts w:ascii="Times New Roman" w:hAnsi="Times New Roman" w:cs="Times New Roman"/>
          <w:sz w:val="24"/>
          <w:szCs w:val="24"/>
        </w:rPr>
        <w:t>The f</w:t>
      </w:r>
      <w:r w:rsidRPr="002F0FF1">
        <w:rPr>
          <w:rFonts w:ascii="Times New Roman" w:hAnsi="Times New Roman" w:cs="Times New Roman"/>
          <w:sz w:val="24"/>
          <w:szCs w:val="24"/>
        </w:rPr>
        <w:t>ilter was equilibrated with 15 mL of storage buffer</w:t>
      </w:r>
      <w:r w:rsidR="00A65AA2" w:rsidRPr="002F0FF1">
        <w:rPr>
          <w:rFonts w:ascii="Times New Roman" w:hAnsi="Times New Roman" w:cs="Times New Roman"/>
          <w:sz w:val="24"/>
          <w:szCs w:val="24"/>
        </w:rPr>
        <w:t xml:space="preserve"> </w:t>
      </w:r>
      <w:r w:rsidRPr="002F0FF1">
        <w:rPr>
          <w:rFonts w:ascii="Times New Roman" w:hAnsi="Times New Roman" w:cs="Times New Roman"/>
          <w:sz w:val="24"/>
          <w:szCs w:val="24"/>
        </w:rPr>
        <w:t xml:space="preserve">and centrifuged 4 000 g, 5 min, 10 °C. </w:t>
      </w:r>
      <w:r w:rsidR="00997E89" w:rsidRPr="002F0FF1">
        <w:rPr>
          <w:rFonts w:ascii="Times New Roman" w:hAnsi="Times New Roman" w:cs="Times New Roman"/>
          <w:sz w:val="24"/>
          <w:szCs w:val="24"/>
        </w:rPr>
        <w:t>The f</w:t>
      </w:r>
      <w:r w:rsidRPr="002F0FF1">
        <w:rPr>
          <w:rFonts w:ascii="Times New Roman" w:hAnsi="Times New Roman" w:cs="Times New Roman"/>
          <w:sz w:val="24"/>
          <w:szCs w:val="24"/>
        </w:rPr>
        <w:t xml:space="preserve">low through was discarded and elution fractions </w:t>
      </w:r>
      <w:r w:rsidR="00997E89" w:rsidRPr="002F0FF1">
        <w:rPr>
          <w:rFonts w:ascii="Times New Roman" w:hAnsi="Times New Roman" w:cs="Times New Roman"/>
          <w:sz w:val="24"/>
          <w:szCs w:val="24"/>
        </w:rPr>
        <w:t>“</w:t>
      </w:r>
      <w:r w:rsidRPr="002F0FF1">
        <w:rPr>
          <w:rFonts w:ascii="Times New Roman" w:hAnsi="Times New Roman" w:cs="Times New Roman"/>
          <w:sz w:val="24"/>
          <w:szCs w:val="24"/>
        </w:rPr>
        <w:t>E1</w:t>
      </w:r>
      <w:r w:rsidR="00997E89" w:rsidRPr="002F0FF1">
        <w:rPr>
          <w:rFonts w:ascii="Times New Roman" w:hAnsi="Times New Roman" w:cs="Times New Roman"/>
          <w:sz w:val="24"/>
          <w:szCs w:val="24"/>
        </w:rPr>
        <w:t>”</w:t>
      </w:r>
      <w:r w:rsidRPr="002F0FF1">
        <w:rPr>
          <w:rFonts w:ascii="Times New Roman" w:hAnsi="Times New Roman" w:cs="Times New Roman"/>
          <w:sz w:val="24"/>
          <w:szCs w:val="24"/>
        </w:rPr>
        <w:t xml:space="preserve"> </w:t>
      </w:r>
      <w:r w:rsidRPr="002F0FF1">
        <w:rPr>
          <w:rFonts w:ascii="Times New Roman" w:hAnsi="Times New Roman" w:cs="Times New Roman"/>
          <w:sz w:val="24"/>
          <w:szCs w:val="24"/>
        </w:rPr>
        <w:lastRenderedPageBreak/>
        <w:t xml:space="preserve">to </w:t>
      </w:r>
      <w:r w:rsidR="00997E89" w:rsidRPr="002F0FF1">
        <w:rPr>
          <w:rFonts w:ascii="Times New Roman" w:hAnsi="Times New Roman" w:cs="Times New Roman"/>
          <w:sz w:val="24"/>
          <w:szCs w:val="24"/>
        </w:rPr>
        <w:t>“</w:t>
      </w:r>
      <w:r w:rsidRPr="002F0FF1">
        <w:rPr>
          <w:rFonts w:ascii="Times New Roman" w:hAnsi="Times New Roman" w:cs="Times New Roman"/>
          <w:sz w:val="24"/>
          <w:szCs w:val="24"/>
        </w:rPr>
        <w:t>E</w:t>
      </w:r>
      <w:r w:rsidR="00997E89" w:rsidRPr="002F0FF1">
        <w:rPr>
          <w:rFonts w:ascii="Times New Roman" w:hAnsi="Times New Roman" w:cs="Times New Roman"/>
          <w:sz w:val="24"/>
          <w:szCs w:val="24"/>
        </w:rPr>
        <w:t>10”</w:t>
      </w:r>
      <w:r w:rsidRPr="002F0FF1">
        <w:rPr>
          <w:rFonts w:ascii="Times New Roman" w:hAnsi="Times New Roman" w:cs="Times New Roman"/>
          <w:sz w:val="24"/>
          <w:szCs w:val="24"/>
        </w:rPr>
        <w:t xml:space="preserve"> were loaded on the filter. </w:t>
      </w:r>
      <w:r w:rsidR="00997E89" w:rsidRPr="002F0FF1">
        <w:rPr>
          <w:rFonts w:ascii="Times New Roman" w:hAnsi="Times New Roman" w:cs="Times New Roman"/>
          <w:sz w:val="24"/>
          <w:szCs w:val="24"/>
        </w:rPr>
        <w:t>“</w:t>
      </w:r>
      <w:r w:rsidRPr="002F0FF1">
        <w:rPr>
          <w:rFonts w:ascii="Times New Roman" w:hAnsi="Times New Roman" w:cs="Times New Roman"/>
          <w:sz w:val="24"/>
          <w:szCs w:val="24"/>
        </w:rPr>
        <w:t>E0</w:t>
      </w:r>
      <w:r w:rsidR="00997E89" w:rsidRPr="002F0FF1">
        <w:rPr>
          <w:rFonts w:ascii="Times New Roman" w:hAnsi="Times New Roman" w:cs="Times New Roman"/>
          <w:sz w:val="24"/>
          <w:szCs w:val="24"/>
        </w:rPr>
        <w:t>”</w:t>
      </w:r>
      <w:r w:rsidRPr="002F0FF1">
        <w:rPr>
          <w:rFonts w:ascii="Times New Roman" w:hAnsi="Times New Roman" w:cs="Times New Roman"/>
          <w:sz w:val="24"/>
          <w:szCs w:val="24"/>
        </w:rPr>
        <w:t xml:space="preserve"> was excluded since it should be devoid of protein of interest. Storage buffer was added to reach a final volume of 15 mL and</w:t>
      </w:r>
      <w:r w:rsidR="00997E89" w:rsidRPr="002F0FF1">
        <w:rPr>
          <w:rFonts w:ascii="Times New Roman" w:hAnsi="Times New Roman" w:cs="Times New Roman"/>
          <w:sz w:val="24"/>
          <w:szCs w:val="24"/>
        </w:rPr>
        <w:t xml:space="preserve"> the</w:t>
      </w:r>
      <w:r w:rsidRPr="002F0FF1">
        <w:rPr>
          <w:rFonts w:ascii="Times New Roman" w:hAnsi="Times New Roman" w:cs="Times New Roman"/>
          <w:sz w:val="24"/>
          <w:szCs w:val="24"/>
        </w:rPr>
        <w:t xml:space="preserve"> sample was centrifuged for 10 min, 4 000 g, 10 °C. </w:t>
      </w:r>
      <w:r w:rsidR="00997E89" w:rsidRPr="002F0FF1">
        <w:rPr>
          <w:rFonts w:ascii="Times New Roman" w:hAnsi="Times New Roman" w:cs="Times New Roman"/>
          <w:sz w:val="24"/>
          <w:szCs w:val="24"/>
        </w:rPr>
        <w:t>The f</w:t>
      </w:r>
      <w:r w:rsidRPr="002F0FF1">
        <w:rPr>
          <w:rFonts w:ascii="Times New Roman" w:hAnsi="Times New Roman" w:cs="Times New Roman"/>
          <w:sz w:val="24"/>
          <w:szCs w:val="24"/>
        </w:rPr>
        <w:t xml:space="preserve">low through was discarded and </w:t>
      </w:r>
      <w:r w:rsidR="00A91767" w:rsidRPr="002F0FF1">
        <w:rPr>
          <w:rFonts w:ascii="Times New Roman" w:hAnsi="Times New Roman" w:cs="Times New Roman"/>
          <w:sz w:val="24"/>
          <w:szCs w:val="24"/>
        </w:rPr>
        <w:t xml:space="preserve">the </w:t>
      </w:r>
      <w:r w:rsidRPr="002F0FF1">
        <w:rPr>
          <w:rFonts w:ascii="Times New Roman" w:hAnsi="Times New Roman" w:cs="Times New Roman"/>
          <w:sz w:val="24"/>
          <w:szCs w:val="24"/>
        </w:rPr>
        <w:t>concentrated sample was gently resuspended, directly in the filter, in storage buffer to reach a final volume of 15 mL. The sample was centrifuged again using the same parameters until 1 mL of concentrated sample remained (“Conc”). Concentrated sample was aliquoted and immediately stored at -80 °C until use. An aliquot was saved to perform protein concentration assay using the Bradford method (</w:t>
      </w:r>
      <w:r w:rsidR="00D2375B" w:rsidRPr="002F0FF1">
        <w:rPr>
          <w:rFonts w:ascii="Times New Roman" w:hAnsi="Times New Roman" w:cs="Times New Roman"/>
          <w:sz w:val="24"/>
          <w:szCs w:val="24"/>
        </w:rPr>
        <w:fldChar w:fldCharType="begin"/>
      </w:r>
      <w:r w:rsidR="00D2375B" w:rsidRPr="002F0FF1">
        <w:rPr>
          <w:rFonts w:ascii="Times New Roman" w:hAnsi="Times New Roman" w:cs="Times New Roman"/>
          <w:sz w:val="24"/>
          <w:szCs w:val="24"/>
        </w:rPr>
        <w:instrText xml:space="preserve"> REF _Ref105767613 \r \h </w:instrText>
      </w:r>
      <w:r w:rsidR="002E26D2" w:rsidRPr="002F0FF1">
        <w:rPr>
          <w:rFonts w:ascii="Times New Roman" w:hAnsi="Times New Roman" w:cs="Times New Roman"/>
          <w:sz w:val="24"/>
          <w:szCs w:val="24"/>
        </w:rPr>
        <w:instrText xml:space="preserve"> \* MERGEFORMAT </w:instrText>
      </w:r>
      <w:r w:rsidR="00D2375B" w:rsidRPr="002F0FF1">
        <w:rPr>
          <w:rFonts w:ascii="Times New Roman" w:hAnsi="Times New Roman" w:cs="Times New Roman"/>
          <w:sz w:val="24"/>
          <w:szCs w:val="24"/>
        </w:rPr>
      </w:r>
      <w:r w:rsidR="00D2375B"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3.2.3.2.2</w:t>
      </w:r>
      <w:r w:rsidR="00D2375B"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p>
    <w:p w14:paraId="1A60456B" w14:textId="62CB3967" w:rsidR="000B3AF7" w:rsidRPr="002E26D2" w:rsidRDefault="000D68C1" w:rsidP="00B23BAE">
      <w:pPr>
        <w:pStyle w:val="Heading5"/>
      </w:pPr>
      <w:bookmarkStart w:id="105" w:name="_Ref105767551"/>
      <w:r w:rsidRPr="002E26D2">
        <w:t xml:space="preserve">Quick </w:t>
      </w:r>
      <w:r w:rsidR="0050790B">
        <w:t>B</w:t>
      </w:r>
      <w:r w:rsidRPr="002E26D2">
        <w:t>radford</w:t>
      </w:r>
      <w:bookmarkEnd w:id="105"/>
      <w:r w:rsidRPr="002E26D2">
        <w:t xml:space="preserve"> </w:t>
      </w:r>
    </w:p>
    <w:p w14:paraId="7FBC95AD" w14:textId="405E37DE" w:rsidR="000B3AF7" w:rsidRPr="002E26D2"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On a clean sheet of parafilm, a series of 20 µL drops of 1</w:t>
      </w:r>
      <w:r w:rsidR="00C6769A" w:rsidRPr="002F0FF1">
        <w:rPr>
          <w:rFonts w:ascii="Times New Roman" w:hAnsi="Times New Roman" w:cs="Times New Roman"/>
          <w:sz w:val="24"/>
          <w:szCs w:val="24"/>
        </w:rPr>
        <w:t>×</w:t>
      </w:r>
      <w:r w:rsidRPr="002F0FF1">
        <w:rPr>
          <w:rFonts w:ascii="Times New Roman" w:hAnsi="Times New Roman" w:cs="Times New Roman"/>
          <w:sz w:val="24"/>
          <w:szCs w:val="24"/>
        </w:rPr>
        <w:t xml:space="preserve"> Bradford solution was disposed. A standard curve was created by pipetting in the drops 5 µL of </w:t>
      </w:r>
      <w:r w:rsidR="003A2FAE" w:rsidRPr="002F0FF1">
        <w:rPr>
          <w:rFonts w:ascii="Times New Roman" w:hAnsi="Times New Roman" w:cs="Times New Roman"/>
          <w:sz w:val="24"/>
          <w:szCs w:val="24"/>
        </w:rPr>
        <w:t>bovine serum albumin (</w:t>
      </w:r>
      <w:r w:rsidRPr="002F0FF1">
        <w:rPr>
          <w:rFonts w:ascii="Times New Roman" w:hAnsi="Times New Roman" w:cs="Times New Roman"/>
          <w:sz w:val="24"/>
          <w:szCs w:val="24"/>
        </w:rPr>
        <w:t>BSA</w:t>
      </w:r>
      <w:r w:rsidR="003A2FAE" w:rsidRPr="002F0FF1">
        <w:rPr>
          <w:rFonts w:ascii="Times New Roman" w:hAnsi="Times New Roman" w:cs="Times New Roman"/>
          <w:sz w:val="24"/>
          <w:szCs w:val="24"/>
        </w:rPr>
        <w:t>)</w:t>
      </w:r>
      <w:r w:rsidRPr="002F0FF1">
        <w:rPr>
          <w:rFonts w:ascii="Times New Roman" w:hAnsi="Times New Roman" w:cs="Times New Roman"/>
          <w:sz w:val="24"/>
          <w:szCs w:val="24"/>
        </w:rPr>
        <w:t xml:space="preserve"> standard of 62.5, 125, 250, 375, 500, 750 and 1000 µg/mL. Five microliters of sample </w:t>
      </w:r>
      <w:r w:rsidR="0050790B" w:rsidRPr="002F0FF1">
        <w:rPr>
          <w:rFonts w:ascii="Times New Roman" w:hAnsi="Times New Roman" w:cs="Times New Roman"/>
          <w:sz w:val="24"/>
          <w:szCs w:val="24"/>
        </w:rPr>
        <w:t>were</w:t>
      </w:r>
      <w:r w:rsidRPr="002F0FF1">
        <w:rPr>
          <w:rFonts w:ascii="Times New Roman" w:hAnsi="Times New Roman" w:cs="Times New Roman"/>
          <w:sz w:val="24"/>
          <w:szCs w:val="24"/>
        </w:rPr>
        <w:t xml:space="preserve"> assayed in a new drop of 1</w:t>
      </w:r>
      <w:r w:rsidR="00C6769A" w:rsidRPr="002F0FF1">
        <w:rPr>
          <w:rFonts w:ascii="Times New Roman" w:hAnsi="Times New Roman" w:cs="Times New Roman"/>
          <w:sz w:val="24"/>
          <w:szCs w:val="24"/>
        </w:rPr>
        <w:t>×</w:t>
      </w:r>
      <w:r w:rsidRPr="002F0FF1">
        <w:rPr>
          <w:rFonts w:ascii="Times New Roman" w:hAnsi="Times New Roman" w:cs="Times New Roman"/>
          <w:sz w:val="24"/>
          <w:szCs w:val="24"/>
        </w:rPr>
        <w:t xml:space="preserve"> Bradford while the concentration of protein was roughly estimated by comparing visually the sample’s blue color with the standard curve. This unprecise</w:t>
      </w:r>
      <w:r w:rsidR="00450B1B" w:rsidRPr="002F0FF1">
        <w:rPr>
          <w:rFonts w:ascii="Times New Roman" w:hAnsi="Times New Roman" w:cs="Times New Roman"/>
          <w:sz w:val="24"/>
          <w:szCs w:val="24"/>
        </w:rPr>
        <w:t>,</w:t>
      </w:r>
      <w:r w:rsidRPr="002F0FF1">
        <w:rPr>
          <w:rFonts w:ascii="Times New Roman" w:hAnsi="Times New Roman" w:cs="Times New Roman"/>
          <w:sz w:val="24"/>
          <w:szCs w:val="24"/>
        </w:rPr>
        <w:t xml:space="preserve"> but extremely quick method was used to assess in real-time the exit of proteins of interest from the column during protein purification</w:t>
      </w:r>
      <w:r w:rsidRPr="002E26D2">
        <w:rPr>
          <w:rFonts w:ascii="Times New Roman" w:hAnsi="Times New Roman" w:cs="Times New Roman"/>
          <w:sz w:val="24"/>
          <w:szCs w:val="24"/>
        </w:rPr>
        <w:t xml:space="preserve">. </w:t>
      </w:r>
    </w:p>
    <w:p w14:paraId="00C70E34" w14:textId="04FC69E6" w:rsidR="000B3AF7" w:rsidRPr="002E26D2" w:rsidRDefault="000D68C1" w:rsidP="003775DE">
      <w:pPr>
        <w:pStyle w:val="Heading3"/>
      </w:pPr>
      <w:bookmarkStart w:id="106" w:name="_Toc117153847"/>
      <w:r w:rsidRPr="002E26D2">
        <w:t>Cell culture</w:t>
      </w:r>
      <w:bookmarkEnd w:id="106"/>
    </w:p>
    <w:p w14:paraId="6F789A35" w14:textId="11215092" w:rsidR="000B3AF7" w:rsidRPr="002E26D2" w:rsidRDefault="000B3AF7" w:rsidP="002E2D58">
      <w:pPr>
        <w:pStyle w:val="Heading4"/>
      </w:pPr>
      <w:bookmarkStart w:id="107" w:name="_Toc117153848"/>
      <w:r w:rsidRPr="002E26D2">
        <w:t>Culture of cells in sterile conditions</w:t>
      </w:r>
      <w:bookmarkEnd w:id="107"/>
    </w:p>
    <w:p w14:paraId="00C0E1BD" w14:textId="04796FE2"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 xml:space="preserve">Cells listed in </w:t>
      </w:r>
      <w:r w:rsidR="001A17BF" w:rsidRPr="002F0FF1">
        <w:rPr>
          <w:rFonts w:ascii="Times New Roman" w:hAnsi="Times New Roman" w:cs="Times New Roman"/>
          <w:sz w:val="24"/>
          <w:szCs w:val="24"/>
        </w:rPr>
        <w:fldChar w:fldCharType="begin"/>
      </w:r>
      <w:r w:rsidR="001A17BF" w:rsidRPr="002F0FF1">
        <w:rPr>
          <w:rFonts w:ascii="Times New Roman" w:hAnsi="Times New Roman" w:cs="Times New Roman"/>
          <w:sz w:val="24"/>
          <w:szCs w:val="24"/>
        </w:rPr>
        <w:instrText xml:space="preserve"> REF _Ref106008760 \h </w:instrText>
      </w:r>
      <w:r w:rsidR="002E26D2" w:rsidRPr="002F0FF1">
        <w:rPr>
          <w:rFonts w:ascii="Times New Roman" w:hAnsi="Times New Roman" w:cs="Times New Roman"/>
          <w:sz w:val="24"/>
          <w:szCs w:val="24"/>
        </w:rPr>
        <w:instrText xml:space="preserve"> \* MERGEFORMAT </w:instrText>
      </w:r>
      <w:r w:rsidR="001A17BF" w:rsidRPr="002F0FF1">
        <w:rPr>
          <w:rFonts w:ascii="Times New Roman" w:hAnsi="Times New Roman" w:cs="Times New Roman"/>
          <w:sz w:val="24"/>
          <w:szCs w:val="24"/>
        </w:rPr>
      </w:r>
      <w:r w:rsidR="001A17BF" w:rsidRPr="002F0FF1">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10</w:t>
      </w:r>
      <w:r w:rsidR="001A17BF"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were grown in complete media (RPMIcomp or DMEMcomp) according to ATCC and generous donators’ recommendation. Cells manipulations were processed in the environment of the Sterile Hood, while the cells were grown in humid atmosphere at 37 °C, 5 % CO</w:t>
      </w:r>
      <w:r w:rsidRPr="002F0FF1">
        <w:rPr>
          <w:rFonts w:ascii="Times New Roman" w:hAnsi="Times New Roman" w:cs="Times New Roman"/>
          <w:sz w:val="24"/>
          <w:szCs w:val="24"/>
          <w:vertAlign w:val="subscript"/>
        </w:rPr>
        <w:t>2</w:t>
      </w:r>
      <w:r w:rsidRPr="002F0FF1">
        <w:rPr>
          <w:rFonts w:ascii="Times New Roman" w:hAnsi="Times New Roman" w:cs="Times New Roman"/>
          <w:sz w:val="24"/>
          <w:szCs w:val="24"/>
        </w:rPr>
        <w:t xml:space="preserve"> in the cell incubator. Every medi</w:t>
      </w:r>
      <w:r w:rsidR="00D011E2" w:rsidRPr="002F0FF1">
        <w:rPr>
          <w:rFonts w:ascii="Times New Roman" w:hAnsi="Times New Roman" w:cs="Times New Roman"/>
          <w:sz w:val="24"/>
          <w:szCs w:val="24"/>
        </w:rPr>
        <w:t>um</w:t>
      </w:r>
      <w:r w:rsidRPr="002F0FF1">
        <w:rPr>
          <w:rFonts w:ascii="Times New Roman" w:hAnsi="Times New Roman" w:cs="Times New Roman"/>
          <w:sz w:val="24"/>
          <w:szCs w:val="24"/>
        </w:rPr>
        <w:t xml:space="preserve">, solution and chemical </w:t>
      </w:r>
      <w:r w:rsidR="00A91767" w:rsidRPr="002F0FF1">
        <w:rPr>
          <w:rFonts w:ascii="Times New Roman" w:hAnsi="Times New Roman" w:cs="Times New Roman"/>
          <w:sz w:val="24"/>
          <w:szCs w:val="24"/>
        </w:rPr>
        <w:t>were</w:t>
      </w:r>
      <w:r w:rsidRPr="002F0FF1">
        <w:rPr>
          <w:rFonts w:ascii="Times New Roman" w:hAnsi="Times New Roman" w:cs="Times New Roman"/>
          <w:sz w:val="24"/>
          <w:szCs w:val="24"/>
        </w:rPr>
        <w:t xml:space="preserve"> sterilized and material was disinfected prior to manipulation in the sterile environment. Solutions were prewarmed at 37 °C before use, unless otherwise specified. Volumes are indicated for a specific cell culture dish format. Upon the use of a different format, volumes were adjusted according to the dish surface.</w:t>
      </w:r>
    </w:p>
    <w:p w14:paraId="6BE6AD56" w14:textId="17615572" w:rsidR="000B3AF7" w:rsidRPr="002E26D2" w:rsidRDefault="000B3AF7" w:rsidP="002E2D58">
      <w:pPr>
        <w:pStyle w:val="Heading4"/>
      </w:pPr>
      <w:bookmarkStart w:id="108" w:name="_Ref105767912"/>
      <w:bookmarkStart w:id="109" w:name="_Toc117153849"/>
      <w:r w:rsidRPr="002E26D2">
        <w:t>Maintenance/collection of cells</w:t>
      </w:r>
      <w:bookmarkEnd w:id="108"/>
      <w:bookmarkEnd w:id="109"/>
    </w:p>
    <w:p w14:paraId="0B949EE3" w14:textId="561D5690" w:rsidR="000B3AF7" w:rsidRPr="002E26D2"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In a 10 cm culture dish, the medi</w:t>
      </w:r>
      <w:r w:rsidR="0088464D" w:rsidRPr="002F0FF1">
        <w:rPr>
          <w:rFonts w:ascii="Times New Roman" w:hAnsi="Times New Roman" w:cs="Times New Roman"/>
          <w:sz w:val="24"/>
          <w:szCs w:val="24"/>
        </w:rPr>
        <w:t>um</w:t>
      </w:r>
      <w:r w:rsidRPr="002F0FF1">
        <w:rPr>
          <w:rFonts w:ascii="Times New Roman" w:hAnsi="Times New Roman" w:cs="Times New Roman"/>
          <w:sz w:val="24"/>
          <w:szCs w:val="24"/>
        </w:rPr>
        <w:t xml:space="preserve"> was removed and attached cells were washed with 5 mL </w:t>
      </w:r>
      <w:r w:rsidR="00DC63DE" w:rsidRPr="002F0FF1">
        <w:rPr>
          <w:rFonts w:ascii="Times New Roman" w:hAnsi="Times New Roman" w:cs="Times New Roman"/>
          <w:sz w:val="24"/>
          <w:szCs w:val="24"/>
        </w:rPr>
        <w:t>p</w:t>
      </w:r>
      <w:r w:rsidR="00DC33E0" w:rsidRPr="002F0FF1">
        <w:rPr>
          <w:rFonts w:ascii="Times New Roman" w:eastAsia="Times New Roman" w:hAnsi="Times New Roman" w:cs="Times New Roman"/>
          <w:color w:val="000000"/>
          <w:sz w:val="24"/>
          <w:szCs w:val="24"/>
        </w:rPr>
        <w:t>hosphate-buffered saline</w:t>
      </w:r>
      <w:r w:rsidR="00DC33E0" w:rsidRPr="002F0FF1">
        <w:rPr>
          <w:rFonts w:ascii="Times New Roman" w:hAnsi="Times New Roman" w:cs="Times New Roman"/>
          <w:sz w:val="24"/>
          <w:szCs w:val="24"/>
        </w:rPr>
        <w:t xml:space="preserve"> </w:t>
      </w:r>
      <w:r w:rsidR="00DC63DE" w:rsidRPr="002F0FF1">
        <w:rPr>
          <w:rFonts w:ascii="Times New Roman" w:hAnsi="Times New Roman" w:cs="Times New Roman"/>
          <w:sz w:val="24"/>
          <w:szCs w:val="24"/>
        </w:rPr>
        <w:t>(</w:t>
      </w:r>
      <w:r w:rsidRPr="002F0FF1">
        <w:rPr>
          <w:rFonts w:ascii="Times New Roman" w:hAnsi="Times New Roman" w:cs="Times New Roman"/>
          <w:sz w:val="24"/>
          <w:szCs w:val="24"/>
        </w:rPr>
        <w:t>PBS</w:t>
      </w:r>
      <w:r w:rsidR="00DC63DE" w:rsidRPr="002F0FF1">
        <w:rPr>
          <w:rFonts w:ascii="Times New Roman" w:hAnsi="Times New Roman" w:cs="Times New Roman"/>
          <w:sz w:val="24"/>
          <w:szCs w:val="24"/>
        </w:rPr>
        <w:t>)</w:t>
      </w:r>
      <w:r w:rsidRPr="002F0FF1">
        <w:rPr>
          <w:rFonts w:ascii="Times New Roman" w:hAnsi="Times New Roman" w:cs="Times New Roman"/>
          <w:sz w:val="24"/>
          <w:szCs w:val="24"/>
        </w:rPr>
        <w:t>. PBS was removed, 1 mL of trypsin solution was added on cells and dish was incubated for 3 min in the cell incubator. Trypsin was</w:t>
      </w:r>
      <w:r w:rsidRPr="002E26D2">
        <w:rPr>
          <w:rFonts w:ascii="Times New Roman" w:hAnsi="Times New Roman" w:cs="Times New Roman"/>
          <w:sz w:val="24"/>
          <w:szCs w:val="24"/>
        </w:rPr>
        <w:t xml:space="preserve"> inactivated by diluting </w:t>
      </w:r>
      <w:r w:rsidRPr="002E26D2">
        <w:rPr>
          <w:rFonts w:ascii="Times New Roman" w:hAnsi="Times New Roman" w:cs="Times New Roman"/>
          <w:sz w:val="24"/>
          <w:szCs w:val="24"/>
        </w:rPr>
        <w:lastRenderedPageBreak/>
        <w:t>it with 9 mL of complete medi</w:t>
      </w:r>
      <w:r w:rsidR="0093048F">
        <w:rPr>
          <w:rFonts w:ascii="Times New Roman" w:hAnsi="Times New Roman" w:cs="Times New Roman"/>
          <w:sz w:val="24"/>
          <w:szCs w:val="24"/>
        </w:rPr>
        <w:t>um</w:t>
      </w:r>
      <w:r w:rsidRPr="002E26D2">
        <w:rPr>
          <w:rFonts w:ascii="Times New Roman" w:hAnsi="Times New Roman" w:cs="Times New Roman"/>
          <w:sz w:val="24"/>
          <w:szCs w:val="24"/>
        </w:rPr>
        <w:t>. Cells were either maintained (</w:t>
      </w:r>
      <w:r w:rsidR="00AA0EAB">
        <w:rPr>
          <w:rFonts w:ascii="Times New Roman" w:hAnsi="Times New Roman" w:cs="Times New Roman"/>
          <w:sz w:val="24"/>
          <w:szCs w:val="24"/>
        </w:rPr>
        <w:t xml:space="preserve">section </w:t>
      </w:r>
      <w:r w:rsidR="00D2375B" w:rsidRPr="002E26D2">
        <w:rPr>
          <w:rFonts w:ascii="Times New Roman" w:hAnsi="Times New Roman" w:cs="Times New Roman"/>
          <w:sz w:val="24"/>
          <w:szCs w:val="24"/>
        </w:rPr>
        <w:fldChar w:fldCharType="begin"/>
      </w:r>
      <w:r w:rsidR="00D2375B" w:rsidRPr="002E26D2">
        <w:rPr>
          <w:rFonts w:ascii="Times New Roman" w:hAnsi="Times New Roman" w:cs="Times New Roman"/>
          <w:sz w:val="24"/>
          <w:szCs w:val="24"/>
        </w:rPr>
        <w:instrText xml:space="preserve"> REF _Ref105767641 \r \h </w:instrText>
      </w:r>
      <w:r w:rsidR="002E26D2" w:rsidRPr="002E26D2">
        <w:rPr>
          <w:rFonts w:ascii="Times New Roman" w:hAnsi="Times New Roman" w:cs="Times New Roman"/>
          <w:sz w:val="24"/>
          <w:szCs w:val="24"/>
        </w:rPr>
        <w:instrText xml:space="preserve"> \* MERGEFORMAT </w:instrText>
      </w:r>
      <w:r w:rsidR="00D2375B" w:rsidRPr="002E26D2">
        <w:rPr>
          <w:rFonts w:ascii="Times New Roman" w:hAnsi="Times New Roman" w:cs="Times New Roman"/>
          <w:sz w:val="24"/>
          <w:szCs w:val="24"/>
        </w:rPr>
      </w:r>
      <w:r w:rsidR="00D2375B"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3.2.2.2.1</w:t>
      </w:r>
      <w:r w:rsidR="00D2375B" w:rsidRPr="002E26D2">
        <w:rPr>
          <w:rFonts w:ascii="Times New Roman" w:hAnsi="Times New Roman" w:cs="Times New Roman"/>
          <w:sz w:val="24"/>
          <w:szCs w:val="24"/>
        </w:rPr>
        <w:fldChar w:fldCharType="end"/>
      </w:r>
      <w:r w:rsidRPr="002E26D2">
        <w:rPr>
          <w:rFonts w:ascii="Times New Roman" w:hAnsi="Times New Roman" w:cs="Times New Roman"/>
          <w:sz w:val="24"/>
          <w:szCs w:val="24"/>
        </w:rPr>
        <w:t>) or collected (</w:t>
      </w:r>
      <w:r w:rsidR="00AA0EAB">
        <w:rPr>
          <w:rFonts w:ascii="Times New Roman" w:hAnsi="Times New Roman" w:cs="Times New Roman"/>
          <w:sz w:val="24"/>
          <w:szCs w:val="24"/>
        </w:rPr>
        <w:t xml:space="preserve">section </w:t>
      </w:r>
      <w:r w:rsidR="00D2375B" w:rsidRPr="002E26D2">
        <w:rPr>
          <w:rFonts w:ascii="Times New Roman" w:hAnsi="Times New Roman" w:cs="Times New Roman"/>
          <w:sz w:val="24"/>
          <w:szCs w:val="24"/>
        </w:rPr>
        <w:fldChar w:fldCharType="begin"/>
      </w:r>
      <w:r w:rsidR="00D2375B" w:rsidRPr="002E26D2">
        <w:rPr>
          <w:rFonts w:ascii="Times New Roman" w:hAnsi="Times New Roman" w:cs="Times New Roman"/>
          <w:sz w:val="24"/>
          <w:szCs w:val="24"/>
        </w:rPr>
        <w:instrText xml:space="preserve"> REF _Ref105767648 \r \h </w:instrText>
      </w:r>
      <w:r w:rsidR="002E26D2" w:rsidRPr="002E26D2">
        <w:rPr>
          <w:rFonts w:ascii="Times New Roman" w:hAnsi="Times New Roman" w:cs="Times New Roman"/>
          <w:sz w:val="24"/>
          <w:szCs w:val="24"/>
        </w:rPr>
        <w:instrText xml:space="preserve"> \* MERGEFORMAT </w:instrText>
      </w:r>
      <w:r w:rsidR="00D2375B" w:rsidRPr="002E26D2">
        <w:rPr>
          <w:rFonts w:ascii="Times New Roman" w:hAnsi="Times New Roman" w:cs="Times New Roman"/>
          <w:sz w:val="24"/>
          <w:szCs w:val="24"/>
        </w:rPr>
      </w:r>
      <w:r w:rsidR="00D2375B"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D2375B"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5FA01F23" w14:textId="1845FDBC" w:rsidR="000B3AF7" w:rsidRPr="002E26D2" w:rsidRDefault="000D68C1" w:rsidP="00B23BAE">
      <w:pPr>
        <w:pStyle w:val="Heading5"/>
      </w:pPr>
      <w:bookmarkStart w:id="110" w:name="_Ref105767641"/>
      <w:r w:rsidRPr="002E26D2">
        <w:t>Maintenance of cells</w:t>
      </w:r>
      <w:bookmarkEnd w:id="110"/>
    </w:p>
    <w:p w14:paraId="1CD77628" w14:textId="60877F70"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Cells were resuspended, 1 mL was left in the dish and 9 mL of complete medi</w:t>
      </w:r>
      <w:r w:rsidR="004D779F">
        <w:rPr>
          <w:rFonts w:ascii="Times New Roman" w:hAnsi="Times New Roman" w:cs="Times New Roman"/>
          <w:sz w:val="24"/>
          <w:szCs w:val="24"/>
        </w:rPr>
        <w:t>um</w:t>
      </w:r>
      <w:r w:rsidRPr="002E26D2">
        <w:rPr>
          <w:rFonts w:ascii="Times New Roman" w:hAnsi="Times New Roman" w:cs="Times New Roman"/>
          <w:sz w:val="24"/>
          <w:szCs w:val="24"/>
        </w:rPr>
        <w:t xml:space="preserve"> was added. The dish was returned in the cell incubator. Cells were maintained every 3-4 days when reaching 90 % of confluency.</w:t>
      </w:r>
    </w:p>
    <w:p w14:paraId="10DC9A5A" w14:textId="4B1657AF" w:rsidR="000B3AF7" w:rsidRPr="002E26D2" w:rsidRDefault="000D68C1" w:rsidP="00B23BAE">
      <w:pPr>
        <w:pStyle w:val="Heading5"/>
      </w:pPr>
      <w:bookmarkStart w:id="111" w:name="_Ref105767648"/>
      <w:r w:rsidRPr="002E26D2">
        <w:t>Collecting cells</w:t>
      </w:r>
      <w:bookmarkEnd w:id="111"/>
    </w:p>
    <w:p w14:paraId="7A1A1C8C" w14:textId="059121C3"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Cells were resuspended and collected in 15 mL centrifugal tube, cooled down on ice and centrifuged at 1 000 g, 5 min, 4 °C. Supernatant was discarded and cells were washed two times in 5 mL of PBS, using the same centrifugal parameters. During the wash, 20 µL of the sample was collected for counting (</w:t>
      </w:r>
      <w:r w:rsidR="00C24846" w:rsidRPr="002E26D2">
        <w:rPr>
          <w:rFonts w:ascii="Times New Roman" w:hAnsi="Times New Roman" w:cs="Times New Roman"/>
          <w:sz w:val="24"/>
          <w:szCs w:val="24"/>
        </w:rPr>
        <w:fldChar w:fldCharType="begin"/>
      </w:r>
      <w:r w:rsidR="00C24846" w:rsidRPr="002E26D2">
        <w:rPr>
          <w:rFonts w:ascii="Times New Roman" w:hAnsi="Times New Roman" w:cs="Times New Roman"/>
          <w:sz w:val="24"/>
          <w:szCs w:val="24"/>
        </w:rPr>
        <w:instrText xml:space="preserve"> REF _Ref105767664 \r \h </w:instrText>
      </w:r>
      <w:r w:rsidR="002E26D2" w:rsidRPr="002E26D2">
        <w:rPr>
          <w:rFonts w:ascii="Times New Roman" w:hAnsi="Times New Roman" w:cs="Times New Roman"/>
          <w:sz w:val="24"/>
          <w:szCs w:val="24"/>
        </w:rPr>
        <w:instrText xml:space="preserve"> \* MERGEFORMAT </w:instrText>
      </w:r>
      <w:r w:rsidR="00C24846" w:rsidRPr="002E26D2">
        <w:rPr>
          <w:rFonts w:ascii="Times New Roman" w:hAnsi="Times New Roman" w:cs="Times New Roman"/>
          <w:sz w:val="24"/>
          <w:szCs w:val="24"/>
        </w:rPr>
      </w:r>
      <w:r w:rsidR="00C24846"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3.2.2.4</w:t>
      </w:r>
      <w:r w:rsidR="00C2484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Supernatant was discarded and cell pellet was kept on ice.</w:t>
      </w:r>
    </w:p>
    <w:p w14:paraId="0BC6D7B3" w14:textId="31DF93EF" w:rsidR="000B3AF7" w:rsidRPr="002E26D2" w:rsidRDefault="000B3AF7" w:rsidP="002E2D58">
      <w:pPr>
        <w:pStyle w:val="Heading4"/>
      </w:pPr>
      <w:bookmarkStart w:id="112" w:name="_Ref105767963"/>
      <w:bookmarkStart w:id="113" w:name="_Toc117153850"/>
      <w:r w:rsidRPr="002E26D2">
        <w:t>Freezing and thawing cells</w:t>
      </w:r>
      <w:bookmarkEnd w:id="112"/>
      <w:bookmarkEnd w:id="113"/>
    </w:p>
    <w:p w14:paraId="664DA71F" w14:textId="5ED2E401"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Cells were collected according to the protocol (</w:t>
      </w:r>
      <w:r w:rsidR="00C07251"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_Ref105767648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and counted (</w:t>
      </w:r>
      <w:r w:rsidR="00EC4525"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_Ref105767664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3.2.2.4</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Pellet was resuspended to reach 3×10</w:t>
      </w:r>
      <w:r w:rsidRPr="002F0FF1">
        <w:rPr>
          <w:rFonts w:ascii="Times New Roman" w:hAnsi="Times New Roman" w:cs="Times New Roman"/>
          <w:sz w:val="24"/>
          <w:szCs w:val="24"/>
          <w:vertAlign w:val="superscript"/>
        </w:rPr>
        <w:t>6</w:t>
      </w:r>
      <w:r w:rsidRPr="002F0FF1">
        <w:rPr>
          <w:rFonts w:ascii="Times New Roman" w:hAnsi="Times New Roman" w:cs="Times New Roman"/>
          <w:sz w:val="24"/>
          <w:szCs w:val="24"/>
        </w:rPr>
        <w:t xml:space="preserve"> cells/mL in cryoprotective medi</w:t>
      </w:r>
      <w:r w:rsidR="004D779F" w:rsidRPr="002F0FF1">
        <w:rPr>
          <w:rFonts w:ascii="Times New Roman" w:hAnsi="Times New Roman" w:cs="Times New Roman"/>
          <w:sz w:val="24"/>
          <w:szCs w:val="24"/>
        </w:rPr>
        <w:t>um</w:t>
      </w:r>
      <w:r w:rsidRPr="002F0FF1">
        <w:rPr>
          <w:rFonts w:ascii="Times New Roman" w:hAnsi="Times New Roman" w:cs="Times New Roman"/>
          <w:sz w:val="24"/>
          <w:szCs w:val="24"/>
        </w:rPr>
        <w:t xml:space="preserve">. Cells were transferred in sterile Cryotubes, and stored at -80 °C for short term storage, or in liquid nitrogen for long term storage. When cells were needed, cryotubes were quickly thawed by incubation at 37 °C until the ice melted. Cells were immediately centrifuged at 1 000 g for 2 min, resuspended </w:t>
      </w:r>
      <w:r w:rsidR="004D779F" w:rsidRPr="002F0FF1">
        <w:rPr>
          <w:rFonts w:ascii="Times New Roman" w:hAnsi="Times New Roman" w:cs="Times New Roman"/>
          <w:sz w:val="24"/>
          <w:szCs w:val="24"/>
        </w:rPr>
        <w:t>with</w:t>
      </w:r>
      <w:r w:rsidRPr="002F0FF1">
        <w:rPr>
          <w:rFonts w:ascii="Times New Roman" w:hAnsi="Times New Roman" w:cs="Times New Roman"/>
          <w:sz w:val="24"/>
          <w:szCs w:val="24"/>
        </w:rPr>
        <w:t xml:space="preserve"> complete medi</w:t>
      </w:r>
      <w:r w:rsidR="004D779F" w:rsidRPr="002F0FF1">
        <w:rPr>
          <w:rFonts w:ascii="Times New Roman" w:hAnsi="Times New Roman" w:cs="Times New Roman"/>
          <w:sz w:val="24"/>
          <w:szCs w:val="24"/>
        </w:rPr>
        <w:t>um</w:t>
      </w:r>
      <w:r w:rsidRPr="002F0FF1">
        <w:rPr>
          <w:rFonts w:ascii="Times New Roman" w:hAnsi="Times New Roman" w:cs="Times New Roman"/>
          <w:sz w:val="24"/>
          <w:szCs w:val="24"/>
        </w:rPr>
        <w:t>, plated in 10 cm dish and placed in the cell incubator.</w:t>
      </w:r>
    </w:p>
    <w:p w14:paraId="4BE49DF5" w14:textId="5E1141D1" w:rsidR="000B3AF7" w:rsidRPr="002E26D2" w:rsidRDefault="000B3AF7" w:rsidP="002E2D58">
      <w:pPr>
        <w:pStyle w:val="Heading4"/>
      </w:pPr>
      <w:bookmarkStart w:id="114" w:name="_Ref105767664"/>
      <w:bookmarkStart w:id="115" w:name="_Toc117153851"/>
      <w:r w:rsidRPr="002E26D2">
        <w:t>Counting cells</w:t>
      </w:r>
      <w:bookmarkEnd w:id="114"/>
      <w:bookmarkEnd w:id="115"/>
    </w:p>
    <w:p w14:paraId="1C8CAA54" w14:textId="2359CB27"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Cells were counted using the Glasstic</w:t>
      </w:r>
      <w:r w:rsidR="00A91767" w:rsidRPr="002F0FF1">
        <w:rPr>
          <w:rFonts w:ascii="Times New Roman" w:hAnsi="Times New Roman" w:cs="Times New Roman"/>
          <w:sz w:val="24"/>
          <w:szCs w:val="24"/>
          <w:vertAlign w:val="superscript"/>
        </w:rPr>
        <w:t>TM</w:t>
      </w:r>
      <w:r w:rsidRPr="002F0FF1">
        <w:rPr>
          <w:rFonts w:ascii="Times New Roman" w:hAnsi="Times New Roman" w:cs="Times New Roman"/>
          <w:sz w:val="24"/>
          <w:szCs w:val="24"/>
        </w:rPr>
        <w:t xml:space="preserve"> slides according to the manufacturer’s instruction. Briefly, 20 µL of cells resuspended in PBS (</w:t>
      </w:r>
      <w:r w:rsidR="00AC057D"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_Ref105767648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were collected and diluted in 80 µL trypan blue (dilution factor = 5). Few </w:t>
      </w:r>
      <w:r w:rsidR="004D779F" w:rsidRPr="002F0FF1">
        <w:rPr>
          <w:rFonts w:ascii="Times New Roman" w:hAnsi="Times New Roman" w:cs="Times New Roman"/>
          <w:sz w:val="24"/>
          <w:szCs w:val="24"/>
        </w:rPr>
        <w:t>microliters</w:t>
      </w:r>
      <w:r w:rsidRPr="002F0FF1">
        <w:rPr>
          <w:rFonts w:ascii="Times New Roman" w:hAnsi="Times New Roman" w:cs="Times New Roman"/>
          <w:sz w:val="24"/>
          <w:szCs w:val="24"/>
        </w:rPr>
        <w:t xml:space="preserve"> were used to load the counting chamber and cells were counted under the microscope. The full grid of 81 squares was counted. The calculation was done as follow:</w:t>
      </w:r>
    </w:p>
    <w:p w14:paraId="5B6F28B0" w14:textId="318628AB" w:rsidR="000B3AF7" w:rsidRPr="002E26D2" w:rsidRDefault="003D58A7" w:rsidP="004927BB">
      <w:pPr>
        <w:spacing w:line="360" w:lineRule="auto"/>
        <w:jc w:val="both"/>
        <w:rPr>
          <w:rFonts w:ascii="Times New Roman" w:hAnsi="Times New Roman" w:cs="Times New Roman"/>
          <w:sz w:val="24"/>
          <w:szCs w:val="24"/>
        </w:rPr>
      </w:pPr>
      <m:oMathPara>
        <m:oMath>
          <m:f>
            <m:fPr>
              <m:ctrlPr>
                <w:rPr>
                  <w:rFonts w:ascii="Cambria Math" w:hAnsi="Cambria Math" w:cs="Times New Roman"/>
                  <w:sz w:val="24"/>
                  <w:szCs w:val="24"/>
                </w:rPr>
              </m:ctrlPr>
            </m:fPr>
            <m:num>
              <m:r>
                <w:rPr>
                  <w:rFonts w:ascii="Cambria Math" w:hAnsi="Cambria Math" w:cs="Times New Roman"/>
                  <w:sz w:val="24"/>
                  <w:szCs w:val="24"/>
                </w:rPr>
                <m:t>Cell count</m:t>
              </m:r>
            </m:num>
            <m:den>
              <m:r>
                <w:rPr>
                  <w:rFonts w:ascii="Cambria Math" w:hAnsi="Cambria Math" w:cs="Times New Roman"/>
                  <w:sz w:val="24"/>
                  <w:szCs w:val="24"/>
                </w:rPr>
                <m:t>81</m:t>
              </m:r>
            </m:den>
          </m:f>
          <m:r>
            <m:rPr>
              <m:sty m:val="p"/>
            </m:rPr>
            <w:rPr>
              <w:rFonts w:ascii="Cambria Math" w:hAnsi="Cambria Math" w:cs="Times New Roman"/>
              <w:sz w:val="24"/>
              <w:szCs w:val="24"/>
            </w:rPr>
            <m:t>×90000×</m:t>
          </m:r>
          <m:r>
            <w:rPr>
              <w:rFonts w:ascii="Cambria Math" w:hAnsi="Cambria Math" w:cs="Times New Roman"/>
              <w:sz w:val="24"/>
              <w:szCs w:val="24"/>
            </w:rPr>
            <m:t>Dilution</m:t>
          </m:r>
          <m:r>
            <m:rPr>
              <m:sty m:val="p"/>
            </m:rPr>
            <w:rPr>
              <w:rFonts w:ascii="Cambria Math" w:hAnsi="Cambria Math" w:cs="Times New Roman"/>
              <w:sz w:val="24"/>
              <w:szCs w:val="24"/>
            </w:rPr>
            <m:t xml:space="preserve"> </m:t>
          </m:r>
          <m:r>
            <w:rPr>
              <w:rFonts w:ascii="Cambria Math" w:hAnsi="Cambria Math" w:cs="Times New Roman"/>
              <w:sz w:val="24"/>
              <w:szCs w:val="24"/>
            </w:rPr>
            <m:t>factor</m:t>
          </m:r>
          <m:r>
            <m:rPr>
              <m:sty m:val="p"/>
            </m:rPr>
            <w:rPr>
              <w:rFonts w:ascii="Cambria Math" w:hAnsi="Cambria Math" w:cs="Times New Roman"/>
              <w:sz w:val="24"/>
              <w:szCs w:val="24"/>
            </w:rPr>
            <m:t>=</m:t>
          </m:r>
          <m:r>
            <w:rPr>
              <w:rFonts w:ascii="Cambria Math" w:hAnsi="Cambria Math" w:cs="Times New Roman"/>
              <w:sz w:val="24"/>
              <w:szCs w:val="24"/>
            </w:rPr>
            <m:t>Cell</m:t>
          </m:r>
          <m:r>
            <m:rPr>
              <m:sty m:val="p"/>
            </m:rPr>
            <w:rPr>
              <w:rFonts w:ascii="Cambria Math" w:hAnsi="Cambria Math" w:cs="Times New Roman"/>
              <w:sz w:val="24"/>
              <w:szCs w:val="24"/>
            </w:rPr>
            <m:t xml:space="preserve"> </m:t>
          </m:r>
          <m:r>
            <w:rPr>
              <w:rFonts w:ascii="Cambria Math" w:hAnsi="Cambria Math" w:cs="Times New Roman"/>
              <w:sz w:val="24"/>
              <w:szCs w:val="24"/>
            </w:rPr>
            <m:t>concentration</m:t>
          </m:r>
          <m:r>
            <m:rPr>
              <m:sty m:val="p"/>
            </m:rPr>
            <w:rPr>
              <w:rFonts w:ascii="Cambria Math" w:hAnsi="Cambria Math" w:cs="Times New Roman"/>
              <w:sz w:val="24"/>
              <w:szCs w:val="24"/>
            </w:rPr>
            <m:t xml:space="preserve"> (</m:t>
          </m:r>
          <m:f>
            <m:fPr>
              <m:type m:val="lin"/>
              <m:ctrlPr>
                <w:rPr>
                  <w:rFonts w:ascii="Cambria Math" w:hAnsi="Cambria Math" w:cs="Times New Roman"/>
                  <w:sz w:val="24"/>
                  <w:szCs w:val="24"/>
                </w:rPr>
              </m:ctrlPr>
            </m:fPr>
            <m:num>
              <m:r>
                <w:rPr>
                  <w:rFonts w:ascii="Cambria Math" w:hAnsi="Cambria Math" w:cs="Times New Roman"/>
                  <w:sz w:val="24"/>
                  <w:szCs w:val="24"/>
                </w:rPr>
                <m:t>cells</m:t>
              </m:r>
            </m:num>
            <m:den>
              <m:r>
                <w:rPr>
                  <w:rFonts w:ascii="Cambria Math" w:hAnsi="Cambria Math" w:cs="Times New Roman"/>
                  <w:sz w:val="24"/>
                  <w:szCs w:val="24"/>
                </w:rPr>
                <m:t>mL</m:t>
              </m:r>
              <m:r>
                <m:rPr>
                  <m:sty m:val="p"/>
                </m:rPr>
                <w:rPr>
                  <w:rFonts w:ascii="Cambria Math" w:hAnsi="Cambria Math" w:cs="Times New Roman"/>
                  <w:sz w:val="24"/>
                  <w:szCs w:val="24"/>
                </w:rPr>
                <m:t>)</m:t>
              </m:r>
            </m:den>
          </m:f>
        </m:oMath>
      </m:oMathPara>
    </w:p>
    <w:p w14:paraId="7FB9E96D" w14:textId="2F45E16C" w:rsidR="000B3AF7" w:rsidRPr="002E26D2" w:rsidRDefault="000B3AF7" w:rsidP="002E2D58">
      <w:pPr>
        <w:pStyle w:val="Heading4"/>
      </w:pPr>
      <w:bookmarkStart w:id="116" w:name="_Ref105767753"/>
      <w:bookmarkStart w:id="117" w:name="_Toc117153852"/>
      <w:r w:rsidRPr="002E26D2">
        <w:t>Transfection</w:t>
      </w:r>
      <w:bookmarkEnd w:id="116"/>
      <w:bookmarkEnd w:id="117"/>
    </w:p>
    <w:p w14:paraId="1A3CE539" w14:textId="725C9AE9" w:rsidR="000B3AF7" w:rsidRPr="002F0FF1"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Cell transfections were realized with </w:t>
      </w:r>
      <w:r w:rsidRPr="002F0FF1">
        <w:rPr>
          <w:rFonts w:ascii="Times New Roman" w:hAnsi="Times New Roman" w:cs="Times New Roman"/>
          <w:sz w:val="24"/>
          <w:szCs w:val="24"/>
        </w:rPr>
        <w:t xml:space="preserve">plasmids listed in </w:t>
      </w:r>
      <w:r w:rsidR="005F1542" w:rsidRPr="002F0FF1">
        <w:rPr>
          <w:rFonts w:ascii="Times New Roman" w:hAnsi="Times New Roman" w:cs="Times New Roman"/>
          <w:sz w:val="24"/>
          <w:szCs w:val="24"/>
        </w:rPr>
        <w:fldChar w:fldCharType="begin"/>
      </w:r>
      <w:r w:rsidR="005F1542" w:rsidRPr="002F0FF1">
        <w:rPr>
          <w:rFonts w:ascii="Times New Roman" w:hAnsi="Times New Roman" w:cs="Times New Roman"/>
          <w:sz w:val="24"/>
          <w:szCs w:val="24"/>
        </w:rPr>
        <w:instrText xml:space="preserve"> REF _Ref107320460 \h </w:instrText>
      </w:r>
      <w:r w:rsidR="002F0FF1" w:rsidRPr="002F0FF1">
        <w:rPr>
          <w:rFonts w:ascii="Times New Roman" w:hAnsi="Times New Roman" w:cs="Times New Roman"/>
          <w:sz w:val="24"/>
          <w:szCs w:val="24"/>
        </w:rPr>
        <w:instrText xml:space="preserve"> \* MERGEFORMAT </w:instrText>
      </w:r>
      <w:r w:rsidR="005F1542" w:rsidRPr="002F0FF1">
        <w:rPr>
          <w:rFonts w:ascii="Times New Roman" w:hAnsi="Times New Roman" w:cs="Times New Roman"/>
          <w:sz w:val="24"/>
          <w:szCs w:val="24"/>
        </w:rPr>
      </w:r>
      <w:r w:rsidR="005F1542" w:rsidRPr="002F0FF1">
        <w:rPr>
          <w:rFonts w:ascii="Times New Roman" w:hAnsi="Times New Roman" w:cs="Times New Roman"/>
          <w:sz w:val="24"/>
          <w:szCs w:val="24"/>
        </w:rPr>
        <w:fldChar w:fldCharType="separate"/>
      </w:r>
      <w:r w:rsidR="00790F77" w:rsidRPr="00F734BC">
        <w:rPr>
          <w:rFonts w:ascii="Times New Roman" w:hAnsi="Times New Roman" w:cs="Times New Roman"/>
          <w:sz w:val="24"/>
          <w:szCs w:val="24"/>
        </w:rPr>
        <w:t xml:space="preserve">Table </w:t>
      </w:r>
      <w:r w:rsidR="00790F77">
        <w:rPr>
          <w:rFonts w:ascii="Times New Roman" w:hAnsi="Times New Roman" w:cs="Times New Roman"/>
          <w:noProof/>
          <w:sz w:val="24"/>
          <w:szCs w:val="24"/>
        </w:rPr>
        <w:t>11</w:t>
      </w:r>
      <w:r w:rsidR="005F1542"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using Turbofect transfection reagent according to manufacturer’s instructions. Briefly, for a 6 well culture plate format, 10</w:t>
      </w:r>
      <w:r w:rsidRPr="002F0FF1">
        <w:rPr>
          <w:rFonts w:ascii="Times New Roman" w:hAnsi="Times New Roman" w:cs="Times New Roman"/>
          <w:sz w:val="24"/>
          <w:szCs w:val="24"/>
          <w:vertAlign w:val="superscript"/>
        </w:rPr>
        <w:t>5</w:t>
      </w:r>
      <w:r w:rsidRPr="002F0FF1">
        <w:rPr>
          <w:rFonts w:ascii="Times New Roman" w:hAnsi="Times New Roman" w:cs="Times New Roman"/>
          <w:sz w:val="24"/>
          <w:szCs w:val="24"/>
        </w:rPr>
        <w:t xml:space="preserve"> </w:t>
      </w:r>
      <w:r w:rsidRPr="002F0FF1">
        <w:rPr>
          <w:rFonts w:ascii="Times New Roman" w:hAnsi="Times New Roman" w:cs="Times New Roman"/>
          <w:sz w:val="24"/>
          <w:szCs w:val="24"/>
        </w:rPr>
        <w:lastRenderedPageBreak/>
        <w:t>cells were seeded and placed in the cell incubator overnight. The next day, the cells were transfected with the transfection mixture (4 µg of plasmid and 6 µl of Turbofect reagent diluted in 400 µL of OptiMem) and incubated at room temperature for 20 min. The culture medi</w:t>
      </w:r>
      <w:r w:rsidR="0088464D" w:rsidRPr="002F0FF1">
        <w:rPr>
          <w:rFonts w:ascii="Times New Roman" w:hAnsi="Times New Roman" w:cs="Times New Roman"/>
          <w:sz w:val="24"/>
          <w:szCs w:val="24"/>
        </w:rPr>
        <w:t>um</w:t>
      </w:r>
      <w:r w:rsidRPr="002F0FF1">
        <w:rPr>
          <w:rFonts w:ascii="Times New Roman" w:hAnsi="Times New Roman" w:cs="Times New Roman"/>
          <w:sz w:val="24"/>
          <w:szCs w:val="24"/>
        </w:rPr>
        <w:t xml:space="preserve"> was changed during this time window with 3.6 mL of fresh complete medi</w:t>
      </w:r>
      <w:r w:rsidR="0088464D" w:rsidRPr="002F0FF1">
        <w:rPr>
          <w:rFonts w:ascii="Times New Roman" w:hAnsi="Times New Roman" w:cs="Times New Roman"/>
          <w:sz w:val="24"/>
          <w:szCs w:val="24"/>
        </w:rPr>
        <w:t>um</w:t>
      </w:r>
      <w:r w:rsidRPr="002F0FF1">
        <w:rPr>
          <w:rFonts w:ascii="Times New Roman" w:hAnsi="Times New Roman" w:cs="Times New Roman"/>
          <w:sz w:val="24"/>
          <w:szCs w:val="24"/>
        </w:rPr>
        <w:t>, and transfection mix was applied to reach a final volume of 4 mL. Cells were immediately placed in the cell incubator. The medi</w:t>
      </w:r>
      <w:r w:rsidR="0088464D" w:rsidRPr="002F0FF1">
        <w:rPr>
          <w:rFonts w:ascii="Times New Roman" w:hAnsi="Times New Roman" w:cs="Times New Roman"/>
          <w:sz w:val="24"/>
          <w:szCs w:val="24"/>
        </w:rPr>
        <w:t>um</w:t>
      </w:r>
      <w:r w:rsidRPr="002F0FF1">
        <w:rPr>
          <w:rFonts w:ascii="Times New Roman" w:hAnsi="Times New Roman" w:cs="Times New Roman"/>
          <w:sz w:val="24"/>
          <w:szCs w:val="24"/>
        </w:rPr>
        <w:t xml:space="preserve"> was changed 6 h post transfection. Cells were used 48</w:t>
      </w:r>
      <w:r w:rsidR="00A36468" w:rsidRPr="002F0FF1">
        <w:rPr>
          <w:rFonts w:ascii="Times New Roman" w:hAnsi="Times New Roman" w:cs="Times New Roman"/>
          <w:sz w:val="24"/>
          <w:szCs w:val="24"/>
        </w:rPr>
        <w:t xml:space="preserve"> </w:t>
      </w:r>
      <w:r w:rsidRPr="002F0FF1">
        <w:rPr>
          <w:rFonts w:ascii="Times New Roman" w:hAnsi="Times New Roman" w:cs="Times New Roman"/>
          <w:sz w:val="24"/>
          <w:szCs w:val="24"/>
        </w:rPr>
        <w:t>h post transfection for the different analysis.</w:t>
      </w:r>
    </w:p>
    <w:p w14:paraId="2D328177" w14:textId="2846517E" w:rsidR="000B3AF7" w:rsidRPr="002E26D2" w:rsidRDefault="000B3AF7" w:rsidP="002E2D58">
      <w:pPr>
        <w:pStyle w:val="Heading4"/>
      </w:pPr>
      <w:bookmarkStart w:id="118" w:name="_Ref105768720"/>
      <w:bookmarkStart w:id="119" w:name="_Toc117153853"/>
      <w:r w:rsidRPr="002E26D2">
        <w:t>Silencing</w:t>
      </w:r>
      <w:bookmarkEnd w:id="118"/>
      <w:bookmarkEnd w:id="119"/>
    </w:p>
    <w:p w14:paraId="059D9032" w14:textId="12B6A069" w:rsidR="000B3AF7" w:rsidRPr="005B4BE1" w:rsidRDefault="000B3AF7" w:rsidP="00A77AA0">
      <w:pPr>
        <w:pStyle w:val="Caption"/>
        <w:keepNext/>
        <w:spacing w:line="360" w:lineRule="auto"/>
        <w:rPr>
          <w:rFonts w:ascii="Times New Roman" w:hAnsi="Times New Roman" w:cs="Times New Roman"/>
          <w:i w:val="0"/>
          <w:sz w:val="24"/>
          <w:szCs w:val="24"/>
        </w:rPr>
      </w:pPr>
      <w:r w:rsidRPr="002F0FF1">
        <w:rPr>
          <w:rFonts w:ascii="Times New Roman" w:hAnsi="Times New Roman" w:cs="Times New Roman"/>
          <w:i w:val="0"/>
          <w:sz w:val="24"/>
          <w:szCs w:val="24"/>
        </w:rPr>
        <w:t xml:space="preserve">Silencing was performed using Dharmafect 4 transfection reagent and Dharmacon silencers listed in </w:t>
      </w:r>
      <w:r w:rsidR="00A77AA0" w:rsidRPr="002F0FF1">
        <w:rPr>
          <w:rFonts w:ascii="Times New Roman" w:hAnsi="Times New Roman" w:cs="Times New Roman"/>
          <w:i w:val="0"/>
          <w:sz w:val="24"/>
          <w:szCs w:val="24"/>
        </w:rPr>
        <w:fldChar w:fldCharType="begin"/>
      </w:r>
      <w:r w:rsidR="00A77AA0" w:rsidRPr="002F0FF1">
        <w:rPr>
          <w:rFonts w:ascii="Times New Roman" w:hAnsi="Times New Roman" w:cs="Times New Roman"/>
          <w:i w:val="0"/>
          <w:sz w:val="24"/>
          <w:szCs w:val="24"/>
        </w:rPr>
        <w:instrText xml:space="preserve"> REF _Ref107324395 \h </w:instrText>
      </w:r>
      <w:r w:rsidR="005B4BE1" w:rsidRPr="002F0FF1">
        <w:rPr>
          <w:rFonts w:ascii="Times New Roman" w:hAnsi="Times New Roman" w:cs="Times New Roman"/>
          <w:i w:val="0"/>
          <w:sz w:val="24"/>
          <w:szCs w:val="24"/>
        </w:rPr>
        <w:instrText xml:space="preserve"> \* MERGEFORMAT </w:instrText>
      </w:r>
      <w:r w:rsidR="00A77AA0" w:rsidRPr="002F0FF1">
        <w:rPr>
          <w:rFonts w:ascii="Times New Roman" w:hAnsi="Times New Roman" w:cs="Times New Roman"/>
          <w:i w:val="0"/>
          <w:sz w:val="24"/>
          <w:szCs w:val="24"/>
        </w:rPr>
      </w:r>
      <w:r w:rsidR="00A77AA0" w:rsidRPr="002F0FF1">
        <w:rPr>
          <w:rFonts w:ascii="Times New Roman" w:hAnsi="Times New Roman" w:cs="Times New Roman"/>
          <w:i w:val="0"/>
          <w:sz w:val="24"/>
          <w:szCs w:val="24"/>
        </w:rPr>
        <w:fldChar w:fldCharType="separate"/>
      </w:r>
      <w:r w:rsidR="00790F77" w:rsidRPr="00790F77">
        <w:rPr>
          <w:rFonts w:ascii="Times New Roman" w:hAnsi="Times New Roman" w:cs="Times New Roman"/>
          <w:i w:val="0"/>
          <w:sz w:val="24"/>
          <w:szCs w:val="24"/>
        </w:rPr>
        <w:t xml:space="preserve">Table </w:t>
      </w:r>
      <w:r w:rsidR="00790F77" w:rsidRPr="00790F77">
        <w:rPr>
          <w:rFonts w:ascii="Times New Roman" w:hAnsi="Times New Roman" w:cs="Times New Roman"/>
          <w:i w:val="0"/>
          <w:noProof/>
          <w:sz w:val="24"/>
          <w:szCs w:val="24"/>
        </w:rPr>
        <w:t>14</w:t>
      </w:r>
      <w:r w:rsidR="00A77AA0" w:rsidRPr="002F0FF1">
        <w:rPr>
          <w:rFonts w:ascii="Times New Roman" w:hAnsi="Times New Roman" w:cs="Times New Roman"/>
          <w:i w:val="0"/>
          <w:sz w:val="24"/>
          <w:szCs w:val="24"/>
        </w:rPr>
        <w:fldChar w:fldCharType="end"/>
      </w:r>
      <w:r w:rsidRPr="002F0FF1">
        <w:rPr>
          <w:rFonts w:ascii="Times New Roman" w:hAnsi="Times New Roman" w:cs="Times New Roman"/>
          <w:i w:val="0"/>
          <w:sz w:val="24"/>
          <w:szCs w:val="24"/>
        </w:rPr>
        <w:t>, according to manufacturer’s instructions. Briefly, for a 6</w:t>
      </w:r>
      <w:r w:rsidR="00A36468" w:rsidRPr="002F0FF1">
        <w:rPr>
          <w:rFonts w:ascii="Times New Roman" w:hAnsi="Times New Roman" w:cs="Times New Roman"/>
          <w:i w:val="0"/>
          <w:sz w:val="24"/>
          <w:szCs w:val="24"/>
        </w:rPr>
        <w:t>-</w:t>
      </w:r>
      <w:r w:rsidRPr="002F0FF1">
        <w:rPr>
          <w:rFonts w:ascii="Times New Roman" w:hAnsi="Times New Roman" w:cs="Times New Roman"/>
          <w:i w:val="0"/>
          <w:sz w:val="24"/>
          <w:szCs w:val="24"/>
        </w:rPr>
        <w:t>well plate format, cells were seeded at 7×10</w:t>
      </w:r>
      <w:r w:rsidRPr="002F0FF1">
        <w:rPr>
          <w:rFonts w:ascii="Times New Roman" w:hAnsi="Times New Roman" w:cs="Times New Roman"/>
          <w:i w:val="0"/>
          <w:sz w:val="24"/>
          <w:szCs w:val="24"/>
          <w:vertAlign w:val="superscript"/>
        </w:rPr>
        <w:t>4</w:t>
      </w:r>
      <w:r w:rsidRPr="002F0FF1">
        <w:rPr>
          <w:rFonts w:ascii="Times New Roman" w:hAnsi="Times New Roman" w:cs="Times New Roman"/>
          <w:i w:val="0"/>
          <w:sz w:val="24"/>
          <w:szCs w:val="24"/>
        </w:rPr>
        <w:t xml:space="preserve"> cells/well and placed in the cell incubator overnight. The next day, the transfection mix was prepared (10 µL Silencer (5 µM), 2 µL Dharmafect, and 388 µL OptiMem) and incubated for 20 min at room temperature. The cell medi</w:t>
      </w:r>
      <w:r w:rsidR="00153832" w:rsidRPr="002F0FF1">
        <w:rPr>
          <w:rFonts w:ascii="Times New Roman" w:hAnsi="Times New Roman" w:cs="Times New Roman"/>
          <w:i w:val="0"/>
          <w:sz w:val="24"/>
          <w:szCs w:val="24"/>
        </w:rPr>
        <w:t>um</w:t>
      </w:r>
      <w:r w:rsidRPr="002F0FF1">
        <w:rPr>
          <w:rFonts w:ascii="Times New Roman" w:hAnsi="Times New Roman" w:cs="Times New Roman"/>
          <w:i w:val="0"/>
          <w:sz w:val="24"/>
          <w:szCs w:val="24"/>
        </w:rPr>
        <w:t xml:space="preserve"> was replaced during this time window, with 1.6 mL of fresh complete medi</w:t>
      </w:r>
      <w:r w:rsidR="00153832" w:rsidRPr="002F0FF1">
        <w:rPr>
          <w:rFonts w:ascii="Times New Roman" w:hAnsi="Times New Roman" w:cs="Times New Roman"/>
          <w:i w:val="0"/>
          <w:sz w:val="24"/>
          <w:szCs w:val="24"/>
        </w:rPr>
        <w:t>um</w:t>
      </w:r>
      <w:r w:rsidRPr="002F0FF1">
        <w:rPr>
          <w:rFonts w:ascii="Times New Roman" w:hAnsi="Times New Roman" w:cs="Times New Roman"/>
          <w:i w:val="0"/>
          <w:sz w:val="24"/>
          <w:szCs w:val="24"/>
        </w:rPr>
        <w:t>, after which the transfection mix was added. Cells were immediately placed in the cell incubator overnight and the medi</w:t>
      </w:r>
      <w:r w:rsidR="00153832" w:rsidRPr="002F0FF1">
        <w:rPr>
          <w:rFonts w:ascii="Times New Roman" w:hAnsi="Times New Roman" w:cs="Times New Roman"/>
          <w:i w:val="0"/>
          <w:sz w:val="24"/>
          <w:szCs w:val="24"/>
        </w:rPr>
        <w:t>um</w:t>
      </w:r>
      <w:r w:rsidRPr="002F0FF1">
        <w:rPr>
          <w:rFonts w:ascii="Times New Roman" w:hAnsi="Times New Roman" w:cs="Times New Roman"/>
          <w:i w:val="0"/>
          <w:sz w:val="24"/>
          <w:szCs w:val="24"/>
        </w:rPr>
        <w:t xml:space="preserve"> was changed the </w:t>
      </w:r>
      <w:r w:rsidRPr="005B4BE1">
        <w:rPr>
          <w:rFonts w:ascii="Times New Roman" w:hAnsi="Times New Roman" w:cs="Times New Roman"/>
          <w:i w:val="0"/>
          <w:sz w:val="24"/>
          <w:szCs w:val="24"/>
        </w:rPr>
        <w:t xml:space="preserve">next day. Cells were used for experiments 72 h post transfection for the different analysis. </w:t>
      </w:r>
    </w:p>
    <w:p w14:paraId="1B7F90FF" w14:textId="49F07C6B" w:rsidR="000B3AF7" w:rsidRPr="002E26D2" w:rsidRDefault="000B3AF7" w:rsidP="002E2D58">
      <w:pPr>
        <w:pStyle w:val="Heading4"/>
      </w:pPr>
      <w:bookmarkStart w:id="120" w:name="_Toc117153854"/>
      <w:r w:rsidRPr="002E26D2">
        <w:t>Production of NME6-KI</w:t>
      </w:r>
      <w:r w:rsidR="00E27B87">
        <w:t xml:space="preserve"> (Knock-In)</w:t>
      </w:r>
      <w:r w:rsidRPr="002E26D2">
        <w:t xml:space="preserve"> and NME6-KO</w:t>
      </w:r>
      <w:r w:rsidR="00E27B87">
        <w:t xml:space="preserve"> (Knockout)</w:t>
      </w:r>
      <w:r w:rsidRPr="002E26D2">
        <w:t xml:space="preserve"> clones</w:t>
      </w:r>
      <w:bookmarkEnd w:id="120"/>
    </w:p>
    <w:p w14:paraId="07EA431C" w14:textId="25528CC7" w:rsidR="000B3AF7" w:rsidRPr="002E26D2" w:rsidRDefault="000D68C1" w:rsidP="00B23BAE">
      <w:pPr>
        <w:pStyle w:val="Heading5"/>
      </w:pPr>
      <w:bookmarkStart w:id="121" w:name="_Ref105767943"/>
      <w:r w:rsidRPr="002E26D2">
        <w:t>N</w:t>
      </w:r>
      <w:r w:rsidR="00153832">
        <w:t>ME</w:t>
      </w:r>
      <w:r w:rsidRPr="002E26D2">
        <w:t>6-</w:t>
      </w:r>
      <w:r w:rsidR="00153832">
        <w:t>KI</w:t>
      </w:r>
      <w:r w:rsidRPr="002E26D2">
        <w:t xml:space="preserve"> stable clones</w:t>
      </w:r>
      <w:bookmarkEnd w:id="121"/>
    </w:p>
    <w:p w14:paraId="411D2CB0" w14:textId="2BD00E7F"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MDA-MB-231T cells were transfected with pcDNA3.1-NME6-194-FLAG and pcDNA3.1-NME6-186-FLAG using Turbofect transfection reagent according to</w:t>
      </w:r>
      <w:r w:rsidR="00DF7670" w:rsidRPr="002F0FF1">
        <w:rPr>
          <w:rFonts w:ascii="Times New Roman" w:hAnsi="Times New Roman" w:cs="Times New Roman"/>
          <w:sz w:val="24"/>
          <w:szCs w:val="24"/>
        </w:rPr>
        <w:t xml:space="preserve"> section</w:t>
      </w:r>
      <w:r w:rsidRPr="002F0FF1">
        <w:rPr>
          <w:rFonts w:ascii="Times New Roman" w:hAnsi="Times New Roman" w:cs="Times New Roman"/>
          <w:sz w:val="24"/>
          <w:szCs w:val="24"/>
        </w:rPr>
        <w:t xml:space="preserve">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_Ref105767753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3.2.2.5</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w:t>
      </w:r>
      <w:r w:rsidR="00153832" w:rsidRPr="002F0FF1">
        <w:rPr>
          <w:rFonts w:ascii="Times New Roman" w:hAnsi="Times New Roman" w:cs="Times New Roman"/>
          <w:sz w:val="24"/>
          <w:szCs w:val="24"/>
        </w:rPr>
        <w:t>The m</w:t>
      </w:r>
      <w:r w:rsidRPr="002F0FF1">
        <w:rPr>
          <w:rFonts w:ascii="Times New Roman" w:hAnsi="Times New Roman" w:cs="Times New Roman"/>
          <w:sz w:val="24"/>
          <w:szCs w:val="24"/>
        </w:rPr>
        <w:t>edi</w:t>
      </w:r>
      <w:r w:rsidR="00153832" w:rsidRPr="002F0FF1">
        <w:rPr>
          <w:rFonts w:ascii="Times New Roman" w:hAnsi="Times New Roman" w:cs="Times New Roman"/>
          <w:sz w:val="24"/>
          <w:szCs w:val="24"/>
        </w:rPr>
        <w:t>um</w:t>
      </w:r>
      <w:r w:rsidRPr="002F0FF1">
        <w:rPr>
          <w:rFonts w:ascii="Times New Roman" w:hAnsi="Times New Roman" w:cs="Times New Roman"/>
          <w:sz w:val="24"/>
          <w:szCs w:val="24"/>
        </w:rPr>
        <w:t xml:space="preserve"> was changed 6 h post transfection with DMEMcomp. The selection of stable clones commenced 24 h post transfection in DMEM</w:t>
      </w:r>
      <w:r w:rsidR="00693171" w:rsidRPr="002F0FF1">
        <w:rPr>
          <w:rFonts w:ascii="Times New Roman" w:hAnsi="Times New Roman" w:cs="Times New Roman"/>
          <w:sz w:val="24"/>
          <w:szCs w:val="24"/>
        </w:rPr>
        <w:t>g</w:t>
      </w:r>
      <w:r w:rsidRPr="002F0FF1">
        <w:rPr>
          <w:rFonts w:ascii="Times New Roman" w:hAnsi="Times New Roman" w:cs="Times New Roman"/>
          <w:sz w:val="24"/>
          <w:szCs w:val="24"/>
        </w:rPr>
        <w:t>418 for 14 days. During this period the medi</w:t>
      </w:r>
      <w:r w:rsidR="0088464D" w:rsidRPr="002F0FF1">
        <w:rPr>
          <w:rFonts w:ascii="Times New Roman" w:hAnsi="Times New Roman" w:cs="Times New Roman"/>
          <w:sz w:val="24"/>
          <w:szCs w:val="24"/>
        </w:rPr>
        <w:t>um</w:t>
      </w:r>
      <w:r w:rsidRPr="002F0FF1">
        <w:rPr>
          <w:rFonts w:ascii="Times New Roman" w:hAnsi="Times New Roman" w:cs="Times New Roman"/>
          <w:sz w:val="24"/>
          <w:szCs w:val="24"/>
        </w:rPr>
        <w:t xml:space="preserve"> was changed every 4 days (</w:t>
      </w:r>
      <w:r w:rsidR="00582588"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_Ref105767641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3.2.2.2.1</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Selected cells underwent single-cell clone expansion as described in the 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_Ref105767778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3.2.2.7.3</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r w:rsidR="00582588" w:rsidRPr="002F0FF1">
        <w:rPr>
          <w:rFonts w:ascii="Times New Roman" w:hAnsi="Times New Roman" w:cs="Times New Roman"/>
          <w:sz w:val="24"/>
          <w:szCs w:val="24"/>
        </w:rPr>
        <w:t xml:space="preserve"> </w:t>
      </w:r>
      <w:r w:rsidRPr="002F0FF1">
        <w:rPr>
          <w:rFonts w:ascii="Times New Roman" w:hAnsi="Times New Roman" w:cs="Times New Roman"/>
          <w:sz w:val="24"/>
          <w:szCs w:val="24"/>
        </w:rPr>
        <w:t>The proper integration of the plasmid of interest in viable colonies was confirmed by Western blot (</w:t>
      </w:r>
      <w:r w:rsidR="00582588"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using anti-FLAG antibody for KI clones.</w:t>
      </w:r>
    </w:p>
    <w:p w14:paraId="17483987" w14:textId="08FEB1B8"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KI-negative control clones (Neg5, Neg6, Neg7) were </w:t>
      </w:r>
      <w:r w:rsidR="0093048F">
        <w:rPr>
          <w:rFonts w:ascii="Times New Roman" w:hAnsi="Times New Roman" w:cs="Times New Roman"/>
          <w:sz w:val="24"/>
          <w:szCs w:val="24"/>
        </w:rPr>
        <w:t xml:space="preserve">previously prepared and used in the laboratory </w:t>
      </w:r>
      <w:r w:rsidR="0093048F">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{"citationItems":[{"id":"ITEM-1","itemData":{"DOI":"10.1038/labinvest.2017.134","ISSN":"0023-6837","PMID":"29400699","abstract":"Nucleoside diphosphate kinases are enzymes present in all domains of life. In animals, they are called Nme or Nm23 proteins, and are divided into group I and II. Human Nme1 was the first protein identified as a metastasis suppressor. Because of its medical importance, it has been extensively studied. In spite of the large research effort, the exact mechanism of metastasis suppression remains unclear. It is unknown which of the biochemical properties or biological functions are responsible for the antimetastatic role of the mammalian Nme1. Furthermore, it is not clear at which point in the evolution of life group I Nme proteins acquired the potential to suppress metastasis, a process that is usually associated with complex animals. In this study we performed a series of tests and assays on a group I Nme protein from filasterean Capsaspora owczarzaki, a close unicellular relative of animals. The aim was to compare the protein to the well-known human Nme1 and Nme2 homologs, as well as with the homolog from a simple animal - sponge (Porifera), in order to see how the proteins changed with the transition to multicellularity, and subsequently in the evolution of complex animals. We found that premetazoan-type protein is highly similar to the homologs from sponge and human, in terms of biochemical characteristics and potential biological functions. Like the human Nme1 and Nme2, it is able to diminish the migratory potential of human cancer cells in culture.","author":[{"dropping-particle":"","family":"Ćetković","given":"Helena","non-dropping-particle":"","parse-names":false,"suffix":""},{"dropping-particle":"","family":"Herak Bosnar","given":"Maja","non-dropping-particle":"","parse-names":false,"suffix":""},{"dropping-particle":"","family":"Perina","given":"Drago","non-dropping-particle":"","parse-names":false,"suffix":""},{"dropping-particle":"","family":"Mikoč","given":"Andreja","non-dropping-particle":"","parse-names":false,"suffix":""},{"dropping-particle":"","family":"Deželjin","given":"Martina","non-dropping-particle":"","parse-names":false,"suffix":""},{"dropping-particle":"","family":"Belužić","given":"Robert","non-dropping-particle":"","parse-names":false,"suffix":""},{"dropping-particle":"","family":"Bilandžija","given":"Helena","non-dropping-particle":"","parse-names":false,"suffix":""},{"dropping-particle":"","family":"Ruiz-Trillo","given":"Iñaki","non-dropping-particle":"","parse-names":false,"suffix":""},{"dropping-particle":"","family":"Harcet","given":"Matija","non-dropping-particle":"","parse-names":false,"suffix":""}],"container-title":"Laboratory Investigation","id":"ITEM-1","issue":"3","issued":{"date-parts":[["2018","3","5"]]},"page":"304-314","publisher":"Nature Publishing Group","title":"Characterization of a group I Nme protein of Capsaspora owczarzaki—a close unicellular relative of animals","type":"article-journal","volume":"98"},"uris":["http://www.mendeley.com/documents/?uuid=887f512a-1e80-3cc1-9875-9f7002f70a12"]}],"mendeley":{"formattedCitation":"[129]","plainTextFormattedCitation":"[129]","previouslyFormattedCitation":"[129]"},"properties":{"noteIndex":0},"schema":"https://github.com/citation-style-language/schema/raw/master/csl-citation.json"}</w:instrText>
      </w:r>
      <w:r w:rsidR="0093048F">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[129]</w:t>
      </w:r>
      <w:r w:rsidR="0093048F">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r w:rsidR="0093048F">
        <w:rPr>
          <w:rFonts w:ascii="Times New Roman" w:hAnsi="Times New Roman" w:cs="Times New Roman"/>
          <w:sz w:val="24"/>
          <w:szCs w:val="24"/>
        </w:rPr>
        <w:t>The negative control</w:t>
      </w:r>
      <w:r w:rsidR="00174AFC">
        <w:rPr>
          <w:rFonts w:ascii="Times New Roman" w:hAnsi="Times New Roman" w:cs="Times New Roman"/>
          <w:sz w:val="24"/>
          <w:szCs w:val="24"/>
        </w:rPr>
        <w:t>s</w:t>
      </w:r>
      <w:r w:rsidR="0093048F">
        <w:rPr>
          <w:rFonts w:ascii="Times New Roman" w:hAnsi="Times New Roman" w:cs="Times New Roman"/>
          <w:sz w:val="24"/>
          <w:szCs w:val="24"/>
        </w:rPr>
        <w:t xml:space="preserve"> are </w:t>
      </w:r>
      <w:r w:rsidR="00E9041C">
        <w:rPr>
          <w:rFonts w:ascii="Times New Roman" w:hAnsi="Times New Roman" w:cs="Times New Roman"/>
          <w:sz w:val="24"/>
          <w:szCs w:val="24"/>
        </w:rPr>
        <w:t>a</w:t>
      </w:r>
      <w:r w:rsidR="0093048F">
        <w:rPr>
          <w:rFonts w:ascii="Times New Roman" w:hAnsi="Times New Roman" w:cs="Times New Roman"/>
          <w:sz w:val="24"/>
          <w:szCs w:val="24"/>
        </w:rPr>
        <w:t xml:space="preserve"> result of the random integration of the empty </w:t>
      </w:r>
      <w:r w:rsidRPr="002E26D2">
        <w:rPr>
          <w:rFonts w:ascii="Times New Roman" w:hAnsi="Times New Roman" w:cs="Times New Roman"/>
          <w:sz w:val="24"/>
          <w:szCs w:val="24"/>
        </w:rPr>
        <w:t xml:space="preserve">pcDNA3.1 </w:t>
      </w:r>
      <w:r w:rsidR="008C50D9">
        <w:rPr>
          <w:rFonts w:ascii="Times New Roman" w:hAnsi="Times New Roman" w:cs="Times New Roman"/>
          <w:sz w:val="24"/>
          <w:szCs w:val="24"/>
        </w:rPr>
        <w:t xml:space="preserve">plasmid </w:t>
      </w:r>
      <w:r w:rsidRPr="002E26D2">
        <w:rPr>
          <w:rFonts w:ascii="Times New Roman" w:hAnsi="Times New Roman" w:cs="Times New Roman"/>
          <w:sz w:val="24"/>
          <w:szCs w:val="24"/>
        </w:rPr>
        <w:t>within</w:t>
      </w:r>
      <w:r w:rsidR="008C50D9">
        <w:rPr>
          <w:rFonts w:ascii="Times New Roman" w:hAnsi="Times New Roman" w:cs="Times New Roman"/>
          <w:sz w:val="24"/>
          <w:szCs w:val="24"/>
        </w:rPr>
        <w:t xml:space="preserve"> the genome of</w:t>
      </w:r>
      <w:r w:rsidRPr="002E26D2">
        <w:rPr>
          <w:rFonts w:ascii="Times New Roman" w:hAnsi="Times New Roman" w:cs="Times New Roman"/>
          <w:sz w:val="24"/>
          <w:szCs w:val="24"/>
        </w:rPr>
        <w:t xml:space="preserve"> MDA-MB-231T cell line</w:t>
      </w:r>
      <w:r w:rsidR="008C50D9">
        <w:rPr>
          <w:rFonts w:ascii="Times New Roman" w:hAnsi="Times New Roman" w:cs="Times New Roman"/>
          <w:sz w:val="24"/>
          <w:szCs w:val="24"/>
        </w:rPr>
        <w:t>s</w:t>
      </w:r>
      <w:r w:rsidRPr="002E26D2">
        <w:rPr>
          <w:rFonts w:ascii="Times New Roman" w:hAnsi="Times New Roman" w:cs="Times New Roman"/>
          <w:sz w:val="24"/>
          <w:szCs w:val="24"/>
        </w:rPr>
        <w:t xml:space="preserve">, conferring a resistance to G418 antibiotic. </w:t>
      </w:r>
    </w:p>
    <w:p w14:paraId="79745FA6" w14:textId="45BBF9BB" w:rsidR="000B3AF7" w:rsidRPr="002E26D2" w:rsidRDefault="000D68C1" w:rsidP="00B23BAE">
      <w:pPr>
        <w:pStyle w:val="Heading5"/>
      </w:pPr>
      <w:bookmarkStart w:id="122" w:name="_Ref105767951"/>
      <w:r w:rsidRPr="002E26D2">
        <w:lastRenderedPageBreak/>
        <w:t>N</w:t>
      </w:r>
      <w:r w:rsidR="005D47E2">
        <w:t>ME6</w:t>
      </w:r>
      <w:r w:rsidRPr="002E26D2">
        <w:t>-</w:t>
      </w:r>
      <w:r w:rsidR="005D47E2">
        <w:t>KO</w:t>
      </w:r>
      <w:r w:rsidRPr="002E26D2">
        <w:t xml:space="preserve"> stable clones</w:t>
      </w:r>
      <w:bookmarkEnd w:id="122"/>
    </w:p>
    <w:p w14:paraId="00866AA1" w14:textId="2D122DBD" w:rsidR="000B3AF7" w:rsidRPr="002F0FF1" w:rsidRDefault="005D47E2"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W</w:t>
      </w:r>
      <w:r w:rsidR="00733EF6" w:rsidRPr="002F0FF1">
        <w:rPr>
          <w:rFonts w:ascii="Times New Roman" w:hAnsi="Times New Roman" w:cs="Times New Roman"/>
          <w:sz w:val="24"/>
          <w:szCs w:val="24"/>
        </w:rPr>
        <w:t>e</w:t>
      </w:r>
      <w:r w:rsidRPr="002F0FF1">
        <w:rPr>
          <w:rFonts w:ascii="Times New Roman" w:hAnsi="Times New Roman" w:cs="Times New Roman"/>
          <w:sz w:val="24"/>
          <w:szCs w:val="24"/>
        </w:rPr>
        <w:t xml:space="preserve"> </w:t>
      </w:r>
      <w:r w:rsidR="007506AE" w:rsidRPr="002F0FF1">
        <w:rPr>
          <w:rFonts w:ascii="Times New Roman" w:hAnsi="Times New Roman" w:cs="Times New Roman"/>
          <w:sz w:val="24"/>
          <w:szCs w:val="24"/>
        </w:rPr>
        <w:t>tried</w:t>
      </w:r>
      <w:r w:rsidRPr="002F0FF1">
        <w:rPr>
          <w:rFonts w:ascii="Times New Roman" w:hAnsi="Times New Roman" w:cs="Times New Roman"/>
          <w:sz w:val="24"/>
          <w:szCs w:val="24"/>
        </w:rPr>
        <w:t xml:space="preserve"> to produce </w:t>
      </w:r>
      <w:r w:rsidR="000B3AF7" w:rsidRPr="002F0FF1">
        <w:rPr>
          <w:rFonts w:ascii="Times New Roman" w:hAnsi="Times New Roman" w:cs="Times New Roman"/>
          <w:sz w:val="24"/>
          <w:szCs w:val="24"/>
        </w:rPr>
        <w:t>NME6</w:t>
      </w:r>
      <w:r w:rsidR="00870B02" w:rsidRPr="002F0FF1">
        <w:rPr>
          <w:rFonts w:ascii="Times New Roman" w:hAnsi="Times New Roman" w:cs="Times New Roman"/>
          <w:sz w:val="24"/>
          <w:szCs w:val="24"/>
        </w:rPr>
        <w:t>-</w:t>
      </w:r>
      <w:r w:rsidR="000B3AF7" w:rsidRPr="002F0FF1">
        <w:rPr>
          <w:rFonts w:ascii="Times New Roman" w:hAnsi="Times New Roman" w:cs="Times New Roman"/>
          <w:sz w:val="24"/>
          <w:szCs w:val="24"/>
        </w:rPr>
        <w:t>KO stable clones by CRISPR-Cas9 technique, using the NME6 Human Gene Knockout Kit according to manufacturer’s instructions. The aim was to break both alleles of the NME6 gene by inserting</w:t>
      </w:r>
      <w:r w:rsidR="00870B02" w:rsidRPr="002F0FF1">
        <w:rPr>
          <w:rFonts w:ascii="Times New Roman" w:hAnsi="Times New Roman" w:cs="Times New Roman"/>
          <w:sz w:val="24"/>
          <w:szCs w:val="24"/>
        </w:rPr>
        <w:t>-</w:t>
      </w:r>
      <w:r w:rsidR="000B3AF7" w:rsidRPr="002F0FF1">
        <w:rPr>
          <w:rFonts w:ascii="Times New Roman" w:hAnsi="Times New Roman" w:cs="Times New Roman"/>
          <w:sz w:val="24"/>
          <w:szCs w:val="24"/>
        </w:rPr>
        <w:t>in a cassette containing the neomycin resistance gene. Briefly, MDA-MB-231T cells were co-transfected with the Donor construct and one of the gRNA constructs provided, using Turbofect transfection reagent according to manufacturer’s instructions (</w:t>
      </w:r>
      <w:r w:rsidR="006830EA"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_Ref105767753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3.2.2.5</w:t>
      </w:r>
      <w:r w:rsidR="00184F1A" w:rsidRPr="002F0FF1">
        <w:rPr>
          <w:rFonts w:ascii="Times New Roman" w:hAnsi="Times New Roman" w:cs="Times New Roman"/>
          <w:sz w:val="24"/>
          <w:szCs w:val="24"/>
        </w:rPr>
        <w:fldChar w:fldCharType="end"/>
      </w:r>
      <w:r w:rsidR="000B3AF7" w:rsidRPr="002F0FF1">
        <w:rPr>
          <w:rFonts w:ascii="Times New Roman" w:hAnsi="Times New Roman" w:cs="Times New Roman"/>
          <w:sz w:val="24"/>
          <w:szCs w:val="24"/>
        </w:rPr>
        <w:t xml:space="preserve">). </w:t>
      </w:r>
      <w:r w:rsidR="00BA0CBB" w:rsidRPr="002F0FF1">
        <w:rPr>
          <w:rFonts w:ascii="Times New Roman" w:hAnsi="Times New Roman" w:cs="Times New Roman"/>
          <w:sz w:val="24"/>
          <w:szCs w:val="24"/>
        </w:rPr>
        <w:t>The m</w:t>
      </w:r>
      <w:r w:rsidR="000B3AF7" w:rsidRPr="002F0FF1">
        <w:rPr>
          <w:rFonts w:ascii="Times New Roman" w:hAnsi="Times New Roman" w:cs="Times New Roman"/>
          <w:sz w:val="24"/>
          <w:szCs w:val="24"/>
        </w:rPr>
        <w:t>edi</w:t>
      </w:r>
      <w:r w:rsidR="00BA0CBB" w:rsidRPr="002F0FF1">
        <w:rPr>
          <w:rFonts w:ascii="Times New Roman" w:hAnsi="Times New Roman" w:cs="Times New Roman"/>
          <w:sz w:val="24"/>
          <w:szCs w:val="24"/>
        </w:rPr>
        <w:t>um</w:t>
      </w:r>
      <w:r w:rsidR="000B3AF7" w:rsidRPr="002F0FF1">
        <w:rPr>
          <w:rFonts w:ascii="Times New Roman" w:hAnsi="Times New Roman" w:cs="Times New Roman"/>
          <w:sz w:val="24"/>
          <w:szCs w:val="24"/>
        </w:rPr>
        <w:t xml:space="preserve"> was changed 6 h post transfection and cells were passaged 7 time</w:t>
      </w:r>
      <w:r w:rsidR="00BA0CBB" w:rsidRPr="002F0FF1">
        <w:rPr>
          <w:rFonts w:ascii="Times New Roman" w:hAnsi="Times New Roman" w:cs="Times New Roman"/>
          <w:sz w:val="24"/>
          <w:szCs w:val="24"/>
        </w:rPr>
        <w:t>s</w:t>
      </w:r>
      <w:r w:rsidR="000B3AF7" w:rsidRPr="002F0FF1">
        <w:rPr>
          <w:rFonts w:ascii="Times New Roman" w:hAnsi="Times New Roman" w:cs="Times New Roman"/>
          <w:sz w:val="24"/>
          <w:szCs w:val="24"/>
        </w:rPr>
        <w:t>, every 3 days, to dilute the donor vector (</w:t>
      </w:r>
      <w:r w:rsidR="006830EA"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_Ref105767641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3.2.2.2.1</w:t>
      </w:r>
      <w:r w:rsidR="00184F1A" w:rsidRPr="002F0FF1">
        <w:rPr>
          <w:rFonts w:ascii="Times New Roman" w:hAnsi="Times New Roman" w:cs="Times New Roman"/>
          <w:sz w:val="24"/>
          <w:szCs w:val="24"/>
        </w:rPr>
        <w:fldChar w:fldCharType="end"/>
      </w:r>
      <w:r w:rsidR="000B3AF7" w:rsidRPr="002F0FF1">
        <w:rPr>
          <w:rFonts w:ascii="Times New Roman" w:hAnsi="Times New Roman" w:cs="Times New Roman"/>
          <w:sz w:val="24"/>
          <w:szCs w:val="24"/>
        </w:rPr>
        <w:t>). Selection started on passage 8 (23 days post transfection) by growing cells in DMEM</w:t>
      </w:r>
      <w:r w:rsidR="00693171" w:rsidRPr="002F0FF1">
        <w:rPr>
          <w:rFonts w:ascii="Times New Roman" w:hAnsi="Times New Roman" w:cs="Times New Roman"/>
          <w:sz w:val="24"/>
          <w:szCs w:val="24"/>
        </w:rPr>
        <w:t>g</w:t>
      </w:r>
      <w:r w:rsidR="000B3AF7" w:rsidRPr="002F0FF1">
        <w:rPr>
          <w:rFonts w:ascii="Times New Roman" w:hAnsi="Times New Roman" w:cs="Times New Roman"/>
          <w:sz w:val="24"/>
          <w:szCs w:val="24"/>
        </w:rPr>
        <w:t>418 medi</w:t>
      </w:r>
      <w:r w:rsidR="0088464D" w:rsidRPr="002F0FF1">
        <w:rPr>
          <w:rFonts w:ascii="Times New Roman" w:hAnsi="Times New Roman" w:cs="Times New Roman"/>
          <w:sz w:val="24"/>
          <w:szCs w:val="24"/>
        </w:rPr>
        <w:t>um</w:t>
      </w:r>
      <w:r w:rsidR="000B3AF7" w:rsidRPr="002F0FF1">
        <w:rPr>
          <w:rFonts w:ascii="Times New Roman" w:hAnsi="Times New Roman" w:cs="Times New Roman"/>
          <w:sz w:val="24"/>
          <w:szCs w:val="24"/>
        </w:rPr>
        <w:t xml:space="preserve"> for a 14 days period. Selected cells underwent single-cell clone expansion as described in the 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_Ref105767778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3.2.2.7.3</w:t>
      </w:r>
      <w:r w:rsidR="00184F1A" w:rsidRPr="002F0FF1">
        <w:rPr>
          <w:rFonts w:ascii="Times New Roman" w:hAnsi="Times New Roman" w:cs="Times New Roman"/>
          <w:sz w:val="24"/>
          <w:szCs w:val="24"/>
        </w:rPr>
        <w:fldChar w:fldCharType="end"/>
      </w:r>
      <w:r w:rsidR="000B3AF7" w:rsidRPr="002F0FF1">
        <w:rPr>
          <w:rFonts w:ascii="Times New Roman" w:hAnsi="Times New Roman" w:cs="Times New Roman"/>
          <w:sz w:val="24"/>
          <w:szCs w:val="24"/>
        </w:rPr>
        <w:t>. The surviving NME6-KO clones were verified by Western blot using anti-NME6 antibodies (</w:t>
      </w:r>
      <w:r w:rsidR="008D1199"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184F1A" w:rsidRPr="002F0FF1">
        <w:rPr>
          <w:rFonts w:ascii="Times New Roman" w:hAnsi="Times New Roman" w:cs="Times New Roman"/>
          <w:sz w:val="24"/>
          <w:szCs w:val="24"/>
        </w:rPr>
        <w:fldChar w:fldCharType="end"/>
      </w:r>
      <w:r w:rsidR="000B3AF7" w:rsidRPr="002F0FF1">
        <w:rPr>
          <w:rFonts w:ascii="Times New Roman" w:hAnsi="Times New Roman" w:cs="Times New Roman"/>
          <w:sz w:val="24"/>
          <w:szCs w:val="24"/>
        </w:rPr>
        <w:t>) and by PCR (</w:t>
      </w:r>
      <w:r w:rsidR="008D1199"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_Ref105767880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3.2.2.7.4</w:t>
      </w:r>
      <w:r w:rsidR="00184F1A" w:rsidRPr="002F0FF1">
        <w:rPr>
          <w:rFonts w:ascii="Times New Roman" w:hAnsi="Times New Roman" w:cs="Times New Roman"/>
          <w:sz w:val="24"/>
          <w:szCs w:val="24"/>
        </w:rPr>
        <w:fldChar w:fldCharType="end"/>
      </w:r>
      <w:r w:rsidR="000B3AF7" w:rsidRPr="002F0FF1">
        <w:rPr>
          <w:rFonts w:ascii="Times New Roman" w:hAnsi="Times New Roman" w:cs="Times New Roman"/>
          <w:sz w:val="24"/>
          <w:szCs w:val="24"/>
        </w:rPr>
        <w:t>).</w:t>
      </w:r>
    </w:p>
    <w:p w14:paraId="3FB557C3" w14:textId="20FEBCA8" w:rsidR="000B3AF7" w:rsidRPr="002E26D2" w:rsidRDefault="000D68C1" w:rsidP="00B23BAE">
      <w:pPr>
        <w:pStyle w:val="Heading5"/>
      </w:pPr>
      <w:bookmarkStart w:id="123" w:name="_Ref105767778"/>
      <w:r w:rsidRPr="002E26D2">
        <w:t>Single-cell clone expansion</w:t>
      </w:r>
      <w:bookmarkEnd w:id="123"/>
    </w:p>
    <w:p w14:paraId="2AF4B34D" w14:textId="7B8BAA52"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Cells selected in DMEM</w:t>
      </w:r>
      <w:r w:rsidR="00693171" w:rsidRPr="002F0FF1">
        <w:rPr>
          <w:rFonts w:ascii="Times New Roman" w:hAnsi="Times New Roman" w:cs="Times New Roman"/>
          <w:sz w:val="24"/>
          <w:szCs w:val="24"/>
        </w:rPr>
        <w:t>g</w:t>
      </w:r>
      <w:r w:rsidRPr="002F0FF1">
        <w:rPr>
          <w:rFonts w:ascii="Times New Roman" w:hAnsi="Times New Roman" w:cs="Times New Roman"/>
          <w:sz w:val="24"/>
          <w:szCs w:val="24"/>
        </w:rPr>
        <w:t>418 were counted (</w:t>
      </w:r>
      <w:r w:rsidR="00D24792"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_Ref105767664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3.2.2.4</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diluted and seeded at one cell per well in a 96-well plate. Single-cell clones were selected under the microscope 20 h after seeding and allowed to grow in DMEM</w:t>
      </w:r>
      <w:r w:rsidR="00693171" w:rsidRPr="002F0FF1">
        <w:rPr>
          <w:rFonts w:ascii="Times New Roman" w:hAnsi="Times New Roman" w:cs="Times New Roman"/>
          <w:sz w:val="24"/>
          <w:szCs w:val="24"/>
        </w:rPr>
        <w:t>g</w:t>
      </w:r>
      <w:r w:rsidRPr="002F0FF1">
        <w:rPr>
          <w:rFonts w:ascii="Times New Roman" w:hAnsi="Times New Roman" w:cs="Times New Roman"/>
          <w:sz w:val="24"/>
          <w:szCs w:val="24"/>
        </w:rPr>
        <w:t xml:space="preserve">418. The wells containing </w:t>
      </w:r>
      <w:r w:rsidR="00BA0CBB" w:rsidRPr="002F0FF1">
        <w:rPr>
          <w:rFonts w:ascii="Times New Roman" w:hAnsi="Times New Roman" w:cs="Times New Roman"/>
          <w:sz w:val="24"/>
          <w:szCs w:val="24"/>
        </w:rPr>
        <w:t xml:space="preserve">either </w:t>
      </w:r>
      <w:r w:rsidRPr="002F0FF1">
        <w:rPr>
          <w:rFonts w:ascii="Times New Roman" w:hAnsi="Times New Roman" w:cs="Times New Roman"/>
          <w:sz w:val="24"/>
          <w:szCs w:val="24"/>
        </w:rPr>
        <w:t>0 cells or 2 cells and more were discarded. Cells were allowed to grow in DMEM</w:t>
      </w:r>
      <w:r w:rsidR="00693171" w:rsidRPr="002F0FF1">
        <w:rPr>
          <w:rFonts w:ascii="Times New Roman" w:hAnsi="Times New Roman" w:cs="Times New Roman"/>
          <w:sz w:val="24"/>
          <w:szCs w:val="24"/>
        </w:rPr>
        <w:t>g</w:t>
      </w:r>
      <w:r w:rsidRPr="002F0FF1">
        <w:rPr>
          <w:rFonts w:ascii="Times New Roman" w:hAnsi="Times New Roman" w:cs="Times New Roman"/>
          <w:sz w:val="24"/>
          <w:szCs w:val="24"/>
        </w:rPr>
        <w:t xml:space="preserve">418 until the formation of a colony, all derived from the same parent cell (monoclonal cells), while </w:t>
      </w:r>
      <w:r w:rsidR="00BA0CBB" w:rsidRPr="002F0FF1">
        <w:rPr>
          <w:rFonts w:ascii="Times New Roman" w:hAnsi="Times New Roman" w:cs="Times New Roman"/>
          <w:sz w:val="24"/>
          <w:szCs w:val="24"/>
        </w:rPr>
        <w:t xml:space="preserve">the </w:t>
      </w:r>
      <w:r w:rsidRPr="002F0FF1">
        <w:rPr>
          <w:rFonts w:ascii="Times New Roman" w:hAnsi="Times New Roman" w:cs="Times New Roman"/>
          <w:sz w:val="24"/>
          <w:szCs w:val="24"/>
        </w:rPr>
        <w:t>medi</w:t>
      </w:r>
      <w:r w:rsidR="00BA0CBB" w:rsidRPr="002F0FF1">
        <w:rPr>
          <w:rFonts w:ascii="Times New Roman" w:hAnsi="Times New Roman" w:cs="Times New Roman"/>
          <w:sz w:val="24"/>
          <w:szCs w:val="24"/>
        </w:rPr>
        <w:t>um</w:t>
      </w:r>
      <w:r w:rsidRPr="002F0FF1">
        <w:rPr>
          <w:rFonts w:ascii="Times New Roman" w:hAnsi="Times New Roman" w:cs="Times New Roman"/>
          <w:sz w:val="24"/>
          <w:szCs w:val="24"/>
        </w:rPr>
        <w:t xml:space="preserve"> was changed every 4 days. Clones were moved to a bigger dish (</w:t>
      </w:r>
      <w:r w:rsidR="00923CE4"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_Ref105767912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3.2.2.2</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when the confluency reached 70 % (96 to 24 to 6 well plates). The clones that failed to grow were discarded. Finally, the cells were transferred to a 10 cm dish, the knockout of NME6 was </w:t>
      </w:r>
      <w:r w:rsidR="00BA0CBB" w:rsidRPr="002F0FF1">
        <w:rPr>
          <w:rFonts w:ascii="Times New Roman" w:hAnsi="Times New Roman" w:cs="Times New Roman"/>
          <w:sz w:val="24"/>
          <w:szCs w:val="24"/>
        </w:rPr>
        <w:t>tested</w:t>
      </w:r>
      <w:r w:rsidRPr="002F0FF1">
        <w:rPr>
          <w:rFonts w:ascii="Times New Roman" w:hAnsi="Times New Roman" w:cs="Times New Roman"/>
          <w:sz w:val="24"/>
          <w:szCs w:val="24"/>
        </w:rPr>
        <w:t xml:space="preserve"> by Western blot and PCR (</w:t>
      </w:r>
      <w:r w:rsidR="008F7B11" w:rsidRPr="002F0FF1">
        <w:rPr>
          <w:rFonts w:ascii="Times New Roman" w:hAnsi="Times New Roman" w:cs="Times New Roman"/>
          <w:sz w:val="24"/>
          <w:szCs w:val="24"/>
        </w:rPr>
        <w:t xml:space="preserve">sections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_Ref105767943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3.2.2.7.1</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and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_Ref105767951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3.2.2.7.2</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and used for further several experiments. Validated clones were frozen and kept at -80 °C (</w:t>
      </w:r>
      <w:r w:rsidR="008F7B11" w:rsidRPr="002F0FF1">
        <w:rPr>
          <w:rFonts w:ascii="Times New Roman" w:hAnsi="Times New Roman" w:cs="Times New Roman"/>
          <w:sz w:val="24"/>
          <w:szCs w:val="24"/>
        </w:rPr>
        <w:t xml:space="preserve">section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_Ref105767963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3.2.2.3</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p>
    <w:p w14:paraId="088F5FA7" w14:textId="126DEEE3" w:rsidR="000B3AF7" w:rsidRPr="002E26D2" w:rsidRDefault="000D68C1" w:rsidP="00B23BAE">
      <w:pPr>
        <w:pStyle w:val="Heading5"/>
      </w:pPr>
      <w:bookmarkStart w:id="124" w:name="_Ref105767880"/>
      <w:r w:rsidRPr="002E26D2">
        <w:t>P</w:t>
      </w:r>
      <w:r w:rsidR="00BA0CBB">
        <w:t>CR</w:t>
      </w:r>
      <w:r w:rsidRPr="002E26D2">
        <w:t xml:space="preserve"> </w:t>
      </w:r>
      <w:r w:rsidR="00BA0CBB">
        <w:t>verification</w:t>
      </w:r>
      <w:r w:rsidRPr="002E26D2">
        <w:t xml:space="preserve"> of </w:t>
      </w:r>
      <w:r w:rsidR="00BA0CBB">
        <w:t>NME6-KO</w:t>
      </w:r>
      <w:r w:rsidRPr="002E26D2">
        <w:t xml:space="preserve"> clones</w:t>
      </w:r>
      <w:bookmarkEnd w:id="124"/>
    </w:p>
    <w:p w14:paraId="7F553280" w14:textId="4CDBD129"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Genomic DNA was isolated from selected clones by using GenElute miniprep kit according to manufacturer’s instructions, and eluted in qH</w:t>
      </w:r>
      <w:r w:rsidRPr="002F0FF1">
        <w:rPr>
          <w:rFonts w:ascii="Times New Roman" w:hAnsi="Times New Roman" w:cs="Times New Roman"/>
          <w:sz w:val="24"/>
          <w:szCs w:val="24"/>
          <w:vertAlign w:val="subscript"/>
        </w:rPr>
        <w:t>2</w:t>
      </w:r>
      <w:r w:rsidRPr="002F0FF1">
        <w:rPr>
          <w:rFonts w:ascii="Times New Roman" w:hAnsi="Times New Roman" w:cs="Times New Roman"/>
          <w:sz w:val="24"/>
          <w:szCs w:val="24"/>
        </w:rPr>
        <w:t>O. DNA concentration was measured by nanodrop (</w:t>
      </w:r>
      <w:r w:rsidR="00184F1A" w:rsidRPr="002F0FF1">
        <w:rPr>
          <w:rFonts w:ascii="Times New Roman" w:hAnsi="Times New Roman" w:cs="Times New Roman"/>
          <w:sz w:val="24"/>
          <w:szCs w:val="24"/>
        </w:rPr>
        <w:fldChar w:fldCharType="begin"/>
      </w:r>
      <w:r w:rsidR="00184F1A" w:rsidRPr="002F0FF1">
        <w:rPr>
          <w:rFonts w:ascii="Times New Roman" w:hAnsi="Times New Roman" w:cs="Times New Roman"/>
          <w:sz w:val="24"/>
          <w:szCs w:val="24"/>
        </w:rPr>
        <w:instrText xml:space="preserve"> REF _Ref105767311 \r \h </w:instrText>
      </w:r>
      <w:r w:rsidR="002E26D2" w:rsidRPr="002F0FF1">
        <w:rPr>
          <w:rFonts w:ascii="Times New Roman" w:hAnsi="Times New Roman" w:cs="Times New Roman"/>
          <w:sz w:val="24"/>
          <w:szCs w:val="24"/>
        </w:rPr>
        <w:instrText xml:space="preserve"> \* MERGEFORMAT </w:instrText>
      </w:r>
      <w:r w:rsidR="00184F1A" w:rsidRPr="002F0FF1">
        <w:rPr>
          <w:rFonts w:ascii="Times New Roman" w:hAnsi="Times New Roman" w:cs="Times New Roman"/>
          <w:sz w:val="24"/>
          <w:szCs w:val="24"/>
        </w:rPr>
      </w:r>
      <w:r w:rsidR="00184F1A"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3.2.1.1.4</w:t>
      </w:r>
      <w:r w:rsidR="00184F1A"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PCR reactions were performed using 3 sets of primers listed in </w:t>
      </w:r>
      <w:r w:rsidR="001A17BF" w:rsidRPr="002F0FF1">
        <w:rPr>
          <w:rFonts w:ascii="Times New Roman" w:hAnsi="Times New Roman" w:cs="Times New Roman"/>
          <w:sz w:val="24"/>
          <w:szCs w:val="24"/>
        </w:rPr>
        <w:fldChar w:fldCharType="begin"/>
      </w:r>
      <w:r w:rsidR="001A17BF" w:rsidRPr="002F0FF1">
        <w:rPr>
          <w:rFonts w:ascii="Times New Roman" w:hAnsi="Times New Roman" w:cs="Times New Roman"/>
          <w:sz w:val="24"/>
          <w:szCs w:val="24"/>
        </w:rPr>
        <w:instrText xml:space="preserve"> REF _Ref106008806 \h </w:instrText>
      </w:r>
      <w:r w:rsidR="002E26D2" w:rsidRPr="002F0FF1">
        <w:rPr>
          <w:rFonts w:ascii="Times New Roman" w:hAnsi="Times New Roman" w:cs="Times New Roman"/>
          <w:sz w:val="24"/>
          <w:szCs w:val="24"/>
        </w:rPr>
        <w:instrText xml:space="preserve"> \* MERGEFORMAT </w:instrText>
      </w:r>
      <w:r w:rsidR="001A17BF" w:rsidRPr="002F0FF1">
        <w:rPr>
          <w:rFonts w:ascii="Times New Roman" w:hAnsi="Times New Roman" w:cs="Times New Roman"/>
          <w:sz w:val="24"/>
          <w:szCs w:val="24"/>
        </w:rPr>
      </w:r>
      <w:r w:rsidR="001A17BF" w:rsidRPr="002F0FF1">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13</w:t>
      </w:r>
      <w:r w:rsidR="001A17BF" w:rsidRPr="002F0FF1">
        <w:rPr>
          <w:rFonts w:ascii="Times New Roman" w:hAnsi="Times New Roman" w:cs="Times New Roman"/>
          <w:sz w:val="24"/>
          <w:szCs w:val="24"/>
        </w:rPr>
        <w:fldChar w:fldCharType="end"/>
      </w:r>
      <w:r w:rsidRPr="002F0FF1">
        <w:rPr>
          <w:rFonts w:ascii="Times New Roman" w:hAnsi="Times New Roman" w:cs="Times New Roman"/>
          <w:sz w:val="24"/>
          <w:szCs w:val="24"/>
        </w:rPr>
        <w:t>, to detect NME6-WT</w:t>
      </w:r>
      <w:r w:rsidR="003443A1" w:rsidRPr="002F0FF1">
        <w:rPr>
          <w:rFonts w:ascii="Times New Roman" w:hAnsi="Times New Roman" w:cs="Times New Roman"/>
          <w:sz w:val="24"/>
          <w:szCs w:val="24"/>
        </w:rPr>
        <w:t xml:space="preserve"> (wild type)</w:t>
      </w:r>
      <w:r w:rsidRPr="002F0FF1">
        <w:rPr>
          <w:rFonts w:ascii="Times New Roman" w:hAnsi="Times New Roman" w:cs="Times New Roman"/>
          <w:sz w:val="24"/>
          <w:szCs w:val="24"/>
        </w:rPr>
        <w:t xml:space="preserve"> and NME6-KO DNA sequence</w:t>
      </w:r>
      <w:r w:rsidR="00F107B9" w:rsidRPr="002F0FF1">
        <w:rPr>
          <w:rFonts w:ascii="Times New Roman" w:hAnsi="Times New Roman" w:cs="Times New Roman"/>
          <w:sz w:val="24"/>
          <w:szCs w:val="24"/>
        </w:rPr>
        <w:t xml:space="preserve"> (primers LF and RR)</w:t>
      </w:r>
      <w:r w:rsidRPr="002F0FF1">
        <w:rPr>
          <w:rFonts w:ascii="Times New Roman" w:hAnsi="Times New Roman" w:cs="Times New Roman"/>
          <w:sz w:val="24"/>
          <w:szCs w:val="24"/>
        </w:rPr>
        <w:t xml:space="preserve">, but also to verify the left </w:t>
      </w:r>
      <w:r w:rsidR="00F107B9" w:rsidRPr="002F0FF1">
        <w:rPr>
          <w:rFonts w:ascii="Times New Roman" w:hAnsi="Times New Roman" w:cs="Times New Roman"/>
          <w:sz w:val="24"/>
          <w:szCs w:val="24"/>
        </w:rPr>
        <w:t xml:space="preserve">(primers LF and LR) </w:t>
      </w:r>
      <w:r w:rsidRPr="002F0FF1">
        <w:rPr>
          <w:rFonts w:ascii="Times New Roman" w:hAnsi="Times New Roman" w:cs="Times New Roman"/>
          <w:sz w:val="24"/>
          <w:szCs w:val="24"/>
        </w:rPr>
        <w:t>and right</w:t>
      </w:r>
      <w:r w:rsidR="00F107B9" w:rsidRPr="002F0FF1">
        <w:rPr>
          <w:rFonts w:ascii="Times New Roman" w:hAnsi="Times New Roman" w:cs="Times New Roman"/>
          <w:sz w:val="24"/>
          <w:szCs w:val="24"/>
        </w:rPr>
        <w:t xml:space="preserve"> (Primers RF and RR)</w:t>
      </w:r>
      <w:r w:rsidRPr="002F0FF1">
        <w:rPr>
          <w:rFonts w:ascii="Times New Roman" w:hAnsi="Times New Roman" w:cs="Times New Roman"/>
          <w:sz w:val="24"/>
          <w:szCs w:val="24"/>
        </w:rPr>
        <w:t xml:space="preserve"> integration of the insert, as described in the result section (</w:t>
      </w:r>
      <w:r w:rsidR="00C15586" w:rsidRPr="002F0FF1">
        <w:rPr>
          <w:rFonts w:ascii="Times New Roman" w:hAnsi="Times New Roman" w:cs="Times New Roman"/>
          <w:sz w:val="24"/>
          <w:szCs w:val="24"/>
        </w:rPr>
        <w:fldChar w:fldCharType="begin"/>
      </w:r>
      <w:r w:rsidR="00C15586" w:rsidRPr="002F0FF1">
        <w:rPr>
          <w:rFonts w:ascii="Times New Roman" w:hAnsi="Times New Roman" w:cs="Times New Roman"/>
          <w:sz w:val="24"/>
          <w:szCs w:val="24"/>
        </w:rPr>
        <w:instrText xml:space="preserve"> REF _Ref106009375 \h </w:instrText>
      </w:r>
      <w:r w:rsidR="002E26D2" w:rsidRPr="002F0FF1">
        <w:rPr>
          <w:rFonts w:ascii="Times New Roman" w:hAnsi="Times New Roman" w:cs="Times New Roman"/>
          <w:sz w:val="24"/>
          <w:szCs w:val="24"/>
        </w:rPr>
        <w:instrText xml:space="preserve"> \* MERGEFORMAT </w:instrText>
      </w:r>
      <w:r w:rsidR="00C15586" w:rsidRPr="002F0FF1">
        <w:rPr>
          <w:rFonts w:ascii="Times New Roman" w:hAnsi="Times New Roman" w:cs="Times New Roman"/>
          <w:sz w:val="24"/>
          <w:szCs w:val="24"/>
        </w:rPr>
      </w:r>
      <w:r w:rsidR="00C15586" w:rsidRPr="002F0FF1">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21</w:t>
      </w:r>
      <w:r w:rsidR="00C15586"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PCR reactions were performed using expand long template PCR system kit as described in </w:t>
      </w:r>
      <w:r w:rsidR="008C61C0" w:rsidRPr="002F0FF1">
        <w:rPr>
          <w:rFonts w:ascii="Times New Roman" w:hAnsi="Times New Roman" w:cs="Times New Roman"/>
          <w:sz w:val="24"/>
          <w:szCs w:val="24"/>
        </w:rPr>
        <w:t>(</w:t>
      </w:r>
      <w:r w:rsidR="001A17BF" w:rsidRPr="002F0FF1">
        <w:rPr>
          <w:rFonts w:ascii="Times New Roman" w:hAnsi="Times New Roman" w:cs="Times New Roman"/>
          <w:sz w:val="24"/>
          <w:szCs w:val="24"/>
        </w:rPr>
        <w:fldChar w:fldCharType="begin"/>
      </w:r>
      <w:r w:rsidR="001A17BF" w:rsidRPr="002F0FF1">
        <w:rPr>
          <w:rFonts w:ascii="Times New Roman" w:hAnsi="Times New Roman" w:cs="Times New Roman"/>
          <w:sz w:val="24"/>
          <w:szCs w:val="24"/>
        </w:rPr>
        <w:instrText xml:space="preserve"> REF _Ref106008830 \h </w:instrText>
      </w:r>
      <w:r w:rsidR="002E26D2" w:rsidRPr="002F0FF1">
        <w:rPr>
          <w:rFonts w:ascii="Times New Roman" w:hAnsi="Times New Roman" w:cs="Times New Roman"/>
          <w:sz w:val="24"/>
          <w:szCs w:val="24"/>
        </w:rPr>
        <w:instrText xml:space="preserve"> \* MERGEFORMAT </w:instrText>
      </w:r>
      <w:r w:rsidR="001A17BF" w:rsidRPr="002F0FF1">
        <w:rPr>
          <w:rFonts w:ascii="Times New Roman" w:hAnsi="Times New Roman" w:cs="Times New Roman"/>
          <w:sz w:val="24"/>
          <w:szCs w:val="24"/>
        </w:rPr>
      </w:r>
      <w:r w:rsidR="001A17BF" w:rsidRPr="002F0FF1">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21</w:t>
      </w:r>
      <w:r w:rsidR="001A17BF" w:rsidRPr="002F0FF1">
        <w:rPr>
          <w:rFonts w:ascii="Times New Roman" w:hAnsi="Times New Roman" w:cs="Times New Roman"/>
          <w:sz w:val="24"/>
          <w:szCs w:val="24"/>
        </w:rPr>
        <w:fldChar w:fldCharType="end"/>
      </w:r>
      <w:r w:rsidR="001A17BF" w:rsidRPr="002F0FF1">
        <w:rPr>
          <w:rFonts w:ascii="Times New Roman" w:hAnsi="Times New Roman" w:cs="Times New Roman"/>
          <w:sz w:val="24"/>
          <w:szCs w:val="24"/>
        </w:rPr>
        <w:t xml:space="preserve"> </w:t>
      </w:r>
      <w:r w:rsidR="008C61C0" w:rsidRPr="002F0FF1">
        <w:rPr>
          <w:rFonts w:ascii="Times New Roman" w:hAnsi="Times New Roman" w:cs="Times New Roman"/>
          <w:sz w:val="24"/>
          <w:szCs w:val="24"/>
        </w:rPr>
        <w:t>and</w:t>
      </w:r>
      <w:r w:rsidR="001A17BF" w:rsidRPr="002F0FF1">
        <w:rPr>
          <w:rFonts w:ascii="Times New Roman" w:hAnsi="Times New Roman" w:cs="Times New Roman"/>
          <w:sz w:val="24"/>
          <w:szCs w:val="24"/>
        </w:rPr>
        <w:t xml:space="preserve"> </w:t>
      </w:r>
      <w:r w:rsidR="001A17BF" w:rsidRPr="002F0FF1">
        <w:rPr>
          <w:rFonts w:ascii="Times New Roman" w:hAnsi="Times New Roman" w:cs="Times New Roman"/>
          <w:sz w:val="24"/>
          <w:szCs w:val="24"/>
        </w:rPr>
        <w:fldChar w:fldCharType="begin"/>
      </w:r>
      <w:r w:rsidR="001A17BF" w:rsidRPr="002F0FF1">
        <w:rPr>
          <w:rFonts w:ascii="Times New Roman" w:hAnsi="Times New Roman" w:cs="Times New Roman"/>
          <w:sz w:val="24"/>
          <w:szCs w:val="24"/>
        </w:rPr>
        <w:instrText xml:space="preserve"> REF _Ref106008839 \h </w:instrText>
      </w:r>
      <w:r w:rsidR="002E26D2" w:rsidRPr="002F0FF1">
        <w:rPr>
          <w:rFonts w:ascii="Times New Roman" w:hAnsi="Times New Roman" w:cs="Times New Roman"/>
          <w:sz w:val="24"/>
          <w:szCs w:val="24"/>
        </w:rPr>
        <w:instrText xml:space="preserve"> \* MERGEFORMAT </w:instrText>
      </w:r>
      <w:r w:rsidR="001A17BF" w:rsidRPr="002F0FF1">
        <w:rPr>
          <w:rFonts w:ascii="Times New Roman" w:hAnsi="Times New Roman" w:cs="Times New Roman"/>
          <w:sz w:val="24"/>
          <w:szCs w:val="24"/>
        </w:rPr>
      </w:r>
      <w:r w:rsidR="001A17BF" w:rsidRPr="002F0FF1">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22</w:t>
      </w:r>
      <w:r w:rsidR="001A17BF" w:rsidRPr="002F0FF1">
        <w:rPr>
          <w:rFonts w:ascii="Times New Roman" w:hAnsi="Times New Roman" w:cs="Times New Roman"/>
          <w:sz w:val="24"/>
          <w:szCs w:val="24"/>
        </w:rPr>
        <w:fldChar w:fldCharType="end"/>
      </w:r>
      <w:r w:rsidR="008C61C0" w:rsidRPr="002F0FF1">
        <w:rPr>
          <w:rFonts w:ascii="Times New Roman" w:hAnsi="Times New Roman" w:cs="Times New Roman"/>
          <w:sz w:val="24"/>
          <w:szCs w:val="24"/>
        </w:rPr>
        <w:t>)</w:t>
      </w:r>
      <w:r w:rsidRPr="002F0FF1">
        <w:rPr>
          <w:rFonts w:ascii="Times New Roman" w:hAnsi="Times New Roman" w:cs="Times New Roman"/>
          <w:sz w:val="24"/>
          <w:szCs w:val="24"/>
        </w:rPr>
        <w:t>, using Geneamp2700 machine.</w:t>
      </w:r>
    </w:p>
    <w:p w14:paraId="0D86C60C" w14:textId="66F28A94" w:rsidR="00C40E13" w:rsidRPr="002E26D2" w:rsidRDefault="00C40E13" w:rsidP="004927BB">
      <w:pPr>
        <w:pStyle w:val="Caption"/>
        <w:keepNext/>
        <w:spacing w:line="360" w:lineRule="auto"/>
        <w:rPr>
          <w:rFonts w:ascii="Times New Roman" w:hAnsi="Times New Roman" w:cs="Times New Roman"/>
          <w:sz w:val="24"/>
          <w:szCs w:val="24"/>
        </w:rPr>
      </w:pPr>
      <w:bookmarkStart w:id="125" w:name="_Ref106008830"/>
      <w:r w:rsidRPr="002E26D2">
        <w:rPr>
          <w:rFonts w:ascii="Times New Roman" w:hAnsi="Times New Roman" w:cs="Times New Roman"/>
          <w:sz w:val="24"/>
          <w:szCs w:val="24"/>
        </w:rPr>
        <w:lastRenderedPageBreak/>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21</w:t>
      </w:r>
      <w:r w:rsidRPr="002E26D2">
        <w:rPr>
          <w:rFonts w:ascii="Times New Roman" w:hAnsi="Times New Roman" w:cs="Times New Roman"/>
          <w:sz w:val="24"/>
          <w:szCs w:val="24"/>
        </w:rPr>
        <w:fldChar w:fldCharType="end"/>
      </w:r>
      <w:bookmarkEnd w:id="125"/>
      <w:r w:rsidRPr="002E26D2">
        <w:rPr>
          <w:rFonts w:ascii="Times New Roman" w:hAnsi="Times New Roman" w:cs="Times New Roman"/>
          <w:sz w:val="24"/>
          <w:szCs w:val="24"/>
        </w:rPr>
        <w:t xml:space="preserve"> : PCR reaction mix </w:t>
      </w:r>
      <w:r w:rsidR="0004316F">
        <w:rPr>
          <w:rFonts w:ascii="Times New Roman" w:hAnsi="Times New Roman" w:cs="Times New Roman"/>
          <w:sz w:val="24"/>
          <w:szCs w:val="24"/>
        </w:rPr>
        <w:t>for the</w:t>
      </w:r>
      <w:r w:rsidRPr="002E26D2">
        <w:rPr>
          <w:rFonts w:ascii="Times New Roman" w:hAnsi="Times New Roman" w:cs="Times New Roman"/>
          <w:sz w:val="24"/>
          <w:szCs w:val="24"/>
        </w:rPr>
        <w:t xml:space="preserve"> control </w:t>
      </w:r>
      <w:r w:rsidR="0004316F">
        <w:rPr>
          <w:rFonts w:ascii="Times New Roman" w:hAnsi="Times New Roman" w:cs="Times New Roman"/>
          <w:sz w:val="24"/>
          <w:szCs w:val="24"/>
        </w:rPr>
        <w:t xml:space="preserve">of </w:t>
      </w:r>
      <w:r w:rsidRPr="002E26D2">
        <w:rPr>
          <w:rFonts w:ascii="Times New Roman" w:hAnsi="Times New Roman" w:cs="Times New Roman"/>
          <w:sz w:val="24"/>
          <w:szCs w:val="24"/>
        </w:rPr>
        <w:t>NME6</w:t>
      </w:r>
      <w:r w:rsidR="0004316F">
        <w:rPr>
          <w:rFonts w:ascii="Times New Roman" w:hAnsi="Times New Roman" w:cs="Times New Roman"/>
          <w:sz w:val="24"/>
          <w:szCs w:val="24"/>
        </w:rPr>
        <w:t>-KO</w:t>
      </w:r>
    </w:p>
    <w:tbl>
      <w:tblPr>
        <w:tblStyle w:val="TableGrid"/>
        <w:tblW w:w="0" w:type="auto"/>
        <w:jc w:val="center"/>
        <w:tblLook w:val="04A0" w:firstRow="1" w:lastRow="0" w:firstColumn="1" w:lastColumn="0" w:noHBand="0" w:noVBand="1"/>
      </w:tblPr>
      <w:tblGrid>
        <w:gridCol w:w="2972"/>
        <w:gridCol w:w="2293"/>
      </w:tblGrid>
      <w:tr w:rsidR="000B3AF7" w:rsidRPr="002E26D2" w14:paraId="178F492B" w14:textId="77777777" w:rsidTr="00E72D5F">
        <w:trPr>
          <w:trHeight w:val="451"/>
          <w:jc w:val="center"/>
        </w:trPr>
        <w:tc>
          <w:tcPr>
            <w:tcW w:w="2972" w:type="dxa"/>
          </w:tcPr>
          <w:p w14:paraId="75B069B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Genomic DNA</w:t>
            </w:r>
          </w:p>
        </w:tc>
        <w:tc>
          <w:tcPr>
            <w:tcW w:w="2293" w:type="dxa"/>
          </w:tcPr>
          <w:p w14:paraId="0BD578F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20 ng</w:t>
            </w:r>
          </w:p>
        </w:tc>
      </w:tr>
      <w:tr w:rsidR="000B3AF7" w:rsidRPr="002E26D2" w14:paraId="38FA5424" w14:textId="77777777" w:rsidTr="00E72D5F">
        <w:trPr>
          <w:trHeight w:val="232"/>
          <w:jc w:val="center"/>
        </w:trPr>
        <w:tc>
          <w:tcPr>
            <w:tcW w:w="2972" w:type="dxa"/>
          </w:tcPr>
          <w:p w14:paraId="6EF6C67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Primer 1</w:t>
            </w:r>
          </w:p>
        </w:tc>
        <w:tc>
          <w:tcPr>
            <w:tcW w:w="2293" w:type="dxa"/>
          </w:tcPr>
          <w:p w14:paraId="0C29C1B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0.3 µM</w:t>
            </w:r>
          </w:p>
        </w:tc>
      </w:tr>
      <w:tr w:rsidR="000B3AF7" w:rsidRPr="002E26D2" w14:paraId="655127F7" w14:textId="77777777" w:rsidTr="00E72D5F">
        <w:trPr>
          <w:trHeight w:val="232"/>
          <w:jc w:val="center"/>
        </w:trPr>
        <w:tc>
          <w:tcPr>
            <w:tcW w:w="2972" w:type="dxa"/>
          </w:tcPr>
          <w:p w14:paraId="767AB2C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Primer 2</w:t>
            </w:r>
          </w:p>
        </w:tc>
        <w:tc>
          <w:tcPr>
            <w:tcW w:w="2293" w:type="dxa"/>
          </w:tcPr>
          <w:p w14:paraId="5C2A7ED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0.3 µM</w:t>
            </w:r>
          </w:p>
        </w:tc>
      </w:tr>
      <w:tr w:rsidR="000B3AF7" w:rsidRPr="002E26D2" w14:paraId="104B1BF6" w14:textId="77777777" w:rsidTr="00E72D5F">
        <w:trPr>
          <w:trHeight w:val="219"/>
          <w:jc w:val="center"/>
        </w:trPr>
        <w:tc>
          <w:tcPr>
            <w:tcW w:w="2972" w:type="dxa"/>
          </w:tcPr>
          <w:p w14:paraId="7577267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dATP</w:t>
            </w:r>
          </w:p>
        </w:tc>
        <w:tc>
          <w:tcPr>
            <w:tcW w:w="2293" w:type="dxa"/>
          </w:tcPr>
          <w:p w14:paraId="770B871B"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350 µM</w:t>
            </w:r>
          </w:p>
        </w:tc>
      </w:tr>
      <w:tr w:rsidR="000B3AF7" w:rsidRPr="002E26D2" w14:paraId="350B1DEF" w14:textId="77777777" w:rsidTr="00E72D5F">
        <w:trPr>
          <w:trHeight w:val="232"/>
          <w:jc w:val="center"/>
        </w:trPr>
        <w:tc>
          <w:tcPr>
            <w:tcW w:w="2972" w:type="dxa"/>
          </w:tcPr>
          <w:p w14:paraId="2C7C574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dCTP</w:t>
            </w:r>
          </w:p>
        </w:tc>
        <w:tc>
          <w:tcPr>
            <w:tcW w:w="2293" w:type="dxa"/>
          </w:tcPr>
          <w:p w14:paraId="392E01E2"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350 µM</w:t>
            </w:r>
          </w:p>
        </w:tc>
      </w:tr>
      <w:tr w:rsidR="000B3AF7" w:rsidRPr="002E26D2" w14:paraId="222984A4" w14:textId="77777777" w:rsidTr="00E72D5F">
        <w:trPr>
          <w:trHeight w:val="60"/>
          <w:jc w:val="center"/>
        </w:trPr>
        <w:tc>
          <w:tcPr>
            <w:tcW w:w="2972" w:type="dxa"/>
          </w:tcPr>
          <w:p w14:paraId="068823B5"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dGTP</w:t>
            </w:r>
          </w:p>
        </w:tc>
        <w:tc>
          <w:tcPr>
            <w:tcW w:w="2293" w:type="dxa"/>
          </w:tcPr>
          <w:p w14:paraId="2FCE8DFA"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350 µM</w:t>
            </w:r>
          </w:p>
        </w:tc>
      </w:tr>
      <w:tr w:rsidR="000B3AF7" w:rsidRPr="002E26D2" w14:paraId="79DAF650" w14:textId="77777777" w:rsidTr="00E72D5F">
        <w:trPr>
          <w:trHeight w:val="60"/>
          <w:jc w:val="center"/>
        </w:trPr>
        <w:tc>
          <w:tcPr>
            <w:tcW w:w="2972" w:type="dxa"/>
          </w:tcPr>
          <w:p w14:paraId="2DD252BC"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dTTP</w:t>
            </w:r>
          </w:p>
        </w:tc>
        <w:tc>
          <w:tcPr>
            <w:tcW w:w="2293" w:type="dxa"/>
          </w:tcPr>
          <w:p w14:paraId="78BCB0E3"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350 µM</w:t>
            </w:r>
          </w:p>
        </w:tc>
      </w:tr>
      <w:tr w:rsidR="000B3AF7" w:rsidRPr="002E26D2" w14:paraId="2A62C92A" w14:textId="77777777" w:rsidTr="00E72D5F">
        <w:trPr>
          <w:trHeight w:val="60"/>
          <w:jc w:val="center"/>
        </w:trPr>
        <w:tc>
          <w:tcPr>
            <w:tcW w:w="2972" w:type="dxa"/>
          </w:tcPr>
          <w:p w14:paraId="60285305" w14:textId="55D9DBF0"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10</w:t>
            </w:r>
            <w:r w:rsidR="00C6769A" w:rsidRPr="002E26D2">
              <w:rPr>
                <w:rFonts w:ascii="Times New Roman" w:hAnsi="Times New Roman" w:cs="Times New Roman"/>
                <w:sz w:val="24"/>
                <w:szCs w:val="24"/>
              </w:rPr>
              <w:t>×</w:t>
            </w:r>
            <w:r w:rsidRPr="002E26D2">
              <w:rPr>
                <w:rFonts w:ascii="Times New Roman" w:hAnsi="Times New Roman" w:cs="Times New Roman"/>
                <w:sz w:val="24"/>
                <w:szCs w:val="24"/>
              </w:rPr>
              <w:t xml:space="preserve"> Buffer1 </w:t>
            </w:r>
          </w:p>
        </w:tc>
        <w:tc>
          <w:tcPr>
            <w:tcW w:w="2293" w:type="dxa"/>
          </w:tcPr>
          <w:p w14:paraId="0605DFA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2.5 µL</w:t>
            </w:r>
          </w:p>
        </w:tc>
      </w:tr>
      <w:tr w:rsidR="000B3AF7" w:rsidRPr="002E26D2" w14:paraId="3CA67A9E" w14:textId="77777777" w:rsidTr="00E72D5F">
        <w:trPr>
          <w:trHeight w:val="60"/>
          <w:jc w:val="center"/>
        </w:trPr>
        <w:tc>
          <w:tcPr>
            <w:tcW w:w="2972" w:type="dxa"/>
          </w:tcPr>
          <w:p w14:paraId="2ACC1784"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DMSO 20 %</w:t>
            </w:r>
          </w:p>
        </w:tc>
        <w:tc>
          <w:tcPr>
            <w:tcW w:w="2293" w:type="dxa"/>
          </w:tcPr>
          <w:p w14:paraId="72AEF2D3"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2.5 µL</w:t>
            </w:r>
          </w:p>
        </w:tc>
      </w:tr>
      <w:tr w:rsidR="000B3AF7" w:rsidRPr="002E26D2" w14:paraId="2C7CE33E" w14:textId="77777777" w:rsidTr="00E72D5F">
        <w:trPr>
          <w:trHeight w:val="60"/>
          <w:jc w:val="center"/>
        </w:trPr>
        <w:tc>
          <w:tcPr>
            <w:tcW w:w="2972" w:type="dxa"/>
          </w:tcPr>
          <w:p w14:paraId="59BAE3E0"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Enzyme mix</w:t>
            </w:r>
          </w:p>
        </w:tc>
        <w:tc>
          <w:tcPr>
            <w:tcW w:w="2293" w:type="dxa"/>
          </w:tcPr>
          <w:p w14:paraId="71C4F87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0.2 µL</w:t>
            </w:r>
          </w:p>
        </w:tc>
      </w:tr>
      <w:tr w:rsidR="000B3AF7" w:rsidRPr="002E26D2" w14:paraId="62556515" w14:textId="77777777" w:rsidTr="00E72D5F">
        <w:trPr>
          <w:trHeight w:val="60"/>
          <w:jc w:val="center"/>
        </w:trPr>
        <w:tc>
          <w:tcPr>
            <w:tcW w:w="2972" w:type="dxa"/>
          </w:tcPr>
          <w:p w14:paraId="4E269EA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tc>
        <w:tc>
          <w:tcPr>
            <w:tcW w:w="2293" w:type="dxa"/>
          </w:tcPr>
          <w:p w14:paraId="3AA18AC4"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Up to 25 µL</w:t>
            </w:r>
          </w:p>
        </w:tc>
      </w:tr>
      <w:tr w:rsidR="000B3AF7" w:rsidRPr="002E26D2" w14:paraId="38FB95FD" w14:textId="77777777" w:rsidTr="00E72D5F">
        <w:trPr>
          <w:trHeight w:val="60"/>
          <w:jc w:val="center"/>
        </w:trPr>
        <w:tc>
          <w:tcPr>
            <w:tcW w:w="2972" w:type="dxa"/>
          </w:tcPr>
          <w:p w14:paraId="0113B558"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Total volume</w:t>
            </w:r>
          </w:p>
        </w:tc>
        <w:tc>
          <w:tcPr>
            <w:tcW w:w="2293" w:type="dxa"/>
          </w:tcPr>
          <w:p w14:paraId="6C2094DB"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25 µL</w:t>
            </w:r>
          </w:p>
        </w:tc>
      </w:tr>
    </w:tbl>
    <w:p w14:paraId="26B5D6AA" w14:textId="17BD8067" w:rsidR="000B3AF7" w:rsidRPr="002E26D2" w:rsidRDefault="000B3AF7" w:rsidP="004927BB">
      <w:pPr>
        <w:spacing w:line="360" w:lineRule="auto"/>
        <w:jc w:val="both"/>
        <w:rPr>
          <w:rFonts w:ascii="Times New Roman" w:hAnsi="Times New Roman" w:cs="Times New Roman"/>
          <w:sz w:val="24"/>
          <w:szCs w:val="24"/>
        </w:rPr>
      </w:pPr>
    </w:p>
    <w:p w14:paraId="048E8471" w14:textId="4B627926" w:rsidR="00C40E13" w:rsidRPr="002E26D2" w:rsidRDefault="00C40E13" w:rsidP="004927BB">
      <w:pPr>
        <w:pStyle w:val="Caption"/>
        <w:keepNext/>
        <w:spacing w:line="360" w:lineRule="auto"/>
        <w:rPr>
          <w:rFonts w:ascii="Times New Roman" w:hAnsi="Times New Roman" w:cs="Times New Roman"/>
          <w:sz w:val="24"/>
          <w:szCs w:val="24"/>
        </w:rPr>
      </w:pPr>
      <w:bookmarkStart w:id="126" w:name="_Ref106008839"/>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22</w:t>
      </w:r>
      <w:r w:rsidRPr="002E26D2">
        <w:rPr>
          <w:rFonts w:ascii="Times New Roman" w:hAnsi="Times New Roman" w:cs="Times New Roman"/>
          <w:sz w:val="24"/>
          <w:szCs w:val="24"/>
        </w:rPr>
        <w:fldChar w:fldCharType="end"/>
      </w:r>
      <w:bookmarkEnd w:id="126"/>
      <w:r w:rsidRPr="002E26D2">
        <w:rPr>
          <w:rFonts w:ascii="Times New Roman" w:hAnsi="Times New Roman" w:cs="Times New Roman"/>
          <w:sz w:val="24"/>
          <w:szCs w:val="24"/>
        </w:rPr>
        <w:t xml:space="preserve"> : PCR parameters used for the control of NME6-KO </w:t>
      </w:r>
    </w:p>
    <w:tbl>
      <w:tblPr>
        <w:tblStyle w:val="TableGrid"/>
        <w:tblW w:w="0" w:type="auto"/>
        <w:jc w:val="center"/>
        <w:tblLook w:val="04A0" w:firstRow="1" w:lastRow="0" w:firstColumn="1" w:lastColumn="0" w:noHBand="0" w:noVBand="1"/>
      </w:tblPr>
      <w:tblGrid>
        <w:gridCol w:w="1590"/>
        <w:gridCol w:w="1129"/>
        <w:gridCol w:w="1790"/>
        <w:gridCol w:w="608"/>
      </w:tblGrid>
      <w:tr w:rsidR="000B3AF7" w:rsidRPr="002E26D2" w14:paraId="57249858" w14:textId="77777777" w:rsidTr="00C40E13">
        <w:trPr>
          <w:jc w:val="center"/>
        </w:trPr>
        <w:tc>
          <w:tcPr>
            <w:tcW w:w="1573" w:type="dxa"/>
          </w:tcPr>
          <w:p w14:paraId="28F903BD" w14:textId="77777777" w:rsidR="000B3AF7" w:rsidRPr="002E26D2" w:rsidRDefault="000B3AF7" w:rsidP="004927BB">
            <w:pPr>
              <w:spacing w:line="360" w:lineRule="auto"/>
              <w:jc w:val="both"/>
              <w:rPr>
                <w:rFonts w:ascii="Times New Roman" w:hAnsi="Times New Roman" w:cs="Times New Roman"/>
                <w:sz w:val="24"/>
                <w:szCs w:val="24"/>
              </w:rPr>
            </w:pPr>
          </w:p>
        </w:tc>
        <w:tc>
          <w:tcPr>
            <w:tcW w:w="1129" w:type="dxa"/>
          </w:tcPr>
          <w:p w14:paraId="7411242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94 °C</w:t>
            </w:r>
          </w:p>
        </w:tc>
        <w:tc>
          <w:tcPr>
            <w:tcW w:w="1790" w:type="dxa"/>
          </w:tcPr>
          <w:p w14:paraId="50A5CD3B"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 min</w:t>
            </w:r>
          </w:p>
        </w:tc>
        <w:tc>
          <w:tcPr>
            <w:tcW w:w="608" w:type="dxa"/>
          </w:tcPr>
          <w:p w14:paraId="03BF2615" w14:textId="77777777" w:rsidR="000B3AF7" w:rsidRPr="002E26D2" w:rsidRDefault="000B3AF7" w:rsidP="004927BB">
            <w:pPr>
              <w:spacing w:line="360" w:lineRule="auto"/>
              <w:jc w:val="both"/>
              <w:rPr>
                <w:rFonts w:ascii="Times New Roman" w:hAnsi="Times New Roman" w:cs="Times New Roman"/>
                <w:sz w:val="24"/>
                <w:szCs w:val="24"/>
              </w:rPr>
            </w:pPr>
          </w:p>
        </w:tc>
      </w:tr>
      <w:tr w:rsidR="000B3AF7" w:rsidRPr="002E26D2" w14:paraId="143C6B75" w14:textId="77777777" w:rsidTr="00C40E13">
        <w:trPr>
          <w:jc w:val="center"/>
        </w:trPr>
        <w:tc>
          <w:tcPr>
            <w:tcW w:w="1573" w:type="dxa"/>
          </w:tcPr>
          <w:p w14:paraId="31F541F5"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Denaturation</w:t>
            </w:r>
          </w:p>
        </w:tc>
        <w:tc>
          <w:tcPr>
            <w:tcW w:w="1129" w:type="dxa"/>
          </w:tcPr>
          <w:p w14:paraId="28F0339D"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95 °C</w:t>
            </w:r>
          </w:p>
        </w:tc>
        <w:tc>
          <w:tcPr>
            <w:tcW w:w="1790" w:type="dxa"/>
          </w:tcPr>
          <w:p w14:paraId="21F8DF2F"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15 s</w:t>
            </w:r>
          </w:p>
        </w:tc>
        <w:tc>
          <w:tcPr>
            <w:tcW w:w="608" w:type="dxa"/>
            <w:vMerge w:val="restart"/>
          </w:tcPr>
          <w:p w14:paraId="6396DD0C" w14:textId="77777777" w:rsidR="000B3AF7" w:rsidRPr="002E26D2" w:rsidRDefault="000B3AF7" w:rsidP="004927BB">
            <w:pPr>
              <w:spacing w:line="360" w:lineRule="auto"/>
              <w:jc w:val="both"/>
              <w:rPr>
                <w:rFonts w:ascii="Times New Roman" w:hAnsi="Times New Roman" w:cs="Times New Roman"/>
                <w:sz w:val="24"/>
                <w:szCs w:val="24"/>
              </w:rPr>
            </w:pPr>
          </w:p>
          <w:p w14:paraId="2DAB006F" w14:textId="493E6504"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30</w:t>
            </w:r>
            <w:r w:rsidR="00C6769A" w:rsidRPr="00C6769A">
              <w:rPr>
                <w:rFonts w:ascii="Times New Roman" w:hAnsi="Times New Roman" w:cs="Times New Roman"/>
                <w:b/>
                <w:sz w:val="24"/>
                <w:szCs w:val="24"/>
              </w:rPr>
              <w:t>×</w:t>
            </w:r>
          </w:p>
        </w:tc>
      </w:tr>
      <w:tr w:rsidR="000B3AF7" w:rsidRPr="002E26D2" w14:paraId="5E8E4BAE" w14:textId="77777777" w:rsidTr="00C40E13">
        <w:trPr>
          <w:jc w:val="center"/>
        </w:trPr>
        <w:tc>
          <w:tcPr>
            <w:tcW w:w="1573" w:type="dxa"/>
          </w:tcPr>
          <w:p w14:paraId="6CF325C4"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Annealing</w:t>
            </w:r>
          </w:p>
        </w:tc>
        <w:tc>
          <w:tcPr>
            <w:tcW w:w="1129" w:type="dxa"/>
          </w:tcPr>
          <w:p w14:paraId="46FCCE3C"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60 °C</w:t>
            </w:r>
          </w:p>
        </w:tc>
        <w:tc>
          <w:tcPr>
            <w:tcW w:w="1790" w:type="dxa"/>
          </w:tcPr>
          <w:p w14:paraId="6B809B5A"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30 s</w:t>
            </w:r>
          </w:p>
        </w:tc>
        <w:tc>
          <w:tcPr>
            <w:tcW w:w="608" w:type="dxa"/>
            <w:vMerge/>
          </w:tcPr>
          <w:p w14:paraId="3FD4B771" w14:textId="77777777" w:rsidR="000B3AF7" w:rsidRPr="002E26D2" w:rsidRDefault="000B3AF7" w:rsidP="004927BB">
            <w:pPr>
              <w:spacing w:line="360" w:lineRule="auto"/>
              <w:jc w:val="both"/>
              <w:rPr>
                <w:rFonts w:ascii="Times New Roman" w:hAnsi="Times New Roman" w:cs="Times New Roman"/>
                <w:sz w:val="24"/>
                <w:szCs w:val="24"/>
              </w:rPr>
            </w:pPr>
          </w:p>
        </w:tc>
      </w:tr>
      <w:tr w:rsidR="000B3AF7" w:rsidRPr="002E26D2" w14:paraId="74C2F992" w14:textId="77777777" w:rsidTr="00C40E13">
        <w:trPr>
          <w:jc w:val="center"/>
        </w:trPr>
        <w:tc>
          <w:tcPr>
            <w:tcW w:w="1573" w:type="dxa"/>
          </w:tcPr>
          <w:p w14:paraId="13FA460E"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Elongation</w:t>
            </w:r>
          </w:p>
        </w:tc>
        <w:tc>
          <w:tcPr>
            <w:tcW w:w="1129" w:type="dxa"/>
          </w:tcPr>
          <w:p w14:paraId="035E3386"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 xml:space="preserve">68 °C </w:t>
            </w:r>
          </w:p>
        </w:tc>
        <w:tc>
          <w:tcPr>
            <w:tcW w:w="1790" w:type="dxa"/>
          </w:tcPr>
          <w:p w14:paraId="4FEB4424"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4 min</w:t>
            </w:r>
          </w:p>
          <w:p w14:paraId="0FA1F638"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(*1 min 45 s)</w:t>
            </w:r>
          </w:p>
        </w:tc>
        <w:tc>
          <w:tcPr>
            <w:tcW w:w="608" w:type="dxa"/>
            <w:vMerge/>
          </w:tcPr>
          <w:p w14:paraId="536F6D5A" w14:textId="77777777" w:rsidR="000B3AF7" w:rsidRPr="002E26D2" w:rsidRDefault="000B3AF7" w:rsidP="004927BB">
            <w:pPr>
              <w:spacing w:line="360" w:lineRule="auto"/>
              <w:jc w:val="both"/>
              <w:rPr>
                <w:rFonts w:ascii="Times New Roman" w:hAnsi="Times New Roman" w:cs="Times New Roman"/>
                <w:sz w:val="24"/>
                <w:szCs w:val="24"/>
              </w:rPr>
            </w:pPr>
          </w:p>
        </w:tc>
      </w:tr>
      <w:tr w:rsidR="000B3AF7" w:rsidRPr="002E26D2" w14:paraId="09A7C258" w14:textId="77777777" w:rsidTr="00C40E13">
        <w:trPr>
          <w:jc w:val="center"/>
        </w:trPr>
        <w:tc>
          <w:tcPr>
            <w:tcW w:w="1573" w:type="dxa"/>
          </w:tcPr>
          <w:p w14:paraId="76ED5B1C" w14:textId="77777777" w:rsidR="000B3AF7" w:rsidRPr="002E26D2" w:rsidRDefault="000B3AF7" w:rsidP="004927BB">
            <w:pPr>
              <w:spacing w:line="360" w:lineRule="auto"/>
              <w:jc w:val="both"/>
              <w:rPr>
                <w:rFonts w:ascii="Times New Roman" w:hAnsi="Times New Roman" w:cs="Times New Roman"/>
                <w:sz w:val="24"/>
                <w:szCs w:val="24"/>
              </w:rPr>
            </w:pPr>
          </w:p>
        </w:tc>
        <w:tc>
          <w:tcPr>
            <w:tcW w:w="1129" w:type="dxa"/>
          </w:tcPr>
          <w:p w14:paraId="0ACD31CB"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68 °C</w:t>
            </w:r>
          </w:p>
        </w:tc>
        <w:tc>
          <w:tcPr>
            <w:tcW w:w="1790" w:type="dxa"/>
          </w:tcPr>
          <w:p w14:paraId="7CFBEC85"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7 min</w:t>
            </w:r>
          </w:p>
        </w:tc>
        <w:tc>
          <w:tcPr>
            <w:tcW w:w="608" w:type="dxa"/>
          </w:tcPr>
          <w:p w14:paraId="67AD97DC" w14:textId="77777777" w:rsidR="000B3AF7" w:rsidRPr="002E26D2" w:rsidRDefault="000B3AF7" w:rsidP="004927BB">
            <w:pPr>
              <w:spacing w:line="360" w:lineRule="auto"/>
              <w:jc w:val="both"/>
              <w:rPr>
                <w:rFonts w:ascii="Times New Roman" w:hAnsi="Times New Roman" w:cs="Times New Roman"/>
                <w:sz w:val="24"/>
                <w:szCs w:val="24"/>
              </w:rPr>
            </w:pPr>
          </w:p>
        </w:tc>
      </w:tr>
      <w:tr w:rsidR="000B3AF7" w:rsidRPr="002E26D2" w14:paraId="530B5E96" w14:textId="77777777" w:rsidTr="00C40E13">
        <w:trPr>
          <w:jc w:val="center"/>
        </w:trPr>
        <w:tc>
          <w:tcPr>
            <w:tcW w:w="1573" w:type="dxa"/>
          </w:tcPr>
          <w:p w14:paraId="03D76145" w14:textId="77777777" w:rsidR="000B3AF7" w:rsidRPr="002E26D2" w:rsidRDefault="000B3AF7" w:rsidP="004927BB">
            <w:pPr>
              <w:spacing w:line="360" w:lineRule="auto"/>
              <w:jc w:val="both"/>
              <w:rPr>
                <w:rFonts w:ascii="Times New Roman" w:hAnsi="Times New Roman" w:cs="Times New Roman"/>
                <w:sz w:val="24"/>
                <w:szCs w:val="24"/>
              </w:rPr>
            </w:pPr>
          </w:p>
        </w:tc>
        <w:tc>
          <w:tcPr>
            <w:tcW w:w="1129" w:type="dxa"/>
          </w:tcPr>
          <w:p w14:paraId="78BB497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4 °C</w:t>
            </w:r>
          </w:p>
        </w:tc>
        <w:tc>
          <w:tcPr>
            <w:tcW w:w="1790" w:type="dxa"/>
          </w:tcPr>
          <w:p w14:paraId="43FF2DCE"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t>
            </w:r>
          </w:p>
        </w:tc>
        <w:tc>
          <w:tcPr>
            <w:tcW w:w="608" w:type="dxa"/>
          </w:tcPr>
          <w:p w14:paraId="2F8D192B" w14:textId="77777777" w:rsidR="000B3AF7" w:rsidRPr="002E26D2" w:rsidRDefault="000B3AF7" w:rsidP="004927BB">
            <w:pPr>
              <w:spacing w:line="360" w:lineRule="auto"/>
              <w:jc w:val="both"/>
              <w:rPr>
                <w:rFonts w:ascii="Times New Roman" w:hAnsi="Times New Roman" w:cs="Times New Roman"/>
                <w:sz w:val="24"/>
                <w:szCs w:val="24"/>
              </w:rPr>
            </w:pPr>
          </w:p>
        </w:tc>
      </w:tr>
    </w:tbl>
    <w:p w14:paraId="763883C5" w14:textId="36728B2E" w:rsidR="000B3AF7" w:rsidRPr="002E26D2" w:rsidRDefault="00120416" w:rsidP="006B0616">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Note: </w:t>
      </w:r>
      <w:r w:rsidR="00F107B9">
        <w:rPr>
          <w:rFonts w:ascii="Times New Roman" w:hAnsi="Times New Roman" w:cs="Times New Roman"/>
          <w:sz w:val="24"/>
          <w:szCs w:val="24"/>
        </w:rPr>
        <w:t xml:space="preserve">Four </w:t>
      </w:r>
      <w:r w:rsidRPr="002E26D2">
        <w:rPr>
          <w:rFonts w:ascii="Times New Roman" w:hAnsi="Times New Roman" w:cs="Times New Roman"/>
          <w:sz w:val="24"/>
          <w:szCs w:val="24"/>
        </w:rPr>
        <w:t>min</w:t>
      </w:r>
      <w:r w:rsidR="00F107B9">
        <w:rPr>
          <w:rFonts w:ascii="Times New Roman" w:hAnsi="Times New Roman" w:cs="Times New Roman"/>
          <w:sz w:val="24"/>
          <w:szCs w:val="24"/>
        </w:rPr>
        <w:t>utes</w:t>
      </w:r>
      <w:r w:rsidRPr="002E26D2">
        <w:rPr>
          <w:rFonts w:ascii="Times New Roman" w:hAnsi="Times New Roman" w:cs="Times New Roman"/>
          <w:sz w:val="24"/>
          <w:szCs w:val="24"/>
        </w:rPr>
        <w:t xml:space="preserve"> of elongation was used for screening NME6-KO and NME6-WT genes</w:t>
      </w:r>
      <w:r w:rsidR="00F107B9">
        <w:rPr>
          <w:rFonts w:ascii="Times New Roman" w:hAnsi="Times New Roman" w:cs="Times New Roman"/>
          <w:sz w:val="24"/>
          <w:szCs w:val="24"/>
        </w:rPr>
        <w:t xml:space="preserve"> with primer LF and RR.</w:t>
      </w:r>
      <w:r w:rsidRPr="002E26D2">
        <w:rPr>
          <w:rFonts w:ascii="Times New Roman" w:hAnsi="Times New Roman" w:cs="Times New Roman"/>
          <w:sz w:val="24"/>
          <w:szCs w:val="24"/>
        </w:rPr>
        <w:t xml:space="preserve"> *</w:t>
      </w:r>
      <w:r w:rsidR="00F107B9">
        <w:rPr>
          <w:rFonts w:ascii="Times New Roman" w:hAnsi="Times New Roman" w:cs="Times New Roman"/>
          <w:sz w:val="24"/>
          <w:szCs w:val="24"/>
        </w:rPr>
        <w:t xml:space="preserve">One minute and forty-five second </w:t>
      </w:r>
      <w:r w:rsidRPr="002E26D2">
        <w:rPr>
          <w:rFonts w:ascii="Times New Roman" w:hAnsi="Times New Roman" w:cs="Times New Roman"/>
          <w:sz w:val="24"/>
          <w:szCs w:val="24"/>
        </w:rPr>
        <w:t>of elongation was used for screening the left</w:t>
      </w:r>
      <w:r w:rsidR="00F107B9">
        <w:rPr>
          <w:rFonts w:ascii="Times New Roman" w:hAnsi="Times New Roman" w:cs="Times New Roman"/>
          <w:sz w:val="24"/>
          <w:szCs w:val="24"/>
        </w:rPr>
        <w:t xml:space="preserve"> (Primers LF and LR)</w:t>
      </w:r>
      <w:r w:rsidRPr="002E26D2">
        <w:rPr>
          <w:rFonts w:ascii="Times New Roman" w:hAnsi="Times New Roman" w:cs="Times New Roman"/>
          <w:sz w:val="24"/>
          <w:szCs w:val="24"/>
        </w:rPr>
        <w:t xml:space="preserve"> and right</w:t>
      </w:r>
      <w:r w:rsidR="004D30E5">
        <w:rPr>
          <w:rFonts w:ascii="Times New Roman" w:hAnsi="Times New Roman" w:cs="Times New Roman"/>
          <w:sz w:val="24"/>
          <w:szCs w:val="24"/>
        </w:rPr>
        <w:t xml:space="preserve"> (Primers RF and RR)</w:t>
      </w:r>
      <w:r w:rsidRPr="002E26D2">
        <w:rPr>
          <w:rFonts w:ascii="Times New Roman" w:hAnsi="Times New Roman" w:cs="Times New Roman"/>
          <w:sz w:val="24"/>
          <w:szCs w:val="24"/>
        </w:rPr>
        <w:t xml:space="preserve"> integration junctions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REF _Ref106008806 \h </w:instrText>
      </w:r>
      <w:r w:rsidR="002E26D2" w:rsidRPr="002E26D2">
        <w:rPr>
          <w:rFonts w:ascii="Times New Roman" w:hAnsi="Times New Roman" w:cs="Times New Roman"/>
          <w:sz w:val="24"/>
          <w:szCs w:val="24"/>
        </w:rPr>
        <w:instrText xml:space="preserve"> \* MERGEFORMAT </w:instrText>
      </w:r>
      <w:r w:rsidRPr="002E26D2">
        <w:rPr>
          <w:rFonts w:ascii="Times New Roman" w:hAnsi="Times New Roman" w:cs="Times New Roman"/>
          <w:sz w:val="24"/>
          <w:szCs w:val="24"/>
        </w:rPr>
      </w:r>
      <w:r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13</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r w:rsidR="00C37CAE" w:rsidRPr="002E26D2">
        <w:rPr>
          <w:rFonts w:ascii="Times New Roman" w:hAnsi="Times New Roman" w:cs="Times New Roman"/>
          <w:sz w:val="24"/>
          <w:szCs w:val="24"/>
        </w:rPr>
        <w:t>.</w:t>
      </w:r>
    </w:p>
    <w:p w14:paraId="0F9078D7" w14:textId="6512FBC3"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All PCR product were analyzed in the agarose gel as described in </w:t>
      </w:r>
      <w:r w:rsidR="007F464B">
        <w:rPr>
          <w:rFonts w:ascii="Times New Roman" w:hAnsi="Times New Roman" w:cs="Times New Roman"/>
          <w:sz w:val="24"/>
          <w:szCs w:val="24"/>
        </w:rPr>
        <w:t xml:space="preserve">section </w:t>
      </w:r>
      <w:r w:rsidR="00184F1A" w:rsidRPr="002E26D2">
        <w:rPr>
          <w:rFonts w:ascii="Times New Roman" w:hAnsi="Times New Roman" w:cs="Times New Roman"/>
          <w:sz w:val="24"/>
          <w:szCs w:val="24"/>
        </w:rPr>
        <w:fldChar w:fldCharType="begin"/>
      </w:r>
      <w:r w:rsidR="00184F1A" w:rsidRPr="002E26D2">
        <w:rPr>
          <w:rFonts w:ascii="Times New Roman" w:hAnsi="Times New Roman" w:cs="Times New Roman"/>
          <w:sz w:val="24"/>
          <w:szCs w:val="24"/>
        </w:rPr>
        <w:instrText xml:space="preserve"> REF _Ref105767472 \r \h </w:instrText>
      </w:r>
      <w:r w:rsidR="002E26D2" w:rsidRPr="002E26D2">
        <w:rPr>
          <w:rFonts w:ascii="Times New Roman" w:hAnsi="Times New Roman" w:cs="Times New Roman"/>
          <w:sz w:val="24"/>
          <w:szCs w:val="24"/>
        </w:rPr>
        <w:instrText xml:space="preserve"> \* MERGEFORMAT </w:instrText>
      </w:r>
      <w:r w:rsidR="00184F1A" w:rsidRPr="002E26D2">
        <w:rPr>
          <w:rFonts w:ascii="Times New Roman" w:hAnsi="Times New Roman" w:cs="Times New Roman"/>
          <w:sz w:val="24"/>
          <w:szCs w:val="24"/>
        </w:rPr>
      </w:r>
      <w:r w:rsidR="00184F1A"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3.2.1.1.2</w:t>
      </w:r>
      <w:r w:rsidR="00184F1A"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using a mix of 1 </w:t>
      </w:r>
      <w:r w:rsidR="00F107B9">
        <w:rPr>
          <w:rFonts w:ascii="Times New Roman" w:hAnsi="Times New Roman" w:cs="Times New Roman"/>
          <w:sz w:val="24"/>
          <w:szCs w:val="24"/>
        </w:rPr>
        <w:t>µ</w:t>
      </w:r>
      <w:r w:rsidRPr="002E26D2">
        <w:rPr>
          <w:rFonts w:ascii="Times New Roman" w:hAnsi="Times New Roman" w:cs="Times New Roman"/>
          <w:sz w:val="24"/>
          <w:szCs w:val="24"/>
        </w:rPr>
        <w:t xml:space="preserve">L of sample, 2 µL </w:t>
      </w:r>
      <w:r w:rsidRPr="002F0FF1">
        <w:rPr>
          <w:rFonts w:ascii="Times New Roman" w:hAnsi="Times New Roman" w:cs="Times New Roman"/>
          <w:sz w:val="24"/>
          <w:szCs w:val="24"/>
        </w:rPr>
        <w:t>of 5×LB and</w:t>
      </w:r>
      <w:r w:rsidRPr="002E26D2">
        <w:rPr>
          <w:rFonts w:ascii="Times New Roman" w:hAnsi="Times New Roman" w:cs="Times New Roman"/>
          <w:sz w:val="24"/>
          <w:szCs w:val="24"/>
        </w:rPr>
        <w:t xml:space="preserve"> 7 µL of 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p w14:paraId="7ABF64AD" w14:textId="25315875" w:rsidR="009F5B68" w:rsidRDefault="009F5B68">
      <w:pPr>
        <w:rPr>
          <w:rFonts w:ascii="Times New Roman" w:hAnsi="Times New Roman" w:cs="Times New Roman"/>
          <w:sz w:val="24"/>
          <w:szCs w:val="24"/>
        </w:rPr>
      </w:pPr>
      <w:r>
        <w:rPr>
          <w:rFonts w:ascii="Times New Roman" w:hAnsi="Times New Roman" w:cs="Times New Roman"/>
          <w:sz w:val="24"/>
          <w:szCs w:val="24"/>
        </w:rPr>
        <w:br w:type="page"/>
      </w:r>
    </w:p>
    <w:p w14:paraId="0DF54176" w14:textId="3FFE2A35" w:rsidR="000B3AF7" w:rsidRPr="002E26D2" w:rsidRDefault="000D68C1" w:rsidP="003775DE">
      <w:pPr>
        <w:pStyle w:val="Heading3"/>
      </w:pPr>
      <w:bookmarkStart w:id="127" w:name="_Toc117153855"/>
      <w:r w:rsidRPr="002E26D2">
        <w:lastRenderedPageBreak/>
        <w:t>Protein analysis</w:t>
      </w:r>
      <w:bookmarkEnd w:id="127"/>
    </w:p>
    <w:p w14:paraId="14DCF9C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All procedures were performed on ice to avoid protein degradation.</w:t>
      </w:r>
    </w:p>
    <w:p w14:paraId="3A2A650F" w14:textId="2DD4727D" w:rsidR="000B3AF7" w:rsidRPr="002E26D2" w:rsidRDefault="000B3AF7" w:rsidP="002E2D58">
      <w:pPr>
        <w:pStyle w:val="Heading4"/>
      </w:pPr>
      <w:bookmarkStart w:id="128" w:name="_Ref105768293"/>
      <w:bookmarkStart w:id="129" w:name="_Toc117153856"/>
      <w:r w:rsidRPr="002E26D2">
        <w:t>Cell lysate preparation for Western blot analysis</w:t>
      </w:r>
      <w:bookmarkEnd w:id="128"/>
      <w:bookmarkEnd w:id="129"/>
    </w:p>
    <w:p w14:paraId="0773C965" w14:textId="20EEBF73" w:rsidR="000B3AF7"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cell pellet from </w:t>
      </w:r>
      <w:r w:rsidR="007F464B">
        <w:rPr>
          <w:rFonts w:ascii="Times New Roman" w:hAnsi="Times New Roman" w:cs="Times New Roman"/>
          <w:sz w:val="24"/>
          <w:szCs w:val="24"/>
        </w:rPr>
        <w:t xml:space="preserve">section </w:t>
      </w:r>
      <w:r w:rsidR="00184F1A" w:rsidRPr="002E26D2">
        <w:rPr>
          <w:rFonts w:ascii="Times New Roman" w:hAnsi="Times New Roman" w:cs="Times New Roman"/>
          <w:sz w:val="24"/>
          <w:szCs w:val="24"/>
        </w:rPr>
        <w:fldChar w:fldCharType="begin"/>
      </w:r>
      <w:r w:rsidR="00184F1A" w:rsidRPr="002E26D2">
        <w:rPr>
          <w:rFonts w:ascii="Times New Roman" w:hAnsi="Times New Roman" w:cs="Times New Roman"/>
          <w:sz w:val="24"/>
          <w:szCs w:val="24"/>
        </w:rPr>
        <w:instrText xml:space="preserve"> REF _Ref105767648 \r \h </w:instrText>
      </w:r>
      <w:r w:rsidR="002E26D2" w:rsidRPr="002E26D2">
        <w:rPr>
          <w:rFonts w:ascii="Times New Roman" w:hAnsi="Times New Roman" w:cs="Times New Roman"/>
          <w:sz w:val="24"/>
          <w:szCs w:val="24"/>
        </w:rPr>
        <w:instrText xml:space="preserve"> \* MERGEFORMAT </w:instrText>
      </w:r>
      <w:r w:rsidR="00184F1A" w:rsidRPr="002E26D2">
        <w:rPr>
          <w:rFonts w:ascii="Times New Roman" w:hAnsi="Times New Roman" w:cs="Times New Roman"/>
          <w:sz w:val="24"/>
          <w:szCs w:val="24"/>
        </w:rPr>
      </w:r>
      <w:r w:rsidR="00184F1A"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184F1A"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was resuspended in 100 µL of PBS supplemented with </w:t>
      </w:r>
      <w:r w:rsidRPr="002F0FF1">
        <w:rPr>
          <w:rFonts w:ascii="Times New Roman" w:hAnsi="Times New Roman" w:cs="Times New Roman"/>
          <w:sz w:val="24"/>
          <w:szCs w:val="24"/>
        </w:rPr>
        <w:t>1× protease inhibitor and subjected to sonication on ice using the Labsonic system with</w:t>
      </w:r>
      <w:r w:rsidRPr="002E26D2">
        <w:rPr>
          <w:rFonts w:ascii="Times New Roman" w:hAnsi="Times New Roman" w:cs="Times New Roman"/>
          <w:sz w:val="24"/>
          <w:szCs w:val="24"/>
        </w:rPr>
        <w:t xml:space="preserve"> the 1 mm probe, 3 × 10 s, with 1 min cooling period between each burst. Protein concentration was measured </w:t>
      </w:r>
      <w:r w:rsidR="009B5FB4">
        <w:rPr>
          <w:rFonts w:ascii="Times New Roman" w:hAnsi="Times New Roman" w:cs="Times New Roman"/>
          <w:sz w:val="24"/>
          <w:szCs w:val="24"/>
        </w:rPr>
        <w:t>as described</w:t>
      </w:r>
      <w:r w:rsidR="009B5FB4" w:rsidRPr="002E26D2">
        <w:rPr>
          <w:rFonts w:ascii="Times New Roman" w:hAnsi="Times New Roman" w:cs="Times New Roman"/>
          <w:sz w:val="24"/>
          <w:szCs w:val="24"/>
        </w:rPr>
        <w:t xml:space="preserve"> </w:t>
      </w:r>
      <w:r w:rsidR="009B5FB4">
        <w:rPr>
          <w:rFonts w:ascii="Times New Roman" w:hAnsi="Times New Roman" w:cs="Times New Roman"/>
          <w:sz w:val="24"/>
          <w:szCs w:val="24"/>
        </w:rPr>
        <w:t>in</w:t>
      </w:r>
      <w:r w:rsidRPr="002E26D2">
        <w:rPr>
          <w:rFonts w:ascii="Times New Roman" w:hAnsi="Times New Roman" w:cs="Times New Roman"/>
          <w:sz w:val="24"/>
          <w:szCs w:val="24"/>
        </w:rPr>
        <w:t xml:space="preserve"> </w:t>
      </w:r>
      <w:r w:rsidR="009B5FB4">
        <w:rPr>
          <w:rFonts w:ascii="Times New Roman" w:hAnsi="Times New Roman" w:cs="Times New Roman"/>
          <w:sz w:val="24"/>
          <w:szCs w:val="24"/>
        </w:rPr>
        <w:t xml:space="preserve">section </w:t>
      </w:r>
      <w:r w:rsidR="00184F1A" w:rsidRPr="002E26D2">
        <w:rPr>
          <w:rFonts w:ascii="Times New Roman" w:hAnsi="Times New Roman" w:cs="Times New Roman"/>
          <w:sz w:val="24"/>
          <w:szCs w:val="24"/>
        </w:rPr>
        <w:fldChar w:fldCharType="begin"/>
      </w:r>
      <w:r w:rsidR="00184F1A" w:rsidRPr="002E26D2">
        <w:rPr>
          <w:rFonts w:ascii="Times New Roman" w:hAnsi="Times New Roman" w:cs="Times New Roman"/>
          <w:sz w:val="24"/>
          <w:szCs w:val="24"/>
        </w:rPr>
        <w:instrText xml:space="preserve"> REF _Ref105768027 \r \h </w:instrText>
      </w:r>
      <w:r w:rsidR="002E26D2" w:rsidRPr="002E26D2">
        <w:rPr>
          <w:rFonts w:ascii="Times New Roman" w:hAnsi="Times New Roman" w:cs="Times New Roman"/>
          <w:sz w:val="24"/>
          <w:szCs w:val="24"/>
        </w:rPr>
        <w:instrText xml:space="preserve"> \* MERGEFORMAT </w:instrText>
      </w:r>
      <w:r w:rsidR="00184F1A" w:rsidRPr="002E26D2">
        <w:rPr>
          <w:rFonts w:ascii="Times New Roman" w:hAnsi="Times New Roman" w:cs="Times New Roman"/>
          <w:sz w:val="24"/>
          <w:szCs w:val="24"/>
        </w:rPr>
      </w:r>
      <w:r w:rsidR="00184F1A"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3.2.3.2.1</w:t>
      </w:r>
      <w:r w:rsidR="00184F1A"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60000C49" w14:textId="21566EEE" w:rsidR="000B3AF7" w:rsidRPr="002E26D2" w:rsidRDefault="000B3AF7" w:rsidP="002E2D58">
      <w:pPr>
        <w:pStyle w:val="Heading4"/>
      </w:pPr>
      <w:bookmarkStart w:id="130" w:name="_Toc117153857"/>
      <w:r w:rsidRPr="002E26D2">
        <w:t>Protein concentration measurement</w:t>
      </w:r>
      <w:bookmarkEnd w:id="130"/>
    </w:p>
    <w:p w14:paraId="7CE43C9C" w14:textId="703FBDAF" w:rsidR="000B3AF7" w:rsidRPr="00B23BAE" w:rsidRDefault="00761B56" w:rsidP="00B23BAE">
      <w:pPr>
        <w:pStyle w:val="Heading5"/>
      </w:pPr>
      <w:bookmarkStart w:id="131" w:name="_Ref105768027"/>
      <w:r>
        <w:t>B</w:t>
      </w:r>
      <w:r w:rsidRPr="00761B56">
        <w:t xml:space="preserve">icinchoninic acid </w:t>
      </w:r>
      <w:r>
        <w:t>(</w:t>
      </w:r>
      <w:r w:rsidR="000D68C1" w:rsidRPr="00B23BAE">
        <w:t>B</w:t>
      </w:r>
      <w:r w:rsidR="00AB4097" w:rsidRPr="00B23BAE">
        <w:t>CA</w:t>
      </w:r>
      <w:r>
        <w:t>)</w:t>
      </w:r>
      <w:r w:rsidR="000D68C1" w:rsidRPr="00B23BAE">
        <w:t xml:space="preserve"> method</w:t>
      </w:r>
      <w:bookmarkEnd w:id="131"/>
    </w:p>
    <w:p w14:paraId="5AF6308B" w14:textId="5333356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Protein concentration assay was performed using the </w:t>
      </w:r>
      <w:r w:rsidRPr="002E26D2">
        <w:rPr>
          <w:rFonts w:ascii="Times New Roman" w:hAnsi="Times New Roman" w:cs="Times New Roman"/>
          <w:i/>
          <w:sz w:val="24"/>
          <w:szCs w:val="24"/>
        </w:rPr>
        <w:t>Pierce BCA</w:t>
      </w:r>
      <w:r w:rsidRPr="002E26D2">
        <w:rPr>
          <w:rFonts w:ascii="Times New Roman" w:hAnsi="Times New Roman" w:cs="Times New Roman"/>
          <w:sz w:val="24"/>
          <w:szCs w:val="24"/>
        </w:rPr>
        <w:t xml:space="preserve"> kit according to manufacturer’s instruction. In a 96 well plate, blank and standards were loaded as follows:</w:t>
      </w:r>
      <w:r w:rsidR="00637390">
        <w:rPr>
          <w:rFonts w:ascii="Times New Roman" w:hAnsi="Times New Roman" w:cs="Times New Roman"/>
          <w:sz w:val="24"/>
          <w:szCs w:val="24"/>
        </w:rPr>
        <w:t xml:space="preserve"> </w:t>
      </w:r>
      <w:r w:rsidRPr="002E26D2">
        <w:rPr>
          <w:rFonts w:ascii="Times New Roman" w:hAnsi="Times New Roman" w:cs="Times New Roman"/>
          <w:sz w:val="24"/>
          <w:szCs w:val="24"/>
        </w:rPr>
        <w:t>20</w:t>
      </w:r>
      <w:r w:rsidR="0011755E">
        <w:rPr>
          <w:rFonts w:ascii="Times New Roman" w:hAnsi="Times New Roman" w:cs="Times New Roman"/>
          <w:sz w:val="24"/>
          <w:szCs w:val="24"/>
        </w:rPr>
        <w:t> </w:t>
      </w:r>
      <w:r w:rsidRPr="002E26D2">
        <w:rPr>
          <w:rFonts w:ascii="Times New Roman" w:hAnsi="Times New Roman" w:cs="Times New Roman"/>
          <w:sz w:val="24"/>
          <w:szCs w:val="24"/>
        </w:rPr>
        <w:t>µL of blank (qH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 and 20 µL of BSA standards of 125, 250, 375, 500, 750, 1000 and 1500 µg/mL. Samples were loaded in duplicates as follows: 18 µL of qH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xml:space="preserve">O + 2 µL cell lysate sample. Two hundred microliters of working reagent (A + B in ratio 50:1) from the kit was added to each well. The plate was mixed by gentle shaking for a few seconds and incubated in the dark at 37 °C for 30 min. The plate was allowed to cool down few minutes at room temperature and the absorbance was measured at 570 nm using </w:t>
      </w:r>
      <w:r w:rsidRPr="002F0FF1">
        <w:rPr>
          <w:rFonts w:ascii="Times New Roman" w:hAnsi="Times New Roman" w:cs="Times New Roman"/>
          <w:sz w:val="24"/>
          <w:szCs w:val="24"/>
        </w:rPr>
        <w:t>the multiskan spectrophotometer</w:t>
      </w:r>
      <w:r w:rsidRPr="002E26D2">
        <w:rPr>
          <w:rFonts w:ascii="Times New Roman" w:hAnsi="Times New Roman" w:cs="Times New Roman"/>
          <w:sz w:val="24"/>
          <w:szCs w:val="24"/>
        </w:rPr>
        <w:t xml:space="preserve">. The standards’ absorbance was used to create a standard curve and calculate the concentration of the protein sample, paying attention to the 10× dilution factor between the standard and the samples. </w:t>
      </w:r>
    </w:p>
    <w:p w14:paraId="31B138B6" w14:textId="037A560A" w:rsidR="000B3AF7" w:rsidRPr="002E26D2" w:rsidRDefault="000D68C1" w:rsidP="00B23BAE">
      <w:pPr>
        <w:pStyle w:val="Heading5"/>
      </w:pPr>
      <w:bookmarkStart w:id="132" w:name="_Ref105767613"/>
      <w:r w:rsidRPr="002E26D2">
        <w:t>Bradford method</w:t>
      </w:r>
      <w:bookmarkEnd w:id="132"/>
    </w:p>
    <w:p w14:paraId="76D96D63" w14:textId="073D69E6" w:rsidR="000B3AF7" w:rsidRPr="002F0FF1"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The Bradford method was used to measure NME6-His protein concentration after recombinant protein purification (</w:t>
      </w:r>
      <w:r w:rsidR="00D465F5">
        <w:rPr>
          <w:rFonts w:ascii="Times New Roman" w:hAnsi="Times New Roman" w:cs="Times New Roman"/>
          <w:sz w:val="24"/>
          <w:szCs w:val="24"/>
        </w:rPr>
        <w:t xml:space="preserve">section </w:t>
      </w:r>
      <w:r w:rsidR="00615863" w:rsidRPr="002E26D2">
        <w:rPr>
          <w:rFonts w:ascii="Times New Roman" w:hAnsi="Times New Roman" w:cs="Times New Roman"/>
          <w:sz w:val="24"/>
          <w:szCs w:val="24"/>
        </w:rPr>
        <w:fldChar w:fldCharType="begin"/>
      </w:r>
      <w:r w:rsidR="00615863" w:rsidRPr="002E26D2">
        <w:rPr>
          <w:rFonts w:ascii="Times New Roman" w:hAnsi="Times New Roman" w:cs="Times New Roman"/>
          <w:sz w:val="24"/>
          <w:szCs w:val="24"/>
        </w:rPr>
        <w:instrText xml:space="preserve"> REF _Ref105768056 \r \h </w:instrText>
      </w:r>
      <w:r w:rsidR="002E26D2" w:rsidRPr="002E26D2">
        <w:rPr>
          <w:rFonts w:ascii="Times New Roman" w:hAnsi="Times New Roman" w:cs="Times New Roman"/>
          <w:sz w:val="24"/>
          <w:szCs w:val="24"/>
        </w:rPr>
        <w:instrText xml:space="preserve"> \* MERGEFORMAT </w:instrText>
      </w:r>
      <w:r w:rsidR="00615863" w:rsidRPr="002E26D2">
        <w:rPr>
          <w:rFonts w:ascii="Times New Roman" w:hAnsi="Times New Roman" w:cs="Times New Roman"/>
          <w:sz w:val="24"/>
          <w:szCs w:val="24"/>
        </w:rPr>
      </w:r>
      <w:r w:rsidR="00615863"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3.2.1.3.3</w:t>
      </w:r>
      <w:r w:rsidR="00615863"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BCA method could not be used then, due to incompatibility of the kit’s chemicals with the </w:t>
      </w:r>
      <w:r w:rsidRPr="002F0FF1">
        <w:rPr>
          <w:rFonts w:ascii="Times New Roman" w:hAnsi="Times New Roman" w:cs="Times New Roman"/>
          <w:sz w:val="24"/>
          <w:szCs w:val="24"/>
        </w:rPr>
        <w:t>storage buffer.</w:t>
      </w:r>
    </w:p>
    <w:p w14:paraId="0E4675EA" w14:textId="4DF32C65" w:rsidR="000B3AF7" w:rsidRPr="002E26D2"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 xml:space="preserve">In a 96 well plate, </w:t>
      </w:r>
      <w:r w:rsidR="00EB39D8" w:rsidRPr="002F0FF1">
        <w:rPr>
          <w:rFonts w:ascii="Times New Roman" w:hAnsi="Times New Roman" w:cs="Times New Roman"/>
          <w:sz w:val="24"/>
          <w:szCs w:val="24"/>
        </w:rPr>
        <w:t xml:space="preserve">the </w:t>
      </w:r>
      <w:r w:rsidRPr="002F0FF1">
        <w:rPr>
          <w:rFonts w:ascii="Times New Roman" w:hAnsi="Times New Roman" w:cs="Times New Roman"/>
          <w:sz w:val="24"/>
          <w:szCs w:val="24"/>
        </w:rPr>
        <w:t>blank and standard</w:t>
      </w:r>
      <w:r w:rsidR="00EB39D8" w:rsidRPr="002F0FF1">
        <w:rPr>
          <w:rFonts w:ascii="Times New Roman" w:hAnsi="Times New Roman" w:cs="Times New Roman"/>
          <w:sz w:val="24"/>
          <w:szCs w:val="24"/>
        </w:rPr>
        <w:t>s</w:t>
      </w:r>
      <w:r w:rsidRPr="002F0FF1">
        <w:rPr>
          <w:rFonts w:ascii="Times New Roman" w:hAnsi="Times New Roman" w:cs="Times New Roman"/>
          <w:sz w:val="24"/>
          <w:szCs w:val="24"/>
        </w:rPr>
        <w:t xml:space="preserve"> were loaded as follows: 20 µL of blank (storage buffer) and 20 µL of BSA standards of 125, 250, 375, 500, 750, 1000 and 1500 µg/mL. Samples were loaded in triplicates as follows: 18 µL of storage buffer + 2 µL </w:t>
      </w:r>
      <w:r w:rsidR="00EB39D8" w:rsidRPr="002F0FF1">
        <w:rPr>
          <w:rFonts w:ascii="Times New Roman" w:hAnsi="Times New Roman" w:cs="Times New Roman"/>
          <w:sz w:val="24"/>
          <w:szCs w:val="24"/>
        </w:rPr>
        <w:t xml:space="preserve">the </w:t>
      </w:r>
      <w:r w:rsidRPr="002F0FF1">
        <w:rPr>
          <w:rFonts w:ascii="Times New Roman" w:hAnsi="Times New Roman" w:cs="Times New Roman"/>
          <w:sz w:val="24"/>
          <w:szCs w:val="24"/>
        </w:rPr>
        <w:t>purified protein sample. Two hundred microliters of 1× Bradford was added to each well. The plate was mixed by gentle shaking for 1 min and the absorbance was measured at 595 nm using the multiskan spectrophotometer</w:t>
      </w:r>
      <w:r w:rsidRPr="002E26D2">
        <w:rPr>
          <w:rFonts w:ascii="Times New Roman" w:hAnsi="Times New Roman" w:cs="Times New Roman"/>
          <w:sz w:val="24"/>
          <w:szCs w:val="24"/>
        </w:rPr>
        <w:t xml:space="preserve">. The standards’ absorbance was used to create a standard curve and </w:t>
      </w:r>
      <w:r w:rsidRPr="002E26D2">
        <w:rPr>
          <w:rFonts w:ascii="Times New Roman" w:hAnsi="Times New Roman" w:cs="Times New Roman"/>
          <w:sz w:val="24"/>
          <w:szCs w:val="24"/>
        </w:rPr>
        <w:lastRenderedPageBreak/>
        <w:t xml:space="preserve">calculate the concentration of the protein sample, paying attention to the 10× dilution factor between the standard and the samples. </w:t>
      </w:r>
    </w:p>
    <w:p w14:paraId="180DAEAB" w14:textId="00B0250B" w:rsidR="000B3AF7" w:rsidRPr="002E26D2" w:rsidRDefault="000D68C1" w:rsidP="002E2D58">
      <w:pPr>
        <w:pStyle w:val="Heading4"/>
      </w:pPr>
      <w:bookmarkStart w:id="133" w:name="_Ref105767593"/>
      <w:bookmarkStart w:id="134" w:name="_Toc117153858"/>
      <w:r w:rsidRPr="002E26D2">
        <w:t>Standard immunoblotting</w:t>
      </w:r>
      <w:bookmarkEnd w:id="133"/>
      <w:bookmarkEnd w:id="134"/>
    </w:p>
    <w:p w14:paraId="5FF29B94" w14:textId="65A7D6E3" w:rsidR="000B3AF7" w:rsidRPr="002E26D2" w:rsidRDefault="000D68C1" w:rsidP="00B23BAE">
      <w:pPr>
        <w:pStyle w:val="Heading5"/>
      </w:pPr>
      <w:bookmarkStart w:id="135" w:name="_Ref105768114"/>
      <w:r w:rsidRPr="002E26D2">
        <w:t xml:space="preserve">Preparation of standard </w:t>
      </w:r>
      <w:r w:rsidR="0026728C">
        <w:t xml:space="preserve">gel for SDS-PAGE </w:t>
      </w:r>
      <w:bookmarkEnd w:id="135"/>
    </w:p>
    <w:p w14:paraId="79476536" w14:textId="438C66A0"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gel for electrophoresis was prepared fresh at the desired acrylamide/bis-acrylamide percentage as described in </w:t>
      </w:r>
      <w:r w:rsidR="008D4E4E" w:rsidRPr="002E26D2">
        <w:rPr>
          <w:rFonts w:ascii="Times New Roman" w:hAnsi="Times New Roman" w:cs="Times New Roman"/>
          <w:sz w:val="24"/>
          <w:szCs w:val="24"/>
        </w:rPr>
        <w:fldChar w:fldCharType="begin"/>
      </w:r>
      <w:r w:rsidR="008D4E4E" w:rsidRPr="002E26D2">
        <w:rPr>
          <w:rFonts w:ascii="Times New Roman" w:hAnsi="Times New Roman" w:cs="Times New Roman"/>
          <w:sz w:val="24"/>
          <w:szCs w:val="24"/>
        </w:rPr>
        <w:instrText xml:space="preserve"> REF _Ref106008882 \h </w:instrText>
      </w:r>
      <w:r w:rsidR="002E26D2" w:rsidRPr="002E26D2">
        <w:rPr>
          <w:rFonts w:ascii="Times New Roman" w:hAnsi="Times New Roman" w:cs="Times New Roman"/>
          <w:sz w:val="24"/>
          <w:szCs w:val="24"/>
        </w:rPr>
        <w:instrText xml:space="preserve"> \* MERGEFORMAT </w:instrText>
      </w:r>
      <w:r w:rsidR="008D4E4E" w:rsidRPr="002E26D2">
        <w:rPr>
          <w:rFonts w:ascii="Times New Roman" w:hAnsi="Times New Roman" w:cs="Times New Roman"/>
          <w:sz w:val="24"/>
          <w:szCs w:val="24"/>
        </w:rPr>
      </w:r>
      <w:r w:rsidR="008D4E4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23</w:t>
      </w:r>
      <w:r w:rsidR="008D4E4E"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First, the running gel solution was prepared, poured in the </w:t>
      </w:r>
      <w:r w:rsidRPr="002F0FF1">
        <w:rPr>
          <w:rFonts w:ascii="Times New Roman" w:hAnsi="Times New Roman" w:cs="Times New Roman"/>
          <w:sz w:val="24"/>
          <w:szCs w:val="24"/>
        </w:rPr>
        <w:t xml:space="preserve">casting stand system, and covered with 2 mL of isopropanol. After polymerization, the isopropanol was removed, the stacking gel solution was prepared and poured on top of the running layer, followed by the insertion of combs. After polymerization, the gel was immediately used for electrophoresis. </w:t>
      </w:r>
    </w:p>
    <w:p w14:paraId="5F7130E2" w14:textId="58A50C4B" w:rsidR="00C40E13" w:rsidRPr="002E26D2" w:rsidRDefault="00C40E13" w:rsidP="004927BB">
      <w:pPr>
        <w:pStyle w:val="Caption"/>
        <w:keepNext/>
        <w:spacing w:line="360" w:lineRule="auto"/>
        <w:rPr>
          <w:rFonts w:ascii="Times New Roman" w:hAnsi="Times New Roman" w:cs="Times New Roman"/>
          <w:sz w:val="24"/>
          <w:szCs w:val="24"/>
        </w:rPr>
      </w:pPr>
      <w:bookmarkStart w:id="136" w:name="_Ref106008882"/>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23</w:t>
      </w:r>
      <w:r w:rsidRPr="002E26D2">
        <w:rPr>
          <w:rFonts w:ascii="Times New Roman" w:hAnsi="Times New Roman" w:cs="Times New Roman"/>
          <w:sz w:val="24"/>
          <w:szCs w:val="24"/>
        </w:rPr>
        <w:fldChar w:fldCharType="end"/>
      </w:r>
      <w:bookmarkEnd w:id="136"/>
      <w:r w:rsidRPr="002E26D2">
        <w:rPr>
          <w:rFonts w:ascii="Times New Roman" w:hAnsi="Times New Roman" w:cs="Times New Roman"/>
          <w:sz w:val="24"/>
          <w:szCs w:val="24"/>
        </w:rPr>
        <w:t xml:space="preserve"> : Poly-acrylamide gel </w:t>
      </w:r>
      <w:r w:rsidR="00E927E3">
        <w:rPr>
          <w:rFonts w:ascii="Times New Roman" w:hAnsi="Times New Roman" w:cs="Times New Roman"/>
          <w:sz w:val="24"/>
          <w:szCs w:val="24"/>
        </w:rPr>
        <w:t>composition</w:t>
      </w:r>
      <w:r w:rsidR="00E927E3" w:rsidRPr="002E26D2">
        <w:rPr>
          <w:rFonts w:ascii="Times New Roman" w:hAnsi="Times New Roman" w:cs="Times New Roman"/>
          <w:sz w:val="24"/>
          <w:szCs w:val="24"/>
        </w:rPr>
        <w:t xml:space="preserve"> </w:t>
      </w:r>
      <w:r w:rsidRPr="002E26D2">
        <w:rPr>
          <w:rFonts w:ascii="Times New Roman" w:hAnsi="Times New Roman" w:cs="Times New Roman"/>
          <w:sz w:val="24"/>
          <w:szCs w:val="24"/>
        </w:rPr>
        <w:t>for SDS-PAGE</w:t>
      </w:r>
    </w:p>
    <w:tbl>
      <w:tblPr>
        <w:tblStyle w:val="TableGrid"/>
        <w:tblW w:w="8440" w:type="dxa"/>
        <w:jc w:val="center"/>
        <w:tblLook w:val="04A0" w:firstRow="1" w:lastRow="0" w:firstColumn="1" w:lastColumn="0" w:noHBand="0" w:noVBand="1"/>
      </w:tblPr>
      <w:tblGrid>
        <w:gridCol w:w="2263"/>
        <w:gridCol w:w="817"/>
        <w:gridCol w:w="1020"/>
        <w:gridCol w:w="431"/>
        <w:gridCol w:w="2127"/>
        <w:gridCol w:w="1782"/>
      </w:tblGrid>
      <w:tr w:rsidR="000B3AF7" w:rsidRPr="002E26D2" w14:paraId="2C42A26B" w14:textId="77777777" w:rsidTr="00A316EE">
        <w:trPr>
          <w:trHeight w:val="300"/>
          <w:jc w:val="center"/>
        </w:trPr>
        <w:tc>
          <w:tcPr>
            <w:tcW w:w="2263" w:type="dxa"/>
            <w:vMerge w:val="restart"/>
            <w:tcBorders>
              <w:top w:val="nil"/>
              <w:left w:val="nil"/>
            </w:tcBorders>
            <w:noWrap/>
            <w:hideMark/>
          </w:tcPr>
          <w:p w14:paraId="191FFC0A" w14:textId="77777777" w:rsidR="000B3AF7" w:rsidRPr="002E26D2" w:rsidRDefault="000B3AF7" w:rsidP="004927BB">
            <w:pPr>
              <w:spacing w:line="360" w:lineRule="auto"/>
              <w:jc w:val="both"/>
              <w:rPr>
                <w:rFonts w:ascii="Times New Roman" w:hAnsi="Times New Roman" w:cs="Times New Roman"/>
                <w:sz w:val="24"/>
                <w:szCs w:val="24"/>
              </w:rPr>
            </w:pPr>
          </w:p>
        </w:tc>
        <w:tc>
          <w:tcPr>
            <w:tcW w:w="1837" w:type="dxa"/>
            <w:gridSpan w:val="2"/>
            <w:noWrap/>
            <w:hideMark/>
          </w:tcPr>
          <w:p w14:paraId="7B14D715" w14:textId="77777777" w:rsidR="000B3AF7" w:rsidRPr="00983BB2" w:rsidRDefault="000B3AF7" w:rsidP="004927BB">
            <w:pPr>
              <w:spacing w:line="360" w:lineRule="auto"/>
              <w:jc w:val="both"/>
              <w:rPr>
                <w:rFonts w:ascii="Times New Roman" w:hAnsi="Times New Roman" w:cs="Times New Roman"/>
                <w:b/>
                <w:sz w:val="24"/>
                <w:szCs w:val="24"/>
              </w:rPr>
            </w:pPr>
            <w:r w:rsidRPr="00983BB2">
              <w:rPr>
                <w:rFonts w:ascii="Times New Roman" w:hAnsi="Times New Roman" w:cs="Times New Roman"/>
                <w:b/>
                <w:sz w:val="24"/>
                <w:szCs w:val="24"/>
              </w:rPr>
              <w:t>Running gel</w:t>
            </w:r>
          </w:p>
        </w:tc>
        <w:tc>
          <w:tcPr>
            <w:tcW w:w="431" w:type="dxa"/>
            <w:tcBorders>
              <w:top w:val="nil"/>
              <w:bottom w:val="nil"/>
              <w:right w:val="nil"/>
            </w:tcBorders>
            <w:noWrap/>
            <w:hideMark/>
          </w:tcPr>
          <w:p w14:paraId="698C3D75" w14:textId="77777777" w:rsidR="000B3AF7" w:rsidRPr="002E26D2" w:rsidRDefault="000B3AF7" w:rsidP="004927BB">
            <w:pPr>
              <w:spacing w:line="360" w:lineRule="auto"/>
              <w:jc w:val="both"/>
              <w:rPr>
                <w:rFonts w:ascii="Times New Roman" w:hAnsi="Times New Roman" w:cs="Times New Roman"/>
                <w:sz w:val="24"/>
                <w:szCs w:val="24"/>
              </w:rPr>
            </w:pPr>
          </w:p>
        </w:tc>
        <w:tc>
          <w:tcPr>
            <w:tcW w:w="2127" w:type="dxa"/>
            <w:vMerge w:val="restart"/>
            <w:tcBorders>
              <w:top w:val="nil"/>
              <w:left w:val="nil"/>
            </w:tcBorders>
            <w:noWrap/>
            <w:hideMark/>
          </w:tcPr>
          <w:p w14:paraId="441EA305" w14:textId="77777777" w:rsidR="000B3AF7" w:rsidRPr="002E26D2" w:rsidRDefault="000B3AF7" w:rsidP="004927BB">
            <w:pPr>
              <w:spacing w:line="360" w:lineRule="auto"/>
              <w:jc w:val="both"/>
              <w:rPr>
                <w:rFonts w:ascii="Times New Roman" w:hAnsi="Times New Roman" w:cs="Times New Roman"/>
                <w:sz w:val="24"/>
                <w:szCs w:val="24"/>
              </w:rPr>
            </w:pPr>
          </w:p>
        </w:tc>
        <w:tc>
          <w:tcPr>
            <w:tcW w:w="1782" w:type="dxa"/>
            <w:noWrap/>
            <w:hideMark/>
          </w:tcPr>
          <w:p w14:paraId="6660D7C6" w14:textId="77777777" w:rsidR="000B3AF7" w:rsidRPr="00983BB2" w:rsidRDefault="000B3AF7" w:rsidP="004927BB">
            <w:pPr>
              <w:spacing w:line="360" w:lineRule="auto"/>
              <w:jc w:val="both"/>
              <w:rPr>
                <w:rFonts w:ascii="Times New Roman" w:hAnsi="Times New Roman" w:cs="Times New Roman"/>
                <w:b/>
                <w:sz w:val="24"/>
                <w:szCs w:val="24"/>
              </w:rPr>
            </w:pPr>
            <w:r w:rsidRPr="00983BB2">
              <w:rPr>
                <w:rFonts w:ascii="Times New Roman" w:hAnsi="Times New Roman" w:cs="Times New Roman"/>
                <w:b/>
                <w:sz w:val="24"/>
                <w:szCs w:val="24"/>
              </w:rPr>
              <w:t>Stacking gel</w:t>
            </w:r>
          </w:p>
        </w:tc>
      </w:tr>
      <w:tr w:rsidR="000B3AF7" w:rsidRPr="002E26D2" w14:paraId="6DDD04DF" w14:textId="77777777" w:rsidTr="00A316EE">
        <w:trPr>
          <w:trHeight w:val="300"/>
          <w:jc w:val="center"/>
        </w:trPr>
        <w:tc>
          <w:tcPr>
            <w:tcW w:w="2263" w:type="dxa"/>
            <w:vMerge/>
            <w:tcBorders>
              <w:left w:val="nil"/>
            </w:tcBorders>
            <w:hideMark/>
          </w:tcPr>
          <w:p w14:paraId="135DB465" w14:textId="77777777" w:rsidR="000B3AF7" w:rsidRPr="002E26D2" w:rsidRDefault="000B3AF7" w:rsidP="004927BB">
            <w:pPr>
              <w:spacing w:line="360" w:lineRule="auto"/>
              <w:jc w:val="both"/>
              <w:rPr>
                <w:rFonts w:ascii="Times New Roman" w:hAnsi="Times New Roman" w:cs="Times New Roman"/>
                <w:sz w:val="24"/>
                <w:szCs w:val="24"/>
              </w:rPr>
            </w:pPr>
          </w:p>
        </w:tc>
        <w:tc>
          <w:tcPr>
            <w:tcW w:w="817" w:type="dxa"/>
            <w:noWrap/>
            <w:hideMark/>
          </w:tcPr>
          <w:p w14:paraId="0CDE5226"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10 %</w:t>
            </w:r>
          </w:p>
        </w:tc>
        <w:tc>
          <w:tcPr>
            <w:tcW w:w="1020" w:type="dxa"/>
            <w:noWrap/>
            <w:hideMark/>
          </w:tcPr>
          <w:p w14:paraId="48022BE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12 %</w:t>
            </w:r>
          </w:p>
        </w:tc>
        <w:tc>
          <w:tcPr>
            <w:tcW w:w="431" w:type="dxa"/>
            <w:tcBorders>
              <w:top w:val="nil"/>
              <w:bottom w:val="nil"/>
              <w:right w:val="nil"/>
            </w:tcBorders>
            <w:noWrap/>
            <w:hideMark/>
          </w:tcPr>
          <w:p w14:paraId="165B54A7" w14:textId="77777777" w:rsidR="000B3AF7" w:rsidRPr="002E26D2" w:rsidRDefault="000B3AF7" w:rsidP="004927BB">
            <w:pPr>
              <w:spacing w:line="360" w:lineRule="auto"/>
              <w:jc w:val="both"/>
              <w:rPr>
                <w:rFonts w:ascii="Times New Roman" w:hAnsi="Times New Roman" w:cs="Times New Roman"/>
                <w:sz w:val="24"/>
                <w:szCs w:val="24"/>
              </w:rPr>
            </w:pPr>
          </w:p>
        </w:tc>
        <w:tc>
          <w:tcPr>
            <w:tcW w:w="2127" w:type="dxa"/>
            <w:vMerge/>
            <w:tcBorders>
              <w:left w:val="nil"/>
            </w:tcBorders>
            <w:hideMark/>
          </w:tcPr>
          <w:p w14:paraId="48CB3753" w14:textId="77777777" w:rsidR="000B3AF7" w:rsidRPr="002E26D2" w:rsidRDefault="000B3AF7" w:rsidP="004927BB">
            <w:pPr>
              <w:spacing w:line="360" w:lineRule="auto"/>
              <w:jc w:val="both"/>
              <w:rPr>
                <w:rFonts w:ascii="Times New Roman" w:hAnsi="Times New Roman" w:cs="Times New Roman"/>
                <w:sz w:val="24"/>
                <w:szCs w:val="24"/>
              </w:rPr>
            </w:pPr>
          </w:p>
        </w:tc>
        <w:tc>
          <w:tcPr>
            <w:tcW w:w="1782" w:type="dxa"/>
            <w:noWrap/>
            <w:hideMark/>
          </w:tcPr>
          <w:p w14:paraId="37164EE2"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5 %</w:t>
            </w:r>
          </w:p>
        </w:tc>
      </w:tr>
      <w:tr w:rsidR="000B3AF7" w:rsidRPr="002E26D2" w14:paraId="73DD3862" w14:textId="77777777" w:rsidTr="00A316EE">
        <w:trPr>
          <w:trHeight w:val="300"/>
          <w:jc w:val="center"/>
        </w:trPr>
        <w:tc>
          <w:tcPr>
            <w:tcW w:w="2263" w:type="dxa"/>
            <w:noWrap/>
            <w:hideMark/>
          </w:tcPr>
          <w:p w14:paraId="5310D7DF" w14:textId="77777777" w:rsidR="000B3AF7" w:rsidRPr="00983BB2" w:rsidRDefault="000B3AF7" w:rsidP="004927BB">
            <w:pPr>
              <w:spacing w:line="360" w:lineRule="auto"/>
              <w:jc w:val="both"/>
              <w:rPr>
                <w:rFonts w:ascii="Times New Roman" w:hAnsi="Times New Roman" w:cs="Times New Roman"/>
                <w:b/>
                <w:sz w:val="24"/>
                <w:szCs w:val="24"/>
              </w:rPr>
            </w:pPr>
            <w:r w:rsidRPr="00983BB2">
              <w:rPr>
                <w:rFonts w:ascii="Times New Roman" w:hAnsi="Times New Roman" w:cs="Times New Roman"/>
                <w:b/>
                <w:sz w:val="24"/>
                <w:szCs w:val="24"/>
              </w:rPr>
              <w:t>dH</w:t>
            </w:r>
            <w:r w:rsidRPr="00983BB2">
              <w:rPr>
                <w:rFonts w:ascii="Times New Roman" w:hAnsi="Times New Roman" w:cs="Times New Roman"/>
                <w:b/>
                <w:sz w:val="24"/>
                <w:szCs w:val="24"/>
                <w:vertAlign w:val="subscript"/>
              </w:rPr>
              <w:t>2</w:t>
            </w:r>
            <w:r w:rsidRPr="00983BB2">
              <w:rPr>
                <w:rFonts w:ascii="Times New Roman" w:hAnsi="Times New Roman" w:cs="Times New Roman"/>
                <w:b/>
                <w:sz w:val="24"/>
                <w:szCs w:val="24"/>
              </w:rPr>
              <w:t>O (mL)</w:t>
            </w:r>
          </w:p>
        </w:tc>
        <w:tc>
          <w:tcPr>
            <w:tcW w:w="817" w:type="dxa"/>
            <w:noWrap/>
            <w:hideMark/>
          </w:tcPr>
          <w:p w14:paraId="48365F6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4.000</w:t>
            </w:r>
          </w:p>
        </w:tc>
        <w:tc>
          <w:tcPr>
            <w:tcW w:w="1020" w:type="dxa"/>
            <w:noWrap/>
            <w:hideMark/>
          </w:tcPr>
          <w:p w14:paraId="68F6C0A4"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3.300</w:t>
            </w:r>
          </w:p>
        </w:tc>
        <w:tc>
          <w:tcPr>
            <w:tcW w:w="431" w:type="dxa"/>
            <w:tcBorders>
              <w:top w:val="nil"/>
              <w:bottom w:val="nil"/>
            </w:tcBorders>
            <w:noWrap/>
            <w:hideMark/>
          </w:tcPr>
          <w:p w14:paraId="5D4945B1" w14:textId="77777777" w:rsidR="000B3AF7" w:rsidRPr="002E26D2" w:rsidRDefault="000B3AF7" w:rsidP="004927BB">
            <w:pPr>
              <w:spacing w:line="360" w:lineRule="auto"/>
              <w:jc w:val="both"/>
              <w:rPr>
                <w:rFonts w:ascii="Times New Roman" w:hAnsi="Times New Roman" w:cs="Times New Roman"/>
                <w:sz w:val="24"/>
                <w:szCs w:val="24"/>
              </w:rPr>
            </w:pPr>
          </w:p>
        </w:tc>
        <w:tc>
          <w:tcPr>
            <w:tcW w:w="2127" w:type="dxa"/>
            <w:noWrap/>
            <w:hideMark/>
          </w:tcPr>
          <w:p w14:paraId="5F0389A4"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dH</w:t>
            </w:r>
            <w:r w:rsidRPr="002E26D2">
              <w:rPr>
                <w:rFonts w:ascii="Times New Roman" w:hAnsi="Times New Roman" w:cs="Times New Roman"/>
                <w:b/>
                <w:sz w:val="24"/>
                <w:szCs w:val="24"/>
                <w:vertAlign w:val="subscript"/>
              </w:rPr>
              <w:t>2</w:t>
            </w:r>
            <w:r w:rsidRPr="002E26D2">
              <w:rPr>
                <w:rFonts w:ascii="Times New Roman" w:hAnsi="Times New Roman" w:cs="Times New Roman"/>
                <w:b/>
                <w:sz w:val="24"/>
                <w:szCs w:val="24"/>
              </w:rPr>
              <w:t>O (mL)</w:t>
            </w:r>
          </w:p>
        </w:tc>
        <w:tc>
          <w:tcPr>
            <w:tcW w:w="1782" w:type="dxa"/>
            <w:noWrap/>
            <w:hideMark/>
          </w:tcPr>
          <w:p w14:paraId="25C43976"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2.700</w:t>
            </w:r>
          </w:p>
        </w:tc>
      </w:tr>
      <w:tr w:rsidR="000B3AF7" w:rsidRPr="002E26D2" w14:paraId="6FAE65B1" w14:textId="77777777" w:rsidTr="00A316EE">
        <w:trPr>
          <w:trHeight w:val="300"/>
          <w:jc w:val="center"/>
        </w:trPr>
        <w:tc>
          <w:tcPr>
            <w:tcW w:w="2263" w:type="dxa"/>
            <w:noWrap/>
            <w:hideMark/>
          </w:tcPr>
          <w:p w14:paraId="08C9039D" w14:textId="77777777" w:rsidR="000B3AF7" w:rsidRPr="00983BB2" w:rsidRDefault="000B3AF7" w:rsidP="004927BB">
            <w:pPr>
              <w:spacing w:line="360" w:lineRule="auto"/>
              <w:jc w:val="both"/>
              <w:rPr>
                <w:rFonts w:ascii="Times New Roman" w:hAnsi="Times New Roman" w:cs="Times New Roman"/>
                <w:b/>
                <w:sz w:val="24"/>
                <w:szCs w:val="24"/>
              </w:rPr>
            </w:pPr>
            <w:r w:rsidRPr="00983BB2">
              <w:rPr>
                <w:rFonts w:ascii="Times New Roman" w:hAnsi="Times New Roman" w:cs="Times New Roman"/>
                <w:b/>
                <w:sz w:val="24"/>
                <w:szCs w:val="24"/>
              </w:rPr>
              <w:t>30 % AAS (mL)</w:t>
            </w:r>
          </w:p>
        </w:tc>
        <w:tc>
          <w:tcPr>
            <w:tcW w:w="817" w:type="dxa"/>
            <w:noWrap/>
            <w:hideMark/>
          </w:tcPr>
          <w:p w14:paraId="229C42D4"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3.300</w:t>
            </w:r>
          </w:p>
        </w:tc>
        <w:tc>
          <w:tcPr>
            <w:tcW w:w="1020" w:type="dxa"/>
            <w:noWrap/>
            <w:hideMark/>
          </w:tcPr>
          <w:p w14:paraId="5FBC799C"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4.000</w:t>
            </w:r>
          </w:p>
        </w:tc>
        <w:tc>
          <w:tcPr>
            <w:tcW w:w="431" w:type="dxa"/>
            <w:tcBorders>
              <w:top w:val="nil"/>
              <w:bottom w:val="nil"/>
            </w:tcBorders>
            <w:noWrap/>
            <w:hideMark/>
          </w:tcPr>
          <w:p w14:paraId="5C923128" w14:textId="77777777" w:rsidR="000B3AF7" w:rsidRPr="002E26D2" w:rsidRDefault="000B3AF7" w:rsidP="004927BB">
            <w:pPr>
              <w:spacing w:line="360" w:lineRule="auto"/>
              <w:jc w:val="both"/>
              <w:rPr>
                <w:rFonts w:ascii="Times New Roman" w:hAnsi="Times New Roman" w:cs="Times New Roman"/>
                <w:sz w:val="24"/>
                <w:szCs w:val="24"/>
              </w:rPr>
            </w:pPr>
          </w:p>
        </w:tc>
        <w:tc>
          <w:tcPr>
            <w:tcW w:w="2127" w:type="dxa"/>
            <w:noWrap/>
            <w:hideMark/>
          </w:tcPr>
          <w:p w14:paraId="6F74C36A"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30 % AAS (mL)</w:t>
            </w:r>
          </w:p>
        </w:tc>
        <w:tc>
          <w:tcPr>
            <w:tcW w:w="1782" w:type="dxa"/>
            <w:noWrap/>
            <w:hideMark/>
          </w:tcPr>
          <w:p w14:paraId="6D79AB52"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0.670</w:t>
            </w:r>
          </w:p>
        </w:tc>
      </w:tr>
      <w:tr w:rsidR="000B3AF7" w:rsidRPr="002E26D2" w14:paraId="5F6E76AF" w14:textId="77777777" w:rsidTr="00A316EE">
        <w:trPr>
          <w:trHeight w:val="353"/>
          <w:jc w:val="center"/>
        </w:trPr>
        <w:tc>
          <w:tcPr>
            <w:tcW w:w="2263" w:type="dxa"/>
            <w:noWrap/>
            <w:hideMark/>
          </w:tcPr>
          <w:p w14:paraId="10802FB7" w14:textId="77777777" w:rsidR="000B3AF7" w:rsidRPr="00983BB2" w:rsidRDefault="000B3AF7" w:rsidP="004927BB">
            <w:pPr>
              <w:spacing w:line="360" w:lineRule="auto"/>
              <w:jc w:val="both"/>
              <w:rPr>
                <w:rFonts w:ascii="Times New Roman" w:hAnsi="Times New Roman" w:cs="Times New Roman"/>
                <w:b/>
                <w:sz w:val="24"/>
                <w:szCs w:val="24"/>
              </w:rPr>
            </w:pPr>
            <w:r w:rsidRPr="00983BB2">
              <w:rPr>
                <w:rFonts w:ascii="Times New Roman" w:hAnsi="Times New Roman" w:cs="Times New Roman"/>
                <w:b/>
                <w:sz w:val="24"/>
                <w:szCs w:val="24"/>
              </w:rPr>
              <w:t>Tris 1.5 M, pH 8.8 (mL)</w:t>
            </w:r>
          </w:p>
        </w:tc>
        <w:tc>
          <w:tcPr>
            <w:tcW w:w="817" w:type="dxa"/>
            <w:noWrap/>
            <w:hideMark/>
          </w:tcPr>
          <w:p w14:paraId="20B32F10"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2.500</w:t>
            </w:r>
          </w:p>
        </w:tc>
        <w:tc>
          <w:tcPr>
            <w:tcW w:w="1020" w:type="dxa"/>
            <w:noWrap/>
            <w:hideMark/>
          </w:tcPr>
          <w:p w14:paraId="1521396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2.500</w:t>
            </w:r>
          </w:p>
        </w:tc>
        <w:tc>
          <w:tcPr>
            <w:tcW w:w="431" w:type="dxa"/>
            <w:tcBorders>
              <w:top w:val="nil"/>
              <w:bottom w:val="nil"/>
            </w:tcBorders>
            <w:noWrap/>
            <w:hideMark/>
          </w:tcPr>
          <w:p w14:paraId="36A3EDEC" w14:textId="77777777" w:rsidR="000B3AF7" w:rsidRPr="002E26D2" w:rsidRDefault="000B3AF7" w:rsidP="004927BB">
            <w:pPr>
              <w:spacing w:line="360" w:lineRule="auto"/>
              <w:jc w:val="both"/>
              <w:rPr>
                <w:rFonts w:ascii="Times New Roman" w:hAnsi="Times New Roman" w:cs="Times New Roman"/>
                <w:sz w:val="24"/>
                <w:szCs w:val="24"/>
              </w:rPr>
            </w:pPr>
          </w:p>
        </w:tc>
        <w:tc>
          <w:tcPr>
            <w:tcW w:w="2127" w:type="dxa"/>
            <w:noWrap/>
            <w:hideMark/>
          </w:tcPr>
          <w:p w14:paraId="49EB57D7"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Tris 1 M, pH 6.8 (mL)</w:t>
            </w:r>
          </w:p>
        </w:tc>
        <w:tc>
          <w:tcPr>
            <w:tcW w:w="1782" w:type="dxa"/>
            <w:noWrap/>
            <w:hideMark/>
          </w:tcPr>
          <w:p w14:paraId="6495BC8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0.500</w:t>
            </w:r>
          </w:p>
        </w:tc>
      </w:tr>
      <w:tr w:rsidR="000B3AF7" w:rsidRPr="002E26D2" w14:paraId="33B56E92" w14:textId="77777777" w:rsidTr="00A316EE">
        <w:trPr>
          <w:trHeight w:val="300"/>
          <w:jc w:val="center"/>
        </w:trPr>
        <w:tc>
          <w:tcPr>
            <w:tcW w:w="2263" w:type="dxa"/>
            <w:noWrap/>
            <w:hideMark/>
          </w:tcPr>
          <w:p w14:paraId="2BCC0A24" w14:textId="77777777" w:rsidR="000B3AF7" w:rsidRPr="00983BB2" w:rsidRDefault="000B3AF7" w:rsidP="004927BB">
            <w:pPr>
              <w:spacing w:line="360" w:lineRule="auto"/>
              <w:jc w:val="both"/>
              <w:rPr>
                <w:rFonts w:ascii="Times New Roman" w:hAnsi="Times New Roman" w:cs="Times New Roman"/>
                <w:b/>
                <w:sz w:val="24"/>
                <w:szCs w:val="24"/>
              </w:rPr>
            </w:pPr>
            <w:r w:rsidRPr="00983BB2">
              <w:rPr>
                <w:rFonts w:ascii="Times New Roman" w:hAnsi="Times New Roman" w:cs="Times New Roman"/>
                <w:b/>
                <w:sz w:val="24"/>
                <w:szCs w:val="24"/>
              </w:rPr>
              <w:t>10 % SDS (mL)</w:t>
            </w:r>
          </w:p>
        </w:tc>
        <w:tc>
          <w:tcPr>
            <w:tcW w:w="817" w:type="dxa"/>
            <w:noWrap/>
            <w:hideMark/>
          </w:tcPr>
          <w:p w14:paraId="4DADD680"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0.100</w:t>
            </w:r>
          </w:p>
        </w:tc>
        <w:tc>
          <w:tcPr>
            <w:tcW w:w="1020" w:type="dxa"/>
            <w:noWrap/>
            <w:hideMark/>
          </w:tcPr>
          <w:p w14:paraId="210ADB05"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0.100</w:t>
            </w:r>
          </w:p>
        </w:tc>
        <w:tc>
          <w:tcPr>
            <w:tcW w:w="431" w:type="dxa"/>
            <w:tcBorders>
              <w:top w:val="nil"/>
              <w:bottom w:val="nil"/>
            </w:tcBorders>
            <w:noWrap/>
            <w:hideMark/>
          </w:tcPr>
          <w:p w14:paraId="38812596" w14:textId="77777777" w:rsidR="000B3AF7" w:rsidRPr="002E26D2" w:rsidRDefault="000B3AF7" w:rsidP="004927BB">
            <w:pPr>
              <w:spacing w:line="360" w:lineRule="auto"/>
              <w:jc w:val="both"/>
              <w:rPr>
                <w:rFonts w:ascii="Times New Roman" w:hAnsi="Times New Roman" w:cs="Times New Roman"/>
                <w:sz w:val="24"/>
                <w:szCs w:val="24"/>
              </w:rPr>
            </w:pPr>
          </w:p>
        </w:tc>
        <w:tc>
          <w:tcPr>
            <w:tcW w:w="2127" w:type="dxa"/>
            <w:noWrap/>
            <w:hideMark/>
          </w:tcPr>
          <w:p w14:paraId="4D8BAC01"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10 % SDS (mL)</w:t>
            </w:r>
          </w:p>
        </w:tc>
        <w:tc>
          <w:tcPr>
            <w:tcW w:w="1782" w:type="dxa"/>
            <w:noWrap/>
            <w:hideMark/>
          </w:tcPr>
          <w:p w14:paraId="02528B44"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0.040</w:t>
            </w:r>
          </w:p>
        </w:tc>
      </w:tr>
      <w:tr w:rsidR="000B3AF7" w:rsidRPr="002E26D2" w14:paraId="46EA3EB3" w14:textId="77777777" w:rsidTr="00A316EE">
        <w:trPr>
          <w:trHeight w:val="300"/>
          <w:jc w:val="center"/>
        </w:trPr>
        <w:tc>
          <w:tcPr>
            <w:tcW w:w="2263" w:type="dxa"/>
            <w:noWrap/>
            <w:hideMark/>
          </w:tcPr>
          <w:p w14:paraId="525F99BA" w14:textId="77777777" w:rsidR="000B3AF7" w:rsidRPr="00983BB2" w:rsidRDefault="000B3AF7" w:rsidP="004927BB">
            <w:pPr>
              <w:spacing w:line="360" w:lineRule="auto"/>
              <w:jc w:val="both"/>
              <w:rPr>
                <w:rFonts w:ascii="Times New Roman" w:hAnsi="Times New Roman" w:cs="Times New Roman"/>
                <w:b/>
                <w:sz w:val="24"/>
                <w:szCs w:val="24"/>
              </w:rPr>
            </w:pPr>
            <w:r w:rsidRPr="00983BB2">
              <w:rPr>
                <w:rFonts w:ascii="Times New Roman" w:hAnsi="Times New Roman" w:cs="Times New Roman"/>
                <w:b/>
                <w:sz w:val="24"/>
                <w:szCs w:val="24"/>
              </w:rPr>
              <w:t>10 % APS (mL)</w:t>
            </w:r>
          </w:p>
        </w:tc>
        <w:tc>
          <w:tcPr>
            <w:tcW w:w="817" w:type="dxa"/>
            <w:noWrap/>
            <w:hideMark/>
          </w:tcPr>
          <w:p w14:paraId="38995860"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0.100</w:t>
            </w:r>
          </w:p>
        </w:tc>
        <w:tc>
          <w:tcPr>
            <w:tcW w:w="1020" w:type="dxa"/>
            <w:noWrap/>
            <w:hideMark/>
          </w:tcPr>
          <w:p w14:paraId="6DE0329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0.100</w:t>
            </w:r>
          </w:p>
        </w:tc>
        <w:tc>
          <w:tcPr>
            <w:tcW w:w="431" w:type="dxa"/>
            <w:tcBorders>
              <w:top w:val="nil"/>
              <w:bottom w:val="nil"/>
            </w:tcBorders>
            <w:noWrap/>
            <w:hideMark/>
          </w:tcPr>
          <w:p w14:paraId="4D02A5C6" w14:textId="77777777" w:rsidR="000B3AF7" w:rsidRPr="002E26D2" w:rsidRDefault="000B3AF7" w:rsidP="004927BB">
            <w:pPr>
              <w:spacing w:line="360" w:lineRule="auto"/>
              <w:jc w:val="both"/>
              <w:rPr>
                <w:rFonts w:ascii="Times New Roman" w:hAnsi="Times New Roman" w:cs="Times New Roman"/>
                <w:sz w:val="24"/>
                <w:szCs w:val="24"/>
              </w:rPr>
            </w:pPr>
          </w:p>
        </w:tc>
        <w:tc>
          <w:tcPr>
            <w:tcW w:w="2127" w:type="dxa"/>
            <w:noWrap/>
            <w:hideMark/>
          </w:tcPr>
          <w:p w14:paraId="799E76C4"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10 % APS (mL)</w:t>
            </w:r>
          </w:p>
        </w:tc>
        <w:tc>
          <w:tcPr>
            <w:tcW w:w="1782" w:type="dxa"/>
            <w:noWrap/>
            <w:hideMark/>
          </w:tcPr>
          <w:p w14:paraId="4F3F353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0.040</w:t>
            </w:r>
          </w:p>
        </w:tc>
      </w:tr>
      <w:tr w:rsidR="000B3AF7" w:rsidRPr="002E26D2" w14:paraId="4859A4B7" w14:textId="77777777" w:rsidTr="00A316EE">
        <w:trPr>
          <w:trHeight w:val="300"/>
          <w:jc w:val="center"/>
        </w:trPr>
        <w:tc>
          <w:tcPr>
            <w:tcW w:w="2263" w:type="dxa"/>
            <w:noWrap/>
            <w:hideMark/>
          </w:tcPr>
          <w:p w14:paraId="23743531" w14:textId="77777777" w:rsidR="000B3AF7" w:rsidRPr="00983BB2" w:rsidRDefault="000B3AF7" w:rsidP="004927BB">
            <w:pPr>
              <w:spacing w:line="360" w:lineRule="auto"/>
              <w:jc w:val="both"/>
              <w:rPr>
                <w:rFonts w:ascii="Times New Roman" w:hAnsi="Times New Roman" w:cs="Times New Roman"/>
                <w:b/>
                <w:sz w:val="24"/>
                <w:szCs w:val="24"/>
              </w:rPr>
            </w:pPr>
            <w:r w:rsidRPr="00983BB2">
              <w:rPr>
                <w:rFonts w:ascii="Times New Roman" w:hAnsi="Times New Roman" w:cs="Times New Roman"/>
                <w:b/>
                <w:sz w:val="24"/>
                <w:szCs w:val="24"/>
              </w:rPr>
              <w:t>TEMED (mL)</w:t>
            </w:r>
          </w:p>
        </w:tc>
        <w:tc>
          <w:tcPr>
            <w:tcW w:w="817" w:type="dxa"/>
            <w:noWrap/>
            <w:hideMark/>
          </w:tcPr>
          <w:p w14:paraId="3C295C50"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0.004</w:t>
            </w:r>
          </w:p>
        </w:tc>
        <w:tc>
          <w:tcPr>
            <w:tcW w:w="1020" w:type="dxa"/>
            <w:noWrap/>
            <w:hideMark/>
          </w:tcPr>
          <w:p w14:paraId="19C735CB"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0.004</w:t>
            </w:r>
          </w:p>
        </w:tc>
        <w:tc>
          <w:tcPr>
            <w:tcW w:w="431" w:type="dxa"/>
            <w:tcBorders>
              <w:top w:val="nil"/>
              <w:bottom w:val="nil"/>
            </w:tcBorders>
            <w:noWrap/>
            <w:hideMark/>
          </w:tcPr>
          <w:p w14:paraId="0A67603A" w14:textId="77777777" w:rsidR="000B3AF7" w:rsidRPr="002E26D2" w:rsidRDefault="000B3AF7" w:rsidP="004927BB">
            <w:pPr>
              <w:spacing w:line="360" w:lineRule="auto"/>
              <w:jc w:val="both"/>
              <w:rPr>
                <w:rFonts w:ascii="Times New Roman" w:hAnsi="Times New Roman" w:cs="Times New Roman"/>
                <w:sz w:val="24"/>
                <w:szCs w:val="24"/>
              </w:rPr>
            </w:pPr>
          </w:p>
        </w:tc>
        <w:tc>
          <w:tcPr>
            <w:tcW w:w="2127" w:type="dxa"/>
            <w:noWrap/>
            <w:hideMark/>
          </w:tcPr>
          <w:p w14:paraId="3AE33C61" w14:textId="77777777" w:rsidR="000B3AF7" w:rsidRPr="002E26D2" w:rsidRDefault="000B3AF7" w:rsidP="004927BB">
            <w:pPr>
              <w:spacing w:line="360" w:lineRule="auto"/>
              <w:jc w:val="both"/>
              <w:rPr>
                <w:rFonts w:ascii="Times New Roman" w:hAnsi="Times New Roman" w:cs="Times New Roman"/>
                <w:b/>
                <w:sz w:val="24"/>
                <w:szCs w:val="24"/>
              </w:rPr>
            </w:pPr>
            <w:r w:rsidRPr="002E26D2">
              <w:rPr>
                <w:rFonts w:ascii="Times New Roman" w:hAnsi="Times New Roman" w:cs="Times New Roman"/>
                <w:b/>
                <w:sz w:val="24"/>
                <w:szCs w:val="24"/>
              </w:rPr>
              <w:t>TEMED (mL)</w:t>
            </w:r>
          </w:p>
        </w:tc>
        <w:tc>
          <w:tcPr>
            <w:tcW w:w="1782" w:type="dxa"/>
            <w:noWrap/>
            <w:hideMark/>
          </w:tcPr>
          <w:p w14:paraId="3A902EA1"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0.004</w:t>
            </w:r>
          </w:p>
        </w:tc>
      </w:tr>
    </w:tbl>
    <w:p w14:paraId="4977E5C6" w14:textId="77777777" w:rsidR="000B3AF7" w:rsidRPr="002E26D2" w:rsidRDefault="000B3AF7" w:rsidP="004927BB">
      <w:pPr>
        <w:spacing w:line="360" w:lineRule="auto"/>
        <w:jc w:val="both"/>
        <w:rPr>
          <w:rFonts w:ascii="Times New Roman" w:hAnsi="Times New Roman" w:cs="Times New Roman"/>
          <w:sz w:val="24"/>
          <w:szCs w:val="24"/>
        </w:rPr>
      </w:pPr>
    </w:p>
    <w:p w14:paraId="589CA915" w14:textId="6D6E8DE4" w:rsidR="000B3AF7" w:rsidRPr="002E26D2" w:rsidRDefault="00EB39D8" w:rsidP="00B23BAE">
      <w:pPr>
        <w:pStyle w:val="Heading5"/>
      </w:pPr>
      <w:r>
        <w:t>SDS</w:t>
      </w:r>
      <w:r w:rsidR="000D68C1" w:rsidRPr="002E26D2">
        <w:t>-</w:t>
      </w:r>
      <w:r w:rsidR="007506AE">
        <w:t>PAGE</w:t>
      </w:r>
      <w:r w:rsidR="000D68C1" w:rsidRPr="002E26D2">
        <w:t xml:space="preserve"> and </w:t>
      </w:r>
      <w:r w:rsidR="00DD48B4">
        <w:t>W</w:t>
      </w:r>
      <w:r w:rsidR="000D68C1" w:rsidRPr="002E26D2">
        <w:t>estern blot</w:t>
      </w:r>
    </w:p>
    <w:p w14:paraId="0D0F6046" w14:textId="2E73AB6E"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The gel was placed in the mini-protean III apparatus and filled with</w:t>
      </w:r>
      <w:r w:rsidR="0050241D" w:rsidRPr="002F0FF1">
        <w:rPr>
          <w:rFonts w:ascii="Times New Roman" w:hAnsi="Times New Roman" w:cs="Times New Roman"/>
          <w:sz w:val="24"/>
          <w:szCs w:val="24"/>
        </w:rPr>
        <w:t xml:space="preserve"> running buffer</w:t>
      </w:r>
      <w:r w:rsidRPr="002F0FF1">
        <w:rPr>
          <w:rFonts w:ascii="Times New Roman" w:hAnsi="Times New Roman" w:cs="Times New Roman"/>
          <w:sz w:val="24"/>
          <w:szCs w:val="24"/>
        </w:rPr>
        <w:t xml:space="preserve"> </w:t>
      </w:r>
      <w:r w:rsidR="0050241D" w:rsidRPr="002F0FF1">
        <w:rPr>
          <w:rFonts w:ascii="Times New Roman" w:hAnsi="Times New Roman" w:cs="Times New Roman"/>
          <w:sz w:val="24"/>
          <w:szCs w:val="24"/>
        </w:rPr>
        <w:t>(</w:t>
      </w:r>
      <w:r w:rsidRPr="002F0FF1">
        <w:rPr>
          <w:rFonts w:ascii="Times New Roman" w:hAnsi="Times New Roman" w:cs="Times New Roman"/>
          <w:sz w:val="24"/>
          <w:szCs w:val="24"/>
        </w:rPr>
        <w:t>RB</w:t>
      </w:r>
      <w:r w:rsidR="0050241D" w:rsidRPr="002F0FF1">
        <w:rPr>
          <w:rFonts w:ascii="Times New Roman" w:hAnsi="Times New Roman" w:cs="Times New Roman"/>
          <w:sz w:val="24"/>
          <w:szCs w:val="24"/>
        </w:rPr>
        <w:t>)</w:t>
      </w:r>
      <w:r w:rsidRPr="002F0FF1">
        <w:rPr>
          <w:rFonts w:ascii="Times New Roman" w:hAnsi="Times New Roman" w:cs="Times New Roman"/>
          <w:sz w:val="24"/>
          <w:szCs w:val="24"/>
        </w:rPr>
        <w:t>. Samples were prepared at the desired protein concentration in 4×LB to reach 1×LB. Samples were boiled 5 min at</w:t>
      </w:r>
      <w:r w:rsidR="00EF42EB" w:rsidRPr="002F0FF1">
        <w:rPr>
          <w:rFonts w:ascii="Times New Roman" w:hAnsi="Times New Roman" w:cs="Times New Roman"/>
          <w:sz w:val="24"/>
          <w:szCs w:val="24"/>
        </w:rPr>
        <w:t xml:space="preserve"> </w:t>
      </w:r>
      <w:r w:rsidRPr="002F0FF1">
        <w:rPr>
          <w:rFonts w:ascii="Times New Roman" w:hAnsi="Times New Roman" w:cs="Times New Roman"/>
          <w:sz w:val="24"/>
          <w:szCs w:val="24"/>
        </w:rPr>
        <w:t>95 °C and immediately loaded in the gel , together with Precision Plus protein standard. Proteins were separated by SDS-PAGE first at 90 V for 10 min to allow samples to enter the stacking gel, and then at 110 V for two hours, or until the blue front line exits the gel. After electrophoresis, proteins were transferred from the gel to a 0.2 µm nitrocellulose membrane using</w:t>
      </w:r>
      <w:r w:rsidR="0050241D" w:rsidRPr="002F0FF1">
        <w:rPr>
          <w:rFonts w:ascii="Times New Roman" w:hAnsi="Times New Roman" w:cs="Times New Roman"/>
          <w:sz w:val="24"/>
          <w:szCs w:val="24"/>
        </w:rPr>
        <w:t xml:space="preserve"> transfer buffer</w:t>
      </w:r>
      <w:r w:rsidRPr="002F0FF1">
        <w:rPr>
          <w:rFonts w:ascii="Times New Roman" w:hAnsi="Times New Roman" w:cs="Times New Roman"/>
          <w:sz w:val="24"/>
          <w:szCs w:val="24"/>
        </w:rPr>
        <w:t xml:space="preserve"> </w:t>
      </w:r>
      <w:r w:rsidR="0050241D" w:rsidRPr="002F0FF1">
        <w:rPr>
          <w:rFonts w:ascii="Times New Roman" w:hAnsi="Times New Roman" w:cs="Times New Roman"/>
          <w:sz w:val="24"/>
          <w:szCs w:val="24"/>
        </w:rPr>
        <w:t>(</w:t>
      </w:r>
      <w:r w:rsidRPr="002F0FF1">
        <w:rPr>
          <w:rFonts w:ascii="Times New Roman" w:hAnsi="Times New Roman" w:cs="Times New Roman"/>
          <w:sz w:val="24"/>
          <w:szCs w:val="24"/>
        </w:rPr>
        <w:t>TB</w:t>
      </w:r>
      <w:r w:rsidR="0050241D" w:rsidRPr="002F0FF1">
        <w:rPr>
          <w:rFonts w:ascii="Times New Roman" w:hAnsi="Times New Roman" w:cs="Times New Roman"/>
          <w:sz w:val="24"/>
          <w:szCs w:val="24"/>
        </w:rPr>
        <w:t>)</w:t>
      </w:r>
      <w:r w:rsidRPr="002F0FF1">
        <w:rPr>
          <w:rFonts w:ascii="Times New Roman" w:hAnsi="Times New Roman" w:cs="Times New Roman"/>
          <w:sz w:val="24"/>
          <w:szCs w:val="24"/>
        </w:rPr>
        <w:t xml:space="preserve"> in the mini protean III system. The transfer was allowed for 90 min,</w:t>
      </w:r>
      <w:r w:rsidR="003F30BF" w:rsidRPr="002F0FF1">
        <w:rPr>
          <w:rFonts w:ascii="Times New Roman" w:hAnsi="Times New Roman" w:cs="Times New Roman"/>
          <w:sz w:val="24"/>
          <w:szCs w:val="24"/>
        </w:rPr>
        <w:t xml:space="preserve"> </w:t>
      </w:r>
      <w:r w:rsidRPr="002F0FF1">
        <w:rPr>
          <w:rFonts w:ascii="Times New Roman" w:hAnsi="Times New Roman" w:cs="Times New Roman"/>
          <w:sz w:val="24"/>
          <w:szCs w:val="24"/>
        </w:rPr>
        <w:t>200 mA at room temperature, or overnight, 13 V at 4 °C. The recovered membrane was stained with naphthol blue solution for 1 min an</w:t>
      </w:r>
      <w:r w:rsidRPr="002E26D2">
        <w:rPr>
          <w:rFonts w:ascii="Times New Roman" w:hAnsi="Times New Roman" w:cs="Times New Roman"/>
          <w:sz w:val="24"/>
          <w:szCs w:val="24"/>
        </w:rPr>
        <w:t xml:space="preserve">d distained for 10 min in </w:t>
      </w:r>
      <w:r w:rsidRPr="002F0FF1">
        <w:rPr>
          <w:rFonts w:ascii="Times New Roman" w:hAnsi="Times New Roman" w:cs="Times New Roman"/>
          <w:sz w:val="24"/>
          <w:szCs w:val="24"/>
        </w:rPr>
        <w:lastRenderedPageBreak/>
        <w:t>distaining solution to assess visually the correct separation of proteins. An image was captured to perform densitometry when needed. Membrane was washed three times in TBST for 10 min, then blocked for 30 min with blocking milk buffer. Membrane was incubated overnight at 4 °C with the blocking milk buffer supplemented with the primary antibody. The next day the membrane was washed three time</w:t>
      </w:r>
      <w:r w:rsidR="003F3569" w:rsidRPr="002F0FF1">
        <w:rPr>
          <w:rFonts w:ascii="Times New Roman" w:hAnsi="Times New Roman" w:cs="Times New Roman"/>
          <w:sz w:val="24"/>
          <w:szCs w:val="24"/>
        </w:rPr>
        <w:t>s</w:t>
      </w:r>
      <w:r w:rsidRPr="002F0FF1">
        <w:rPr>
          <w:rFonts w:ascii="Times New Roman" w:hAnsi="Times New Roman" w:cs="Times New Roman"/>
          <w:sz w:val="24"/>
          <w:szCs w:val="24"/>
        </w:rPr>
        <w:t xml:space="preserve"> in TBST for 10 min. Incubation with the secondary antibody diluted in blocking milk buffer was performed at room temperature for 1 h after which the membrane was washed three times for 10 min with TBST. The detection was performed using first the Western lightning plus ECL chemiluminescent reagents. Other chemiluminescent substrates listed in </w:t>
      </w:r>
      <w:r w:rsidR="008D4E4E" w:rsidRPr="002F0FF1">
        <w:rPr>
          <w:rFonts w:ascii="Times New Roman" w:hAnsi="Times New Roman" w:cs="Times New Roman"/>
          <w:sz w:val="24"/>
          <w:szCs w:val="24"/>
        </w:rPr>
        <w:fldChar w:fldCharType="begin"/>
      </w:r>
      <w:r w:rsidR="008D4E4E" w:rsidRPr="002F0FF1">
        <w:rPr>
          <w:rFonts w:ascii="Times New Roman" w:hAnsi="Times New Roman" w:cs="Times New Roman"/>
          <w:sz w:val="24"/>
          <w:szCs w:val="24"/>
        </w:rPr>
        <w:instrText xml:space="preserve"> REF _Ref106008900 \h </w:instrText>
      </w:r>
      <w:r w:rsidR="002E26D2" w:rsidRPr="002F0FF1">
        <w:rPr>
          <w:rFonts w:ascii="Times New Roman" w:hAnsi="Times New Roman" w:cs="Times New Roman"/>
          <w:sz w:val="24"/>
          <w:szCs w:val="24"/>
        </w:rPr>
        <w:instrText xml:space="preserve"> \* MERGEFORMAT </w:instrText>
      </w:r>
      <w:r w:rsidR="008D4E4E" w:rsidRPr="002F0FF1">
        <w:rPr>
          <w:rFonts w:ascii="Times New Roman" w:hAnsi="Times New Roman" w:cs="Times New Roman"/>
          <w:sz w:val="24"/>
          <w:szCs w:val="24"/>
        </w:rPr>
      </w:r>
      <w:r w:rsidR="008D4E4E" w:rsidRPr="002F0FF1">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6</w:t>
      </w:r>
      <w:r w:rsidR="008D4E4E" w:rsidRPr="002F0FF1">
        <w:rPr>
          <w:rFonts w:ascii="Times New Roman" w:hAnsi="Times New Roman" w:cs="Times New Roman"/>
          <w:sz w:val="24"/>
          <w:szCs w:val="24"/>
        </w:rPr>
        <w:fldChar w:fldCharType="end"/>
      </w:r>
      <w:r w:rsidR="00CC326B" w:rsidRPr="002F0FF1">
        <w:rPr>
          <w:rFonts w:ascii="Times New Roman" w:hAnsi="Times New Roman" w:cs="Times New Roman"/>
          <w:sz w:val="24"/>
          <w:szCs w:val="24"/>
        </w:rPr>
        <w:t xml:space="preserve"> </w:t>
      </w:r>
      <w:r w:rsidRPr="002F0FF1">
        <w:rPr>
          <w:rFonts w:ascii="Times New Roman" w:hAnsi="Times New Roman" w:cs="Times New Roman"/>
          <w:sz w:val="24"/>
          <w:szCs w:val="24"/>
        </w:rPr>
        <w:t>were used upon low signal intensity. Images were acquired using Uvitec alliance 4.7 system.</w:t>
      </w:r>
    </w:p>
    <w:p w14:paraId="21ED2883" w14:textId="6AD9A2D2" w:rsidR="000B3AF7" w:rsidRPr="002E26D2" w:rsidRDefault="000B3AF7" w:rsidP="002E2D58">
      <w:pPr>
        <w:pStyle w:val="Heading4"/>
      </w:pPr>
      <w:bookmarkStart w:id="137" w:name="_Ref105769575"/>
      <w:bookmarkStart w:id="138" w:name="_Toc117153859"/>
      <w:r w:rsidRPr="002E26D2">
        <w:t>Phospho-His</w:t>
      </w:r>
      <w:r w:rsidR="00F0349C">
        <w:t>tidine</w:t>
      </w:r>
      <w:r w:rsidRPr="002E26D2">
        <w:t xml:space="preserve"> immunoblotting</w:t>
      </w:r>
      <w:bookmarkEnd w:id="137"/>
      <w:bookmarkEnd w:id="138"/>
    </w:p>
    <w:p w14:paraId="2237DD38" w14:textId="4DE407E8" w:rsidR="000B3AF7" w:rsidRPr="002E26D2" w:rsidRDefault="000D68C1" w:rsidP="00B23BAE">
      <w:pPr>
        <w:pStyle w:val="Heading5"/>
      </w:pPr>
      <w:r w:rsidRPr="002E26D2">
        <w:t xml:space="preserve">Preparation of </w:t>
      </w:r>
      <w:r w:rsidR="00F0349C">
        <w:t xml:space="preserve">a </w:t>
      </w:r>
      <w:r w:rsidRPr="002E26D2">
        <w:t>modified p</w:t>
      </w:r>
      <w:r w:rsidR="003F3569">
        <w:t>H</w:t>
      </w:r>
      <w:r w:rsidRPr="002E26D2">
        <w:t>is-gel</w:t>
      </w:r>
    </w:p>
    <w:p w14:paraId="542E6697" w14:textId="3FF24BA2"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A modified electrophoresis gel was freshly prepared. The preparation was the same as described in </w:t>
      </w:r>
      <w:r w:rsidR="007B30B1">
        <w:rPr>
          <w:rFonts w:ascii="Times New Roman" w:hAnsi="Times New Roman" w:cs="Times New Roman"/>
          <w:sz w:val="24"/>
          <w:szCs w:val="24"/>
        </w:rPr>
        <w:t xml:space="preserve">section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_Ref105768114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3.2.3.3.1</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except that </w:t>
      </w:r>
      <w:r w:rsidR="00AC0F68" w:rsidRPr="002E26D2">
        <w:rPr>
          <w:rFonts w:ascii="Times New Roman" w:hAnsi="Times New Roman" w:cs="Times New Roman"/>
          <w:sz w:val="24"/>
          <w:szCs w:val="24"/>
        </w:rPr>
        <w:t xml:space="preserve">1 M </w:t>
      </w:r>
      <w:r w:rsidRPr="002E26D2">
        <w:rPr>
          <w:rFonts w:ascii="Times New Roman" w:hAnsi="Times New Roman" w:cs="Times New Roman"/>
          <w:sz w:val="24"/>
          <w:szCs w:val="24"/>
        </w:rPr>
        <w:t xml:space="preserve">Tris, pH 7.4 was used instead of </w:t>
      </w:r>
      <w:r w:rsidR="00AC0F68" w:rsidRPr="002E26D2">
        <w:rPr>
          <w:rFonts w:ascii="Times New Roman" w:hAnsi="Times New Roman" w:cs="Times New Roman"/>
          <w:sz w:val="24"/>
          <w:szCs w:val="24"/>
        </w:rPr>
        <w:t xml:space="preserve">1 M </w:t>
      </w:r>
      <w:r w:rsidRPr="002E26D2">
        <w:rPr>
          <w:rFonts w:ascii="Times New Roman" w:hAnsi="Times New Roman" w:cs="Times New Roman"/>
          <w:sz w:val="24"/>
          <w:szCs w:val="24"/>
        </w:rPr>
        <w:t>Tris, pH 6.8 for the production of the stacking gel, in order to preserve histidine phosphorylation. After polymerization, the gel was cooled down at 4 °C before use.</w:t>
      </w:r>
    </w:p>
    <w:p w14:paraId="2D957557" w14:textId="77AE1219" w:rsidR="000B3AF7" w:rsidRPr="002E26D2" w:rsidRDefault="000D68C1" w:rsidP="00B23BAE">
      <w:pPr>
        <w:pStyle w:val="Heading5"/>
      </w:pPr>
      <w:r w:rsidRPr="002E26D2">
        <w:t>S</w:t>
      </w:r>
      <w:r w:rsidR="003F3569">
        <w:t>DS</w:t>
      </w:r>
      <w:r w:rsidRPr="002E26D2">
        <w:t>-</w:t>
      </w:r>
      <w:r w:rsidR="007506AE">
        <w:t>PAGE</w:t>
      </w:r>
      <w:r w:rsidRPr="002E26D2">
        <w:t xml:space="preserve"> and </w:t>
      </w:r>
      <w:r w:rsidR="00DD48B4" w:rsidRPr="00DD48B4">
        <w:t>W</w:t>
      </w:r>
      <w:r w:rsidRPr="00DD48B4">
        <w:t>estern</w:t>
      </w:r>
      <w:r w:rsidRPr="002E26D2">
        <w:t xml:space="preserve"> blot in p</w:t>
      </w:r>
      <w:r w:rsidR="00F0349C">
        <w:t>H</w:t>
      </w:r>
      <w:r w:rsidRPr="002E26D2">
        <w:t>is preserving conditions</w:t>
      </w:r>
    </w:p>
    <w:p w14:paraId="59C34F50" w14:textId="47D57B0D" w:rsidR="000B3AF7" w:rsidRPr="002E26D2"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The polyacrylamide gel and buffers RB, TB, TBST and PBS were cooled down at 4 °C. Buffers were adjusted to pH 8.2. The pHis-5×LB was cooled down, adjusted to pH 8.8 and diluted in PBS to pHis-2×LB on the day of the experiment. Cells were grown until 90 % confluency in a 10 cm dish, washed twice in PBS and collected by scrapping in 500 µL of pHis-2</w:t>
      </w:r>
      <w:r w:rsidR="003F3569" w:rsidRPr="002F0FF1">
        <w:rPr>
          <w:rFonts w:ascii="Times New Roman" w:hAnsi="Times New Roman" w:cs="Times New Roman"/>
          <w:sz w:val="24"/>
          <w:szCs w:val="24"/>
        </w:rPr>
        <w:t>×</w:t>
      </w:r>
      <w:r w:rsidRPr="002F0FF1">
        <w:rPr>
          <w:rFonts w:ascii="Times New Roman" w:hAnsi="Times New Roman" w:cs="Times New Roman"/>
          <w:sz w:val="24"/>
          <w:szCs w:val="24"/>
        </w:rPr>
        <w:t xml:space="preserve">LB. The sample was incubated 10 min on ice before </w:t>
      </w:r>
      <w:r w:rsidR="003F3569" w:rsidRPr="002F0FF1">
        <w:rPr>
          <w:rFonts w:ascii="Times New Roman" w:hAnsi="Times New Roman" w:cs="Times New Roman"/>
          <w:sz w:val="24"/>
          <w:szCs w:val="24"/>
        </w:rPr>
        <w:t>sonication</w:t>
      </w:r>
      <w:r w:rsidRPr="002F0FF1">
        <w:rPr>
          <w:rFonts w:ascii="Times New Roman" w:hAnsi="Times New Roman" w:cs="Times New Roman"/>
          <w:sz w:val="24"/>
          <w:szCs w:val="24"/>
        </w:rPr>
        <w:t xml:space="preserve"> using the Labsonic system (3 × 10 s,</w:t>
      </w:r>
      <w:r w:rsidR="009D2DD2" w:rsidRPr="002F0FF1">
        <w:rPr>
          <w:rFonts w:ascii="Times New Roman" w:hAnsi="Times New Roman" w:cs="Times New Roman"/>
          <w:sz w:val="24"/>
          <w:szCs w:val="24"/>
        </w:rPr>
        <w:t xml:space="preserve"> </w:t>
      </w:r>
      <w:r w:rsidRPr="002F0FF1">
        <w:rPr>
          <w:rFonts w:ascii="Times New Roman" w:hAnsi="Times New Roman" w:cs="Times New Roman"/>
          <w:sz w:val="24"/>
          <w:szCs w:val="24"/>
        </w:rPr>
        <w:t>4</w:t>
      </w:r>
      <w:r w:rsidR="0011755E">
        <w:rPr>
          <w:rFonts w:ascii="Times New Roman" w:hAnsi="Times New Roman" w:cs="Times New Roman"/>
          <w:sz w:val="24"/>
          <w:szCs w:val="24"/>
        </w:rPr>
        <w:t> </w:t>
      </w:r>
      <w:r w:rsidRPr="002F0FF1">
        <w:rPr>
          <w:rFonts w:ascii="Times New Roman" w:hAnsi="Times New Roman" w:cs="Times New Roman"/>
          <w:sz w:val="24"/>
          <w:szCs w:val="24"/>
        </w:rPr>
        <w:t>°C) and clarified by centrifugation (14 000 g, 10 min, 4 °C). The supernatant was carefully collected and equally divided in two parts, one incubated on ice (4 °C), the other boiled (95</w:t>
      </w:r>
      <w:r w:rsidR="0011755E">
        <w:rPr>
          <w:rFonts w:ascii="Times New Roman" w:hAnsi="Times New Roman" w:cs="Times New Roman"/>
          <w:sz w:val="24"/>
          <w:szCs w:val="24"/>
        </w:rPr>
        <w:t> </w:t>
      </w:r>
      <w:r w:rsidRPr="002F0FF1">
        <w:rPr>
          <w:rFonts w:ascii="Times New Roman" w:hAnsi="Times New Roman" w:cs="Times New Roman"/>
          <w:sz w:val="24"/>
          <w:szCs w:val="24"/>
        </w:rPr>
        <w:t>°C) for 10 min just before loading. Samples (10 µL) and precision plus protein standard were loaded on</w:t>
      </w:r>
      <w:r w:rsidR="003F3569" w:rsidRPr="002F0FF1">
        <w:rPr>
          <w:rFonts w:ascii="Times New Roman" w:hAnsi="Times New Roman" w:cs="Times New Roman"/>
          <w:sz w:val="24"/>
          <w:szCs w:val="24"/>
        </w:rPr>
        <w:t>to</w:t>
      </w:r>
      <w:r w:rsidRPr="002F0FF1">
        <w:rPr>
          <w:rFonts w:ascii="Times New Roman" w:hAnsi="Times New Roman" w:cs="Times New Roman"/>
          <w:sz w:val="24"/>
          <w:szCs w:val="24"/>
        </w:rPr>
        <w:t xml:space="preserve"> the pHis-gel placed in the mini-protean III apparatus and run in RB at 110 V for 2 h, 4 °C. </w:t>
      </w:r>
      <w:r w:rsidR="003F3569" w:rsidRPr="002F0FF1">
        <w:rPr>
          <w:rFonts w:ascii="Times New Roman" w:hAnsi="Times New Roman" w:cs="Times New Roman"/>
          <w:sz w:val="24"/>
          <w:szCs w:val="24"/>
        </w:rPr>
        <w:t>The proteins were transferred to</w:t>
      </w:r>
      <w:r w:rsidRPr="002F0FF1">
        <w:rPr>
          <w:rFonts w:ascii="Times New Roman" w:hAnsi="Times New Roman" w:cs="Times New Roman"/>
          <w:sz w:val="24"/>
          <w:szCs w:val="24"/>
        </w:rPr>
        <w:t xml:space="preserve"> a 0.2 µm nitrocellulose membrane in </w:t>
      </w:r>
      <w:r w:rsidR="003F3569" w:rsidRPr="002F0FF1">
        <w:rPr>
          <w:rFonts w:ascii="Times New Roman" w:hAnsi="Times New Roman" w:cs="Times New Roman"/>
          <w:sz w:val="24"/>
          <w:szCs w:val="24"/>
        </w:rPr>
        <w:t>TB</w:t>
      </w:r>
      <w:r w:rsidRPr="002F0FF1">
        <w:rPr>
          <w:rFonts w:ascii="Times New Roman" w:hAnsi="Times New Roman" w:cs="Times New Roman"/>
          <w:sz w:val="24"/>
          <w:szCs w:val="24"/>
        </w:rPr>
        <w:t xml:space="preserve"> at 200 mA for 90 min, 4 °C. After transfer, the membrane was washed three times for 10 min in TBST and immediately blocked for 40 min at 4 °C with Blocking BSA buffer. The membrane was incubated with the primary antibody diluted in Blocking BSA buffer, overnight at 4 °C, the membrane was washed three times for 10 min in TBST. The incubation with the secondary antibody diluted in Blocking BSA buffer was performed for 2 h at 4 °C, after </w:t>
      </w:r>
      <w:r w:rsidRPr="002E26D2">
        <w:rPr>
          <w:rFonts w:ascii="Times New Roman" w:hAnsi="Times New Roman" w:cs="Times New Roman"/>
          <w:sz w:val="24"/>
          <w:szCs w:val="24"/>
        </w:rPr>
        <w:t xml:space="preserve">which the </w:t>
      </w:r>
      <w:r w:rsidRPr="002E26D2">
        <w:rPr>
          <w:rFonts w:ascii="Times New Roman" w:hAnsi="Times New Roman" w:cs="Times New Roman"/>
          <w:sz w:val="24"/>
          <w:szCs w:val="24"/>
        </w:rPr>
        <w:lastRenderedPageBreak/>
        <w:t xml:space="preserve">membrane was washed three times for </w:t>
      </w:r>
      <w:r w:rsidRPr="002F0FF1">
        <w:rPr>
          <w:rFonts w:ascii="Times New Roman" w:hAnsi="Times New Roman" w:cs="Times New Roman"/>
          <w:sz w:val="24"/>
          <w:szCs w:val="24"/>
        </w:rPr>
        <w:t xml:space="preserve">10 min in TBST. Proteins were visualized with the chemiluminescent reagent listed in </w:t>
      </w:r>
      <w:r w:rsidR="008D4E4E" w:rsidRPr="002F0FF1">
        <w:rPr>
          <w:rFonts w:ascii="Times New Roman" w:hAnsi="Times New Roman" w:cs="Times New Roman"/>
          <w:sz w:val="24"/>
          <w:szCs w:val="24"/>
        </w:rPr>
        <w:fldChar w:fldCharType="begin"/>
      </w:r>
      <w:r w:rsidR="008D4E4E" w:rsidRPr="002F0FF1">
        <w:rPr>
          <w:rFonts w:ascii="Times New Roman" w:hAnsi="Times New Roman" w:cs="Times New Roman"/>
          <w:sz w:val="24"/>
          <w:szCs w:val="24"/>
        </w:rPr>
        <w:instrText xml:space="preserve"> REF _Ref106008900 \h </w:instrText>
      </w:r>
      <w:r w:rsidR="002E26D2" w:rsidRPr="002F0FF1">
        <w:rPr>
          <w:rFonts w:ascii="Times New Roman" w:hAnsi="Times New Roman" w:cs="Times New Roman"/>
          <w:sz w:val="24"/>
          <w:szCs w:val="24"/>
        </w:rPr>
        <w:instrText xml:space="preserve"> \* MERGEFORMAT </w:instrText>
      </w:r>
      <w:r w:rsidR="008D4E4E" w:rsidRPr="002F0FF1">
        <w:rPr>
          <w:rFonts w:ascii="Times New Roman" w:hAnsi="Times New Roman" w:cs="Times New Roman"/>
          <w:sz w:val="24"/>
          <w:szCs w:val="24"/>
        </w:rPr>
      </w:r>
      <w:r w:rsidR="008D4E4E" w:rsidRPr="002F0FF1">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6</w:t>
      </w:r>
      <w:r w:rsidR="008D4E4E"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using Uvitec alliance 4.7 system.</w:t>
      </w:r>
    </w:p>
    <w:p w14:paraId="34C69F8F" w14:textId="294207D1" w:rsidR="000B3AF7" w:rsidRPr="002E26D2" w:rsidRDefault="000B3AF7" w:rsidP="002E2D58">
      <w:pPr>
        <w:pStyle w:val="Heading4"/>
      </w:pPr>
      <w:bookmarkStart w:id="139" w:name="_Ref105769665"/>
      <w:bookmarkStart w:id="140" w:name="_Toc117153860"/>
      <w:r w:rsidRPr="002E26D2">
        <w:t>Immunoprecipitation</w:t>
      </w:r>
      <w:bookmarkEnd w:id="139"/>
      <w:bookmarkEnd w:id="140"/>
    </w:p>
    <w:p w14:paraId="3D5CE8A6" w14:textId="7CA86BF2"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Immunoprecipitation was performed in a forward and reverse manner using MDA-MB-231T wild type cells or transiently transfected MDA-MB-231T cells that express one of the following: NME3-FLAG, NME4-FLAG, NME6-186-FLAG or NME6-194-FLAG.</w:t>
      </w:r>
    </w:p>
    <w:p w14:paraId="3055EFB6" w14:textId="5EBAE336" w:rsidR="000B3AF7" w:rsidRPr="002E26D2" w:rsidRDefault="000D68C1" w:rsidP="00B23BAE">
      <w:pPr>
        <w:pStyle w:val="Heading5"/>
      </w:pPr>
      <w:r w:rsidRPr="002E26D2">
        <w:t>Cell lysate preparatio</w:t>
      </w:r>
      <w:r w:rsidR="00853A92">
        <w:t>n</w:t>
      </w:r>
    </w:p>
    <w:p w14:paraId="6BD9F6ED" w14:textId="6DAF5ED6"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Cells were transfected (</w:t>
      </w:r>
      <w:r w:rsidR="00616F11">
        <w:rPr>
          <w:rFonts w:ascii="Times New Roman" w:hAnsi="Times New Roman" w:cs="Times New Roman"/>
          <w:sz w:val="24"/>
          <w:szCs w:val="24"/>
        </w:rPr>
        <w:t xml:space="preserve">section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_Ref105767753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3.2.2.5</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collected 48 h post transfection (</w:t>
      </w:r>
      <w:r w:rsidR="00616F11">
        <w:rPr>
          <w:rFonts w:ascii="Times New Roman" w:hAnsi="Times New Roman" w:cs="Times New Roman"/>
          <w:sz w:val="24"/>
          <w:szCs w:val="24"/>
        </w:rPr>
        <w:t xml:space="preserve">section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_Ref105767648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and resuspended in 100 µL </w:t>
      </w:r>
      <w:r w:rsidRPr="002F0FF1">
        <w:rPr>
          <w:rFonts w:ascii="Times New Roman" w:hAnsi="Times New Roman" w:cs="Times New Roman"/>
          <w:sz w:val="24"/>
          <w:szCs w:val="24"/>
        </w:rPr>
        <w:t>of TEEN buffer supplemented with 1× protease inhibitor. Cells were sonicated using Labsonic system with a 1 mm probe</w:t>
      </w:r>
      <w:r w:rsidRPr="002E26D2">
        <w:rPr>
          <w:rFonts w:ascii="Times New Roman" w:hAnsi="Times New Roman" w:cs="Times New Roman"/>
          <w:sz w:val="24"/>
          <w:szCs w:val="24"/>
        </w:rPr>
        <w:t xml:space="preserve">, 2 × 10 s at 4 °C with 1 min cooling period between each burst. Cell lysates were centrifuged at 16 000 g, 20 min at 4 °C. Supernatant was saved and named Input (I), while the pellet was discarded. Protein concentration was measured </w:t>
      </w:r>
      <w:r w:rsidR="005C30A5">
        <w:rPr>
          <w:rFonts w:ascii="Times New Roman" w:hAnsi="Times New Roman" w:cs="Times New Roman"/>
          <w:sz w:val="24"/>
          <w:szCs w:val="24"/>
        </w:rPr>
        <w:t>as described in section</w:t>
      </w:r>
      <w:r w:rsidRPr="002E26D2">
        <w:rPr>
          <w:rFonts w:ascii="Times New Roman" w:hAnsi="Times New Roman" w:cs="Times New Roman"/>
          <w:sz w:val="24"/>
          <w:szCs w:val="24"/>
        </w:rPr>
        <w:t xml:space="preserve">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_Ref105768027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3.2.3.2.1</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23E2CBD3" w14:textId="259DE647" w:rsidR="000B3AF7" w:rsidRPr="002E26D2" w:rsidRDefault="000D68C1" w:rsidP="00B23BAE">
      <w:pPr>
        <w:pStyle w:val="Heading5"/>
      </w:pPr>
      <w:r w:rsidRPr="002E26D2">
        <w:t xml:space="preserve">Immunoprecipitations using </w:t>
      </w:r>
      <w:r w:rsidR="0073101E">
        <w:t>D</w:t>
      </w:r>
      <w:r w:rsidRPr="002E26D2">
        <w:t xml:space="preserve">ynabeads </w:t>
      </w:r>
      <w:r w:rsidR="0073101E">
        <w:t>P</w:t>
      </w:r>
      <w:r w:rsidRPr="002E26D2">
        <w:t xml:space="preserve">rotein </w:t>
      </w:r>
      <w:r w:rsidR="0073101E">
        <w:t>G</w:t>
      </w:r>
    </w:p>
    <w:p w14:paraId="4EB21C84" w14:textId="622D67AE"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 xml:space="preserve">Immunoprecipitations using Dynabeads Protein G were performed according to manufacturer's instructions. Briefly, 50 µL of beads were washed two times with 200 µL of PBS-TWEEN. Beads were incubated 40 min with 2 µg of antibody diluted in 200 µL of PBS-TWEEN, on the rotator at room temperature. Anti-NME1 (OP48 Calbiochem), </w:t>
      </w:r>
      <w:r w:rsidR="000F0FAE" w:rsidRPr="002F0FF1">
        <w:rPr>
          <w:rFonts w:ascii="Times New Roman" w:hAnsi="Times New Roman" w:cs="Times New Roman"/>
          <w:sz w:val="24"/>
          <w:szCs w:val="24"/>
        </w:rPr>
        <w:t>a</w:t>
      </w:r>
      <w:r w:rsidRPr="002F0FF1">
        <w:rPr>
          <w:rFonts w:ascii="Times New Roman" w:hAnsi="Times New Roman" w:cs="Times New Roman"/>
          <w:sz w:val="24"/>
          <w:szCs w:val="24"/>
        </w:rPr>
        <w:t>nti-N</w:t>
      </w:r>
      <w:r w:rsidR="0073101E" w:rsidRPr="002F0FF1">
        <w:rPr>
          <w:rFonts w:ascii="Times New Roman" w:hAnsi="Times New Roman" w:cs="Times New Roman"/>
          <w:sz w:val="24"/>
          <w:szCs w:val="24"/>
        </w:rPr>
        <w:t>ME</w:t>
      </w:r>
      <w:r w:rsidRPr="002F0FF1">
        <w:rPr>
          <w:rFonts w:ascii="Times New Roman" w:hAnsi="Times New Roman" w:cs="Times New Roman"/>
          <w:sz w:val="24"/>
          <w:szCs w:val="24"/>
        </w:rPr>
        <w:t>6 (HPA017909, Sigma) and anti-RCC1-L (SAB1401860, Sigma) were used to pull down NME1, NME6 and RCC1-L proteins, respectively. Beads-A</w:t>
      </w:r>
      <w:r w:rsidR="00FA2866" w:rsidRPr="002F0FF1">
        <w:rPr>
          <w:rFonts w:ascii="Times New Roman" w:hAnsi="Times New Roman" w:cs="Times New Roman"/>
          <w:sz w:val="24"/>
          <w:szCs w:val="24"/>
        </w:rPr>
        <w:t>ntibody</w:t>
      </w:r>
      <w:r w:rsidRPr="002F0FF1">
        <w:rPr>
          <w:rFonts w:ascii="Times New Roman" w:hAnsi="Times New Roman" w:cs="Times New Roman"/>
          <w:sz w:val="24"/>
          <w:szCs w:val="24"/>
        </w:rPr>
        <w:t xml:space="preserve"> complexes were washed</w:t>
      </w:r>
      <w:r w:rsidR="00FA2866" w:rsidRPr="002F0FF1">
        <w:rPr>
          <w:rFonts w:ascii="Times New Roman" w:hAnsi="Times New Roman" w:cs="Times New Roman"/>
          <w:sz w:val="24"/>
          <w:szCs w:val="24"/>
        </w:rPr>
        <w:t xml:space="preserve"> in PBS-TWEEN</w:t>
      </w:r>
      <w:r w:rsidRPr="002F0FF1">
        <w:rPr>
          <w:rFonts w:ascii="Times New Roman" w:hAnsi="Times New Roman" w:cs="Times New Roman"/>
          <w:sz w:val="24"/>
          <w:szCs w:val="24"/>
        </w:rPr>
        <w:t xml:space="preserve">, 200 µg of Input protein (I) was added in a final volume of 200 µL in PBS-TWEEN, and incubated overnight on the rotator at 4 °C. The next day, supernatant (Sn) was saved while </w:t>
      </w:r>
      <w:r w:rsidR="00FA2866" w:rsidRPr="002F0FF1">
        <w:rPr>
          <w:rFonts w:ascii="Times New Roman" w:hAnsi="Times New Roman" w:cs="Times New Roman"/>
          <w:sz w:val="24"/>
          <w:szCs w:val="24"/>
        </w:rPr>
        <w:t>B</w:t>
      </w:r>
      <w:r w:rsidRPr="002F0FF1">
        <w:rPr>
          <w:rFonts w:ascii="Times New Roman" w:hAnsi="Times New Roman" w:cs="Times New Roman"/>
          <w:sz w:val="24"/>
          <w:szCs w:val="24"/>
        </w:rPr>
        <w:t>eads-A</w:t>
      </w:r>
      <w:r w:rsidR="00FA2866" w:rsidRPr="002F0FF1">
        <w:rPr>
          <w:rFonts w:ascii="Times New Roman" w:hAnsi="Times New Roman" w:cs="Times New Roman"/>
          <w:sz w:val="24"/>
          <w:szCs w:val="24"/>
        </w:rPr>
        <w:t>ntibody</w:t>
      </w:r>
      <w:r w:rsidRPr="002F0FF1">
        <w:rPr>
          <w:rFonts w:ascii="Times New Roman" w:hAnsi="Times New Roman" w:cs="Times New Roman"/>
          <w:sz w:val="24"/>
          <w:szCs w:val="24"/>
        </w:rPr>
        <w:t>-</w:t>
      </w:r>
      <w:r w:rsidR="00FA2866" w:rsidRPr="002F0FF1">
        <w:rPr>
          <w:rFonts w:ascii="Times New Roman" w:hAnsi="Times New Roman" w:cs="Times New Roman"/>
          <w:sz w:val="24"/>
          <w:szCs w:val="24"/>
        </w:rPr>
        <w:t>Antigen</w:t>
      </w:r>
      <w:r w:rsidRPr="002F0FF1">
        <w:rPr>
          <w:rFonts w:ascii="Times New Roman" w:hAnsi="Times New Roman" w:cs="Times New Roman"/>
          <w:sz w:val="24"/>
          <w:szCs w:val="24"/>
        </w:rPr>
        <w:t xml:space="preserve"> complexes were washed </w:t>
      </w:r>
      <w:r w:rsidR="00FA2866" w:rsidRPr="002F0FF1">
        <w:rPr>
          <w:rFonts w:ascii="Times New Roman" w:hAnsi="Times New Roman" w:cs="Times New Roman"/>
          <w:sz w:val="24"/>
          <w:szCs w:val="24"/>
        </w:rPr>
        <w:t xml:space="preserve">in PBS-TWEEN </w:t>
      </w:r>
      <w:r w:rsidRPr="002F0FF1">
        <w:rPr>
          <w:rFonts w:ascii="Times New Roman" w:hAnsi="Times New Roman" w:cs="Times New Roman"/>
          <w:sz w:val="24"/>
          <w:szCs w:val="24"/>
        </w:rPr>
        <w:t>and eluted in 20 µL of 2×LB by heating the sample at 95 °C for 10 min (IP). The whole elution volume (IP) was loaded onto SDS-PAGE, while 30 µg of Input (I) and supernatant (Sn) were loaded, and analyzed by Western blot (</w:t>
      </w:r>
      <w:r w:rsidR="000926C1">
        <w:rPr>
          <w:rFonts w:ascii="Times New Roman" w:hAnsi="Times New Roman" w:cs="Times New Roman"/>
          <w:sz w:val="24"/>
          <w:szCs w:val="24"/>
        </w:rPr>
        <w:t xml:space="preserve">section </w:t>
      </w:r>
      <w:r w:rsidR="00AC1FD4" w:rsidRPr="002F0FF1">
        <w:rPr>
          <w:rFonts w:ascii="Times New Roman" w:hAnsi="Times New Roman" w:cs="Times New Roman"/>
          <w:sz w:val="24"/>
          <w:szCs w:val="24"/>
        </w:rPr>
        <w:fldChar w:fldCharType="begin"/>
      </w:r>
      <w:r w:rsidR="00AC1FD4"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AC1FD4" w:rsidRPr="002F0FF1">
        <w:rPr>
          <w:rFonts w:ascii="Times New Roman" w:hAnsi="Times New Roman" w:cs="Times New Roman"/>
          <w:sz w:val="24"/>
          <w:szCs w:val="24"/>
        </w:rPr>
      </w:r>
      <w:r w:rsidR="00AC1FD4"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AC1FD4"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p>
    <w:p w14:paraId="21FCDD01" w14:textId="1F60B8B3" w:rsidR="000B3AF7" w:rsidRPr="002E26D2" w:rsidRDefault="000D68C1" w:rsidP="00B23BAE">
      <w:pPr>
        <w:pStyle w:val="Heading5"/>
      </w:pPr>
      <w:r w:rsidRPr="002E26D2">
        <w:t xml:space="preserve">Immunoprecipitations using </w:t>
      </w:r>
      <w:r w:rsidR="00A56330">
        <w:t>FLAG</w:t>
      </w:r>
      <w:r w:rsidRPr="002E26D2">
        <w:t>-agarose</w:t>
      </w:r>
    </w:p>
    <w:p w14:paraId="7CB73C29" w14:textId="34C0E8FF"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Immunoprecipitations using FLAG-agarose were done according to manufacturer's instructions. Briefly, 40 µL of slurry was washed in TEEN buffer and incubated overnight with 200 µg of input protein (I) diluted in 200 µL of TEEN buffer, on the rotator at 4 °C. The next day, supernatant (Sn) was saved while FLAG-agarose-A</w:t>
      </w:r>
      <w:r w:rsidR="00A56330" w:rsidRPr="002F0FF1">
        <w:rPr>
          <w:rFonts w:ascii="Times New Roman" w:hAnsi="Times New Roman" w:cs="Times New Roman"/>
          <w:sz w:val="24"/>
          <w:szCs w:val="24"/>
        </w:rPr>
        <w:t>ntigen</w:t>
      </w:r>
      <w:r w:rsidRPr="002F0FF1">
        <w:rPr>
          <w:rFonts w:ascii="Times New Roman" w:hAnsi="Times New Roman" w:cs="Times New Roman"/>
          <w:sz w:val="24"/>
          <w:szCs w:val="24"/>
        </w:rPr>
        <w:t xml:space="preserve"> complexes were washed in </w:t>
      </w:r>
      <w:r w:rsidRPr="002F0FF1">
        <w:rPr>
          <w:rFonts w:ascii="Times New Roman" w:hAnsi="Times New Roman" w:cs="Times New Roman"/>
          <w:sz w:val="24"/>
          <w:szCs w:val="24"/>
        </w:rPr>
        <w:lastRenderedPageBreak/>
        <w:t>PBS-TWEEN and eluted in 20 µL of 2×LB by heating up the sample at 70 °C for 10 min (IP). The whole elution volume (IP) was loaded onto SDS-PAGE, while 30 µg of Input (I) and supernatant (Sn) were loaded and analyzed by Western blot (</w:t>
      </w:r>
      <w:r w:rsidR="00DE7592">
        <w:rPr>
          <w:rFonts w:ascii="Times New Roman" w:hAnsi="Times New Roman" w:cs="Times New Roman"/>
          <w:sz w:val="24"/>
          <w:szCs w:val="24"/>
        </w:rPr>
        <w:t xml:space="preserve">section </w:t>
      </w:r>
      <w:r w:rsidR="00AC1FD4" w:rsidRPr="002F0FF1">
        <w:rPr>
          <w:rFonts w:ascii="Times New Roman" w:hAnsi="Times New Roman" w:cs="Times New Roman"/>
          <w:sz w:val="24"/>
          <w:szCs w:val="24"/>
        </w:rPr>
        <w:fldChar w:fldCharType="begin"/>
      </w:r>
      <w:r w:rsidR="00AC1FD4"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AC1FD4" w:rsidRPr="002F0FF1">
        <w:rPr>
          <w:rFonts w:ascii="Times New Roman" w:hAnsi="Times New Roman" w:cs="Times New Roman"/>
          <w:sz w:val="24"/>
          <w:szCs w:val="24"/>
        </w:rPr>
      </w:r>
      <w:r w:rsidR="00AC1FD4"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AC1FD4"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p>
    <w:p w14:paraId="1C8BF811" w14:textId="26DCFBFE" w:rsidR="000B3AF7" w:rsidRPr="002E26D2" w:rsidRDefault="000B3AF7" w:rsidP="002E2D58">
      <w:pPr>
        <w:pStyle w:val="Heading4"/>
      </w:pPr>
      <w:bookmarkStart w:id="141" w:name="_Toc117153861"/>
      <w:r w:rsidRPr="002E26D2">
        <w:t>NME6 expression in human cell lines</w:t>
      </w:r>
      <w:bookmarkEnd w:id="141"/>
    </w:p>
    <w:p w14:paraId="40B871BA" w14:textId="7BEC0273"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Endogenous NME6 protein expression profile was assayed in a large number of human cell lines with different tissues of origins (</w:t>
      </w:r>
      <w:r w:rsidR="008D4E4E" w:rsidRPr="002E26D2">
        <w:rPr>
          <w:rFonts w:ascii="Times New Roman" w:hAnsi="Times New Roman" w:cs="Times New Roman"/>
          <w:sz w:val="24"/>
          <w:szCs w:val="24"/>
        </w:rPr>
        <w:fldChar w:fldCharType="begin"/>
      </w:r>
      <w:r w:rsidR="008D4E4E" w:rsidRPr="002E26D2">
        <w:rPr>
          <w:rFonts w:ascii="Times New Roman" w:hAnsi="Times New Roman" w:cs="Times New Roman"/>
          <w:sz w:val="24"/>
          <w:szCs w:val="24"/>
        </w:rPr>
        <w:instrText xml:space="preserve"> REF _Ref106008760 \h </w:instrText>
      </w:r>
      <w:r w:rsidR="002E26D2" w:rsidRPr="002E26D2">
        <w:rPr>
          <w:rFonts w:ascii="Times New Roman" w:hAnsi="Times New Roman" w:cs="Times New Roman"/>
          <w:sz w:val="24"/>
          <w:szCs w:val="24"/>
        </w:rPr>
        <w:instrText xml:space="preserve"> \* MERGEFORMAT </w:instrText>
      </w:r>
      <w:r w:rsidR="008D4E4E" w:rsidRPr="002E26D2">
        <w:rPr>
          <w:rFonts w:ascii="Times New Roman" w:hAnsi="Times New Roman" w:cs="Times New Roman"/>
          <w:sz w:val="24"/>
          <w:szCs w:val="24"/>
        </w:rPr>
      </w:r>
      <w:r w:rsidR="008D4E4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10</w:t>
      </w:r>
      <w:r w:rsidR="008D4E4E" w:rsidRPr="002E26D2">
        <w:rPr>
          <w:rFonts w:ascii="Times New Roman" w:hAnsi="Times New Roman" w:cs="Times New Roman"/>
          <w:sz w:val="24"/>
          <w:szCs w:val="24"/>
        </w:rPr>
        <w:fldChar w:fldCharType="end"/>
      </w:r>
      <w:r w:rsidRPr="002E26D2">
        <w:rPr>
          <w:rFonts w:ascii="Times New Roman" w:hAnsi="Times New Roman" w:cs="Times New Roman"/>
          <w:sz w:val="24"/>
          <w:szCs w:val="24"/>
        </w:rPr>
        <w:t>). Cancerous and non-cancerous human cell lines were selected upon their tissue of origin to represent the diversity of human tissues. Cells were thawed (</w:t>
      </w:r>
      <w:r w:rsidR="00E4153A">
        <w:rPr>
          <w:rFonts w:ascii="Times New Roman" w:hAnsi="Times New Roman" w:cs="Times New Roman"/>
          <w:sz w:val="24"/>
          <w:szCs w:val="24"/>
        </w:rPr>
        <w:t>section</w:t>
      </w:r>
      <w:r w:rsidR="002F0FF1">
        <w:rPr>
          <w:rFonts w:ascii="Times New Roman" w:hAnsi="Times New Roman" w:cs="Times New Roman"/>
          <w:sz w:val="24"/>
          <w:szCs w:val="24"/>
        </w:rPr>
        <w:t xml:space="preserve">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_Ref105767963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3.2.2.3</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in the appropriate complete media (</w:t>
      </w:r>
      <w:r w:rsidR="008D4E4E" w:rsidRPr="002E26D2">
        <w:rPr>
          <w:rFonts w:ascii="Times New Roman" w:hAnsi="Times New Roman" w:cs="Times New Roman"/>
          <w:sz w:val="24"/>
          <w:szCs w:val="24"/>
        </w:rPr>
        <w:fldChar w:fldCharType="begin"/>
      </w:r>
      <w:r w:rsidR="008D4E4E" w:rsidRPr="002E26D2">
        <w:rPr>
          <w:rFonts w:ascii="Times New Roman" w:hAnsi="Times New Roman" w:cs="Times New Roman"/>
          <w:sz w:val="24"/>
          <w:szCs w:val="24"/>
        </w:rPr>
        <w:instrText xml:space="preserve"> REF _Ref106008760 \h </w:instrText>
      </w:r>
      <w:r w:rsidR="002E26D2" w:rsidRPr="002E26D2">
        <w:rPr>
          <w:rFonts w:ascii="Times New Roman" w:hAnsi="Times New Roman" w:cs="Times New Roman"/>
          <w:sz w:val="24"/>
          <w:szCs w:val="24"/>
        </w:rPr>
        <w:instrText xml:space="preserve"> \* MERGEFORMAT </w:instrText>
      </w:r>
      <w:r w:rsidR="008D4E4E" w:rsidRPr="002E26D2">
        <w:rPr>
          <w:rFonts w:ascii="Times New Roman" w:hAnsi="Times New Roman" w:cs="Times New Roman"/>
          <w:sz w:val="24"/>
          <w:szCs w:val="24"/>
        </w:rPr>
      </w:r>
      <w:r w:rsidR="008D4E4E"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10</w:t>
      </w:r>
      <w:r w:rsidR="008D4E4E" w:rsidRPr="002E26D2">
        <w:rPr>
          <w:rFonts w:ascii="Times New Roman" w:hAnsi="Times New Roman" w:cs="Times New Roman"/>
          <w:sz w:val="24"/>
          <w:szCs w:val="24"/>
        </w:rPr>
        <w:fldChar w:fldCharType="end"/>
      </w:r>
      <w:r w:rsidRPr="002E26D2">
        <w:rPr>
          <w:rFonts w:ascii="Times New Roman" w:hAnsi="Times New Roman" w:cs="Times New Roman"/>
          <w:sz w:val="24"/>
          <w:szCs w:val="24"/>
        </w:rPr>
        <w:t>), cultured in 6-well plate and allowed to grow for 15 days (</w:t>
      </w:r>
      <w:r w:rsidR="00E4153A">
        <w:rPr>
          <w:rFonts w:ascii="Times New Roman" w:hAnsi="Times New Roman" w:cs="Times New Roman"/>
          <w:sz w:val="24"/>
          <w:szCs w:val="24"/>
        </w:rPr>
        <w:t xml:space="preserve">section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_Ref105767641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3.2.2.2.1</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On the day of the experiment, upon cells reaching 80-90% confluency, cells were collected (</w:t>
      </w:r>
      <w:r w:rsidR="00E4153A">
        <w:rPr>
          <w:rFonts w:ascii="Times New Roman" w:hAnsi="Times New Roman" w:cs="Times New Roman"/>
          <w:sz w:val="24"/>
          <w:szCs w:val="24"/>
        </w:rPr>
        <w:t xml:space="preserve">section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_Ref105767648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proteins were extracted (</w:t>
      </w:r>
      <w:r w:rsidR="00E4153A">
        <w:rPr>
          <w:rFonts w:ascii="Times New Roman" w:hAnsi="Times New Roman" w:cs="Times New Roman"/>
          <w:sz w:val="24"/>
          <w:szCs w:val="24"/>
        </w:rPr>
        <w:t xml:space="preserve">section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_Ref105768293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3.2.3.1</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and 20 µg of the cell lysate was analyzed by Western blot (</w:t>
      </w:r>
      <w:r w:rsidR="00E4153A">
        <w:rPr>
          <w:rFonts w:ascii="Times New Roman" w:hAnsi="Times New Roman" w:cs="Times New Roman"/>
          <w:sz w:val="24"/>
          <w:szCs w:val="24"/>
        </w:rPr>
        <w:t xml:space="preserve">section </w:t>
      </w:r>
      <w:r w:rsidR="00AC1FD4" w:rsidRPr="002E26D2">
        <w:rPr>
          <w:rFonts w:ascii="Times New Roman" w:hAnsi="Times New Roman" w:cs="Times New Roman"/>
          <w:sz w:val="24"/>
          <w:szCs w:val="24"/>
        </w:rPr>
        <w:fldChar w:fldCharType="begin"/>
      </w:r>
      <w:r w:rsidR="00AC1FD4" w:rsidRPr="002E26D2">
        <w:rPr>
          <w:rFonts w:ascii="Times New Roman" w:hAnsi="Times New Roman" w:cs="Times New Roman"/>
          <w:sz w:val="24"/>
          <w:szCs w:val="24"/>
        </w:rPr>
        <w:instrText xml:space="preserve"> REF _Ref105767593 \r \h </w:instrText>
      </w:r>
      <w:r w:rsidR="002E26D2" w:rsidRPr="002E26D2">
        <w:rPr>
          <w:rFonts w:ascii="Times New Roman" w:hAnsi="Times New Roman" w:cs="Times New Roman"/>
          <w:sz w:val="24"/>
          <w:szCs w:val="24"/>
        </w:rPr>
        <w:instrText xml:space="preserve"> \* MERGEFORMAT </w:instrText>
      </w:r>
      <w:r w:rsidR="00AC1FD4" w:rsidRPr="002E26D2">
        <w:rPr>
          <w:rFonts w:ascii="Times New Roman" w:hAnsi="Times New Roman" w:cs="Times New Roman"/>
          <w:sz w:val="24"/>
          <w:szCs w:val="24"/>
        </w:rPr>
      </w:r>
      <w:r w:rsidR="00AC1FD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AC1FD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using anti-NME6 and anti-Actin antibodies. </w:t>
      </w:r>
    </w:p>
    <w:p w14:paraId="4F989BF2" w14:textId="5C3B902C" w:rsidR="000B3AF7" w:rsidRPr="002E26D2" w:rsidRDefault="000B3AF7" w:rsidP="002E2D58">
      <w:pPr>
        <w:pStyle w:val="Heading4"/>
      </w:pPr>
      <w:bookmarkStart w:id="142" w:name="_Ref105769544"/>
      <w:bookmarkStart w:id="143" w:name="_Toc117153862"/>
      <w:r w:rsidRPr="002E26D2">
        <w:t>NDPK activity</w:t>
      </w:r>
      <w:bookmarkEnd w:id="142"/>
      <w:bookmarkEnd w:id="143"/>
    </w:p>
    <w:p w14:paraId="2CA37080" w14:textId="6FC08CEF"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NDP kinase activity assay of purified NME1-His, NME6-186-His and NME6-194-His recombinant proteins was performed using the pyruvate kinase-lactate dehydrogenase coupled assay, described by Agarwal </w:t>
      </w:r>
      <w:r w:rsidR="00E9338D">
        <w:rPr>
          <w:rFonts w:ascii="Times New Roman" w:hAnsi="Times New Roman" w:cs="Times New Roman"/>
          <w:sz w:val="24"/>
          <w:szCs w:val="24"/>
        </w:rPr>
        <w:t>et al.</w:t>
      </w:r>
      <w:r w:rsidR="00DD421F">
        <w:rPr>
          <w:rFonts w:ascii="Times New Roman" w:hAnsi="Times New Roman" w:cs="Times New Roman"/>
          <w:sz w:val="24"/>
          <w:szCs w:val="24"/>
        </w:rPr>
        <w:t xml:space="preserve"> </w:t>
      </w:r>
      <w:r w:rsidR="00DD421F">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{"citationItems":[{"id":"ITEM-1","itemData":{"DOI":"10.1016/S0076-6879(78)51051-3","ISSN":"0076-6879","PMID":"211386","abstract":"This chapter describes the purification procedure of nucleoside diphosphokinase enzyme from human erythrocytes. The term “nucleoside diphosphokinase” (NDP kinase) is applied to a family of enzymes that catalyze the transfer of the terminal phosphate groups of 5'-triphosphate nucleotides to 5'-diphosphate nucleotides, where N1 and N2 are purine or pyrimidine ribo- or deoxyribonucleosides. All nucleoside-diphosphate (NDP) kinases function through the formation of enzyme-bound high-energy phosphate intermediates. The early attempts to purify human erythrocytic NDP kinase involved the use of diethylaminoethyl (DEAE)-cellulose (phosphate) as the initial step to separate enzyme from hemoglobin. Further purification of this preparation yielded a homogeneous NDP kinase with a specific activity of about 70. Alternative methods for the measurement of NDP kinase activity include isotopic, staining, and coupled enzymic procedures. Any enzyme that functions through a high-energy phosphate-enzyme intermediate that has low specificity for nucleotide substrates, is capable of catalyzing the NDP kinase reaction. © 1978, Elsevier Inc. All rights reserved.","author":[{"dropping-particle":"","family":"Agarwal","given":"R.P.","non-dropping-particle":"","parse-names":false,"suffix":""},{"dropping-particle":"","family":"Robison","given":"Bonnie","non-dropping-particle":"","parse-names":false,"suffix":""},{"dropping-particle":"","family":"Parks","given":"R.E.","non-dropping-particle":"","parse-names":false,"suffix":""}],"container-title":"Methods in enzymology","id":"ITEM-1","issued":{"date-parts":[["1978"]]},"page":"376-386","title":"[49] Nucleoside diphosphokinase from human erythrocytes","type":"chapter","volume":"51"},"uris":["http://www.mendeley.com/documents/?uuid=95505908-a2be-4d64-8a11-30099a57862b"]}],"mendeley":{"formattedCitation":"[130]","plainTextFormattedCitation":"[130]","previouslyFormattedCitation":"[130]"},"properties":{"noteIndex":0},"schema":"https://github.com/citation-style-language/schema/raw/master/csl-citation.json"}</w:instrText>
      </w:r>
      <w:r w:rsidR="00DD421F">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[130]</w:t>
      </w:r>
      <w:r w:rsidR="00DD421F">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with minor modifications. </w:t>
      </w:r>
    </w:p>
    <w:p w14:paraId="151FB352" w14:textId="029D4A01"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NME6-His proteins were produced according to (</w:t>
      </w:r>
      <w:r w:rsidR="006B41EB">
        <w:rPr>
          <w:rFonts w:ascii="Times New Roman" w:hAnsi="Times New Roman" w:cs="Times New Roman"/>
          <w:sz w:val="24"/>
          <w:szCs w:val="24"/>
        </w:rPr>
        <w:t xml:space="preserve">section </w:t>
      </w:r>
      <w:r w:rsidR="00A454ED" w:rsidRPr="002E26D2">
        <w:rPr>
          <w:rFonts w:ascii="Times New Roman" w:hAnsi="Times New Roman" w:cs="Times New Roman"/>
          <w:sz w:val="24"/>
          <w:szCs w:val="24"/>
        </w:rPr>
        <w:fldChar w:fldCharType="begin"/>
      </w:r>
      <w:r w:rsidR="00A454ED" w:rsidRPr="002E26D2">
        <w:rPr>
          <w:rFonts w:ascii="Times New Roman" w:hAnsi="Times New Roman" w:cs="Times New Roman"/>
          <w:sz w:val="24"/>
          <w:szCs w:val="24"/>
        </w:rPr>
        <w:instrText xml:space="preserve"> REF _Ref105768323 \r \h </w:instrText>
      </w:r>
      <w:r w:rsidR="002E26D2" w:rsidRPr="002E26D2">
        <w:rPr>
          <w:rFonts w:ascii="Times New Roman" w:hAnsi="Times New Roman" w:cs="Times New Roman"/>
          <w:sz w:val="24"/>
          <w:szCs w:val="24"/>
        </w:rPr>
        <w:instrText xml:space="preserve"> \* MERGEFORMAT </w:instrText>
      </w:r>
      <w:r w:rsidR="00A454ED" w:rsidRPr="002E26D2">
        <w:rPr>
          <w:rFonts w:ascii="Times New Roman" w:hAnsi="Times New Roman" w:cs="Times New Roman"/>
          <w:sz w:val="24"/>
          <w:szCs w:val="24"/>
        </w:rPr>
      </w:r>
      <w:r w:rsidR="00A454ED"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3.2.1.3</w:t>
      </w:r>
      <w:r w:rsidR="00A454ED"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while NME1-His protein was a kind gift from Dr.sc. Helena Ćetković. All buffers were freshly prepared on the day of the experiment and kept at 4 °C in </w:t>
      </w:r>
      <w:r w:rsidR="00DD421F">
        <w:rPr>
          <w:rFonts w:ascii="Times New Roman" w:hAnsi="Times New Roman" w:cs="Times New Roman"/>
          <w:sz w:val="24"/>
          <w:szCs w:val="24"/>
        </w:rPr>
        <w:t xml:space="preserve">the </w:t>
      </w:r>
      <w:r w:rsidRPr="002E26D2">
        <w:rPr>
          <w:rFonts w:ascii="Times New Roman" w:hAnsi="Times New Roman" w:cs="Times New Roman"/>
          <w:sz w:val="24"/>
          <w:szCs w:val="24"/>
        </w:rPr>
        <w:t>dark. Experiments were performed at room temperature in a 1 cm quartz cuvette containing 512</w:t>
      </w:r>
      <w:r w:rsidR="00E251A2">
        <w:rPr>
          <w:rFonts w:ascii="Times New Roman" w:hAnsi="Times New Roman" w:cs="Times New Roman"/>
          <w:sz w:val="24"/>
          <w:szCs w:val="24"/>
        </w:rPr>
        <w:t>.</w:t>
      </w:r>
      <w:r w:rsidRPr="002E26D2">
        <w:rPr>
          <w:rFonts w:ascii="Times New Roman" w:hAnsi="Times New Roman" w:cs="Times New Roman"/>
          <w:sz w:val="24"/>
          <w:szCs w:val="24"/>
        </w:rPr>
        <w:t>5 µL of reaction mixture composed of 50 mM Tris-HCl pH 7.5, 75 mM KCl, 5 mM MgCl</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 xml:space="preserve">, 1 mg/mL </w:t>
      </w:r>
      <w:r w:rsidR="00631FE8">
        <w:rPr>
          <w:rFonts w:ascii="Times New Roman" w:hAnsi="Times New Roman" w:cs="Times New Roman"/>
          <w:sz w:val="24"/>
          <w:szCs w:val="24"/>
        </w:rPr>
        <w:t>BSA</w:t>
      </w:r>
      <w:r w:rsidRPr="002E26D2">
        <w:rPr>
          <w:rFonts w:ascii="Times New Roman" w:hAnsi="Times New Roman" w:cs="Times New Roman"/>
          <w:sz w:val="24"/>
          <w:szCs w:val="24"/>
        </w:rPr>
        <w:t>, 1 mM phosphoenolpyruvate, 0.45 mM NADH, 1 mM ATP, 0.2 mM dTDP, 2 units of pyruvate kinase, 2.5 units of lactate dehydrogenase and 200 ng of the recombinant NME protein. The experiment follows the degradation of NADH by measuring the decrease of its absorbance at 340 nm, which is directly dependent on the NDPK activity of NME proteins according to the following reaction scheme</w:t>
      </w:r>
      <w:r w:rsidR="00C15586" w:rsidRPr="002E26D2">
        <w:rPr>
          <w:rFonts w:ascii="Times New Roman" w:hAnsi="Times New Roman" w:cs="Times New Roman"/>
          <w:sz w:val="24"/>
          <w:szCs w:val="24"/>
        </w:rPr>
        <w:t xml:space="preserve">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_Ref106009396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17</w:t>
      </w:r>
      <w:r w:rsidR="00C15586" w:rsidRPr="002E26D2">
        <w:rPr>
          <w:rFonts w:ascii="Times New Roman" w:hAnsi="Times New Roman" w:cs="Times New Roman"/>
          <w:sz w:val="24"/>
          <w:szCs w:val="24"/>
        </w:rPr>
        <w:fldChar w:fldCharType="end"/>
      </w:r>
      <w:r w:rsidR="00C15586" w:rsidRPr="002E26D2">
        <w:rPr>
          <w:rFonts w:ascii="Times New Roman" w:hAnsi="Times New Roman" w:cs="Times New Roman"/>
          <w:sz w:val="24"/>
          <w:szCs w:val="24"/>
        </w:rPr>
        <w:t>).</w:t>
      </w:r>
    </w:p>
    <w:p w14:paraId="73B03D41" w14:textId="77777777" w:rsidR="00716C4F"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300C8E80" wp14:editId="37B0B197">
            <wp:extent cx="5760000" cy="1984667"/>
            <wp:effectExtent l="19050" t="19050" r="1270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000" cy="1984667"/>
                    </a:xfrm>
                    <a:prstGeom prst="rect">
                      <a:avLst/>
                    </a:prstGeom>
                    <a:ln>
                      <a:solidFill>
                        <a:schemeClr val="tx1"/>
                      </a:solidFill>
                    </a:ln>
                  </pic:spPr>
                </pic:pic>
              </a:graphicData>
            </a:graphic>
          </wp:inline>
        </w:drawing>
      </w:r>
    </w:p>
    <w:p w14:paraId="20CD1A25" w14:textId="4FED4239" w:rsidR="00717493" w:rsidRPr="002E26D2" w:rsidRDefault="00716C4F" w:rsidP="004927BB">
      <w:pPr>
        <w:pStyle w:val="Caption"/>
        <w:spacing w:line="360" w:lineRule="auto"/>
        <w:rPr>
          <w:rFonts w:ascii="Times New Roman" w:hAnsi="Times New Roman" w:cs="Times New Roman"/>
          <w:sz w:val="24"/>
          <w:szCs w:val="24"/>
        </w:rPr>
      </w:pPr>
      <w:bookmarkStart w:id="144" w:name="_Ref10600939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17</w:t>
      </w:r>
      <w:r w:rsidRPr="002E26D2">
        <w:rPr>
          <w:rFonts w:ascii="Times New Roman" w:hAnsi="Times New Roman" w:cs="Times New Roman"/>
          <w:sz w:val="24"/>
          <w:szCs w:val="24"/>
        </w:rPr>
        <w:fldChar w:fldCharType="end"/>
      </w:r>
      <w:bookmarkEnd w:id="144"/>
      <w:r w:rsidRPr="002E26D2">
        <w:rPr>
          <w:rFonts w:ascii="Times New Roman" w:hAnsi="Times New Roman" w:cs="Times New Roman"/>
          <w:sz w:val="24"/>
          <w:szCs w:val="24"/>
        </w:rPr>
        <w:t xml:space="preserve"> </w:t>
      </w:r>
      <w:r w:rsidRPr="0047390E">
        <w:rPr>
          <w:rFonts w:ascii="Times New Roman" w:hAnsi="Times New Roman" w:cs="Times New Roman"/>
          <w:sz w:val="24"/>
          <w:szCs w:val="24"/>
          <w:u w:val="single"/>
        </w:rPr>
        <w:t>:</w:t>
      </w:r>
      <w:r w:rsidR="00717493" w:rsidRPr="0047390E">
        <w:rPr>
          <w:rFonts w:ascii="Times New Roman" w:hAnsi="Times New Roman" w:cs="Times New Roman"/>
          <w:sz w:val="24"/>
          <w:szCs w:val="24"/>
          <w:u w:val="single"/>
        </w:rPr>
        <w:t xml:space="preserve"> Pyruvate kinase-lactate dehydrogenase coupled assay.</w:t>
      </w:r>
      <w:r w:rsidR="00717493" w:rsidRPr="002E26D2">
        <w:rPr>
          <w:rFonts w:ascii="Times New Roman" w:hAnsi="Times New Roman" w:cs="Times New Roman"/>
          <w:sz w:val="24"/>
          <w:szCs w:val="24"/>
        </w:rPr>
        <w:t xml:space="preserve"> The assay is composed of three enzymatic reactions process</w:t>
      </w:r>
      <w:r w:rsidR="00DD421F">
        <w:rPr>
          <w:rFonts w:ascii="Times New Roman" w:hAnsi="Times New Roman" w:cs="Times New Roman"/>
          <w:sz w:val="24"/>
          <w:szCs w:val="24"/>
        </w:rPr>
        <w:t>ed</w:t>
      </w:r>
      <w:r w:rsidR="00717493" w:rsidRPr="002E26D2">
        <w:rPr>
          <w:rFonts w:ascii="Times New Roman" w:hAnsi="Times New Roman" w:cs="Times New Roman"/>
          <w:sz w:val="24"/>
          <w:szCs w:val="24"/>
        </w:rPr>
        <w:t xml:space="preserve"> by NME protein (NDPK), pyruvate kinase (PK) and lactate dehydrogenase (LDH). The production of ADP by NDPK activity (m</w:t>
      </w:r>
      <w:r w:rsidR="00457225" w:rsidRPr="002E26D2">
        <w:rPr>
          <w:rFonts w:ascii="Times New Roman" w:hAnsi="Times New Roman" w:cs="Times New Roman"/>
          <w:sz w:val="24"/>
          <w:szCs w:val="24"/>
        </w:rPr>
        <w:t>ai</w:t>
      </w:r>
      <w:r w:rsidR="00717493" w:rsidRPr="002E26D2">
        <w:rPr>
          <w:rFonts w:ascii="Times New Roman" w:hAnsi="Times New Roman" w:cs="Times New Roman"/>
          <w:sz w:val="24"/>
          <w:szCs w:val="24"/>
        </w:rPr>
        <w:t>n reaction) will trigger the hel</w:t>
      </w:r>
      <w:r w:rsidR="00457225" w:rsidRPr="002E26D2">
        <w:rPr>
          <w:rFonts w:ascii="Times New Roman" w:hAnsi="Times New Roman" w:cs="Times New Roman"/>
          <w:sz w:val="24"/>
          <w:szCs w:val="24"/>
        </w:rPr>
        <w:t>p</w:t>
      </w:r>
      <w:r w:rsidR="00717493" w:rsidRPr="002E26D2">
        <w:rPr>
          <w:rFonts w:ascii="Times New Roman" w:hAnsi="Times New Roman" w:cs="Times New Roman"/>
          <w:sz w:val="24"/>
          <w:szCs w:val="24"/>
        </w:rPr>
        <w:t xml:space="preserve">ing and the indicative reaction, </w:t>
      </w:r>
      <w:r w:rsidR="0074282E" w:rsidRPr="002E26D2">
        <w:rPr>
          <w:rFonts w:ascii="Times New Roman" w:hAnsi="Times New Roman" w:cs="Times New Roman"/>
          <w:sz w:val="24"/>
          <w:szCs w:val="24"/>
        </w:rPr>
        <w:t>eventually leading to the degradation of NADH. The decrease of NADH absorbance, directly proportional to NDPK activity, is followed at</w:t>
      </w:r>
      <w:r w:rsidR="0011755E">
        <w:rPr>
          <w:rFonts w:ascii="Times New Roman" w:hAnsi="Times New Roman" w:cs="Times New Roman"/>
          <w:sz w:val="24"/>
          <w:szCs w:val="24"/>
        </w:rPr>
        <w:t xml:space="preserve"> </w:t>
      </w:r>
      <w:r w:rsidR="0074282E" w:rsidRPr="002E26D2">
        <w:rPr>
          <w:rFonts w:ascii="Times New Roman" w:hAnsi="Times New Roman" w:cs="Times New Roman"/>
          <w:sz w:val="24"/>
          <w:szCs w:val="24"/>
        </w:rPr>
        <w:t>340</w:t>
      </w:r>
      <w:r w:rsidR="0011755E">
        <w:rPr>
          <w:rFonts w:ascii="Times New Roman" w:hAnsi="Times New Roman" w:cs="Times New Roman"/>
          <w:sz w:val="24"/>
          <w:szCs w:val="24"/>
        </w:rPr>
        <w:t> </w:t>
      </w:r>
      <w:r w:rsidR="0074282E" w:rsidRPr="002E26D2">
        <w:rPr>
          <w:rFonts w:ascii="Times New Roman" w:hAnsi="Times New Roman" w:cs="Times New Roman"/>
          <w:sz w:val="24"/>
          <w:szCs w:val="24"/>
        </w:rPr>
        <w:t>nm.</w:t>
      </w:r>
    </w:p>
    <w:p w14:paraId="364FCD82" w14:textId="01E36E8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On the day of the experiment, a standard mixture was prepared for each protein tested, in a volume large enough to allow at minima triplicates</w:t>
      </w:r>
      <w:r w:rsidR="00853A92">
        <w:rPr>
          <w:rFonts w:ascii="Times New Roman" w:hAnsi="Times New Roman" w:cs="Times New Roman"/>
          <w:sz w:val="24"/>
          <w:szCs w:val="24"/>
        </w:rPr>
        <w:t xml:space="preserve"> from the same standard mixture</w:t>
      </w:r>
      <w:r w:rsidR="00334DC8" w:rsidRPr="002E26D2">
        <w:rPr>
          <w:rFonts w:ascii="Times New Roman" w:hAnsi="Times New Roman" w:cs="Times New Roman"/>
          <w:sz w:val="24"/>
          <w:szCs w:val="24"/>
        </w:rPr>
        <w:t xml:space="preserve"> (</w:t>
      </w:r>
      <w:r w:rsidR="0062035C" w:rsidRPr="002E26D2">
        <w:rPr>
          <w:rFonts w:ascii="Times New Roman" w:hAnsi="Times New Roman" w:cs="Times New Roman"/>
          <w:sz w:val="24"/>
          <w:szCs w:val="24"/>
        </w:rPr>
        <w:fldChar w:fldCharType="begin"/>
      </w:r>
      <w:r w:rsidR="0062035C" w:rsidRPr="002E26D2">
        <w:rPr>
          <w:rFonts w:ascii="Times New Roman" w:hAnsi="Times New Roman" w:cs="Times New Roman"/>
          <w:sz w:val="24"/>
          <w:szCs w:val="24"/>
        </w:rPr>
        <w:instrText xml:space="preserve"> REF _Ref106008956 \h </w:instrText>
      </w:r>
      <w:r w:rsidR="002E26D2" w:rsidRPr="002E26D2">
        <w:rPr>
          <w:rFonts w:ascii="Times New Roman" w:hAnsi="Times New Roman" w:cs="Times New Roman"/>
          <w:sz w:val="24"/>
          <w:szCs w:val="24"/>
        </w:rPr>
        <w:instrText xml:space="preserve"> \* MERGEFORMAT </w:instrText>
      </w:r>
      <w:r w:rsidR="0062035C" w:rsidRPr="002E26D2">
        <w:rPr>
          <w:rFonts w:ascii="Times New Roman" w:hAnsi="Times New Roman" w:cs="Times New Roman"/>
          <w:sz w:val="24"/>
          <w:szCs w:val="24"/>
        </w:rPr>
      </w:r>
      <w:r w:rsidR="0062035C"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24</w:t>
      </w:r>
      <w:r w:rsidR="0062035C" w:rsidRPr="002E26D2">
        <w:rPr>
          <w:rFonts w:ascii="Times New Roman" w:hAnsi="Times New Roman" w:cs="Times New Roman"/>
          <w:sz w:val="24"/>
          <w:szCs w:val="24"/>
        </w:rPr>
        <w:fldChar w:fldCharType="end"/>
      </w:r>
      <w:r w:rsidR="00334DC8" w:rsidRPr="002E26D2">
        <w:rPr>
          <w:rFonts w:ascii="Times New Roman" w:hAnsi="Times New Roman" w:cs="Times New Roman"/>
          <w:sz w:val="24"/>
          <w:szCs w:val="24"/>
        </w:rPr>
        <w:t>)</w:t>
      </w:r>
      <w:r w:rsidRPr="002E26D2">
        <w:rPr>
          <w:rFonts w:ascii="Times New Roman" w:hAnsi="Times New Roman" w:cs="Times New Roman"/>
          <w:sz w:val="24"/>
          <w:szCs w:val="24"/>
        </w:rPr>
        <w:t>.</w:t>
      </w:r>
    </w:p>
    <w:p w14:paraId="4B376228" w14:textId="27626E90" w:rsidR="000E041E" w:rsidRPr="002E26D2" w:rsidRDefault="000E041E" w:rsidP="004927BB">
      <w:pPr>
        <w:pStyle w:val="Caption"/>
        <w:keepNext/>
        <w:spacing w:line="360" w:lineRule="auto"/>
        <w:rPr>
          <w:rFonts w:ascii="Times New Roman" w:hAnsi="Times New Roman" w:cs="Times New Roman"/>
          <w:sz w:val="24"/>
          <w:szCs w:val="24"/>
        </w:rPr>
      </w:pPr>
      <w:bookmarkStart w:id="145" w:name="_Ref106008956"/>
      <w:r w:rsidRPr="002E26D2">
        <w:rPr>
          <w:rFonts w:ascii="Times New Roman" w:hAnsi="Times New Roman" w:cs="Times New Roman"/>
          <w:sz w:val="24"/>
          <w:szCs w:val="24"/>
        </w:rPr>
        <w:t xml:space="preserve">Table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Table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24</w:t>
      </w:r>
      <w:r w:rsidRPr="002E26D2">
        <w:rPr>
          <w:rFonts w:ascii="Times New Roman" w:hAnsi="Times New Roman" w:cs="Times New Roman"/>
          <w:sz w:val="24"/>
          <w:szCs w:val="24"/>
        </w:rPr>
        <w:fldChar w:fldCharType="end"/>
      </w:r>
      <w:bookmarkEnd w:id="145"/>
      <w:r w:rsidRPr="002E26D2">
        <w:rPr>
          <w:rFonts w:ascii="Times New Roman" w:hAnsi="Times New Roman" w:cs="Times New Roman"/>
          <w:sz w:val="24"/>
          <w:szCs w:val="24"/>
        </w:rPr>
        <w:t xml:space="preserve"> : Preparation of standard mixture used in the NDPK repeated measures</w:t>
      </w:r>
    </w:p>
    <w:tbl>
      <w:tblPr>
        <w:tblStyle w:val="TableGrid"/>
        <w:tblW w:w="0" w:type="auto"/>
        <w:jc w:val="center"/>
        <w:tblLook w:val="04A0" w:firstRow="1" w:lastRow="0" w:firstColumn="1" w:lastColumn="0" w:noHBand="0" w:noVBand="1"/>
      </w:tblPr>
      <w:tblGrid>
        <w:gridCol w:w="1823"/>
        <w:gridCol w:w="1641"/>
      </w:tblGrid>
      <w:tr w:rsidR="000B3AF7" w:rsidRPr="002E26D2" w14:paraId="4A429380" w14:textId="77777777" w:rsidTr="00DD421F">
        <w:trPr>
          <w:jc w:val="center"/>
        </w:trPr>
        <w:tc>
          <w:tcPr>
            <w:tcW w:w="0" w:type="auto"/>
          </w:tcPr>
          <w:p w14:paraId="6B100ECC" w14:textId="73DF4389"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5</w:t>
            </w:r>
            <w:r w:rsidR="00C6769A" w:rsidRPr="002E26D2">
              <w:rPr>
                <w:rFonts w:ascii="Times New Roman" w:hAnsi="Times New Roman" w:cs="Times New Roman"/>
                <w:sz w:val="24"/>
                <w:szCs w:val="24"/>
              </w:rPr>
              <w:t>×</w:t>
            </w:r>
            <w:r w:rsidRPr="002E26D2">
              <w:rPr>
                <w:rFonts w:ascii="Times New Roman" w:hAnsi="Times New Roman" w:cs="Times New Roman"/>
                <w:sz w:val="24"/>
                <w:szCs w:val="24"/>
              </w:rPr>
              <w:t xml:space="preserve"> TKM</w:t>
            </w:r>
          </w:p>
        </w:tc>
        <w:tc>
          <w:tcPr>
            <w:tcW w:w="0" w:type="auto"/>
          </w:tcPr>
          <w:p w14:paraId="6214926F" w14:textId="54CC488B"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600</w:t>
            </w:r>
            <w:r w:rsidR="00DD421F">
              <w:rPr>
                <w:rFonts w:ascii="Times New Roman" w:hAnsi="Times New Roman" w:cs="Times New Roman"/>
                <w:sz w:val="24"/>
                <w:szCs w:val="24"/>
              </w:rPr>
              <w:t xml:space="preserve"> </w:t>
            </w:r>
            <w:r w:rsidR="00DD421F" w:rsidRPr="002E26D2">
              <w:rPr>
                <w:rFonts w:ascii="Times New Roman" w:hAnsi="Times New Roman" w:cs="Times New Roman"/>
                <w:sz w:val="24"/>
                <w:szCs w:val="24"/>
              </w:rPr>
              <w:t>µL</w:t>
            </w:r>
          </w:p>
        </w:tc>
      </w:tr>
      <w:tr w:rsidR="000B3AF7" w:rsidRPr="002E26D2" w14:paraId="19F86E97" w14:textId="77777777" w:rsidTr="00DD421F">
        <w:trPr>
          <w:jc w:val="center"/>
        </w:trPr>
        <w:tc>
          <w:tcPr>
            <w:tcW w:w="0" w:type="auto"/>
          </w:tcPr>
          <w:p w14:paraId="772173E8"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LDH 12.5 U/mL</w:t>
            </w:r>
          </w:p>
        </w:tc>
        <w:tc>
          <w:tcPr>
            <w:tcW w:w="0" w:type="auto"/>
          </w:tcPr>
          <w:p w14:paraId="59688663" w14:textId="41DD1388"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1.2</w:t>
            </w:r>
            <w:r w:rsidR="00DD421F">
              <w:rPr>
                <w:rFonts w:ascii="Times New Roman" w:hAnsi="Times New Roman" w:cs="Times New Roman"/>
                <w:sz w:val="24"/>
                <w:szCs w:val="24"/>
              </w:rPr>
              <w:t xml:space="preserve"> </w:t>
            </w:r>
            <w:r w:rsidR="00DD421F" w:rsidRPr="002E26D2">
              <w:rPr>
                <w:rFonts w:ascii="Times New Roman" w:hAnsi="Times New Roman" w:cs="Times New Roman"/>
                <w:sz w:val="24"/>
                <w:szCs w:val="24"/>
              </w:rPr>
              <w:t>µL</w:t>
            </w:r>
          </w:p>
        </w:tc>
      </w:tr>
      <w:tr w:rsidR="000B3AF7" w:rsidRPr="002E26D2" w14:paraId="3CE02E0B" w14:textId="77777777" w:rsidTr="00DD421F">
        <w:trPr>
          <w:jc w:val="center"/>
        </w:trPr>
        <w:tc>
          <w:tcPr>
            <w:tcW w:w="0" w:type="auto"/>
          </w:tcPr>
          <w:p w14:paraId="6AB75C8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NADH 15 mM</w:t>
            </w:r>
          </w:p>
        </w:tc>
        <w:tc>
          <w:tcPr>
            <w:tcW w:w="0" w:type="auto"/>
          </w:tcPr>
          <w:p w14:paraId="1765F121" w14:textId="2D3762D1"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30</w:t>
            </w:r>
            <w:r w:rsidR="00DD421F">
              <w:rPr>
                <w:rFonts w:ascii="Times New Roman" w:hAnsi="Times New Roman" w:cs="Times New Roman"/>
                <w:sz w:val="24"/>
                <w:szCs w:val="24"/>
              </w:rPr>
              <w:t xml:space="preserve"> </w:t>
            </w:r>
            <w:r w:rsidR="00DD421F" w:rsidRPr="002E26D2">
              <w:rPr>
                <w:rFonts w:ascii="Times New Roman" w:hAnsi="Times New Roman" w:cs="Times New Roman"/>
                <w:sz w:val="24"/>
                <w:szCs w:val="24"/>
              </w:rPr>
              <w:t>µL</w:t>
            </w:r>
          </w:p>
        </w:tc>
      </w:tr>
      <w:tr w:rsidR="000B3AF7" w:rsidRPr="002E26D2" w14:paraId="1779B41D" w14:textId="77777777" w:rsidTr="00DD421F">
        <w:trPr>
          <w:jc w:val="center"/>
        </w:trPr>
        <w:tc>
          <w:tcPr>
            <w:tcW w:w="0" w:type="auto"/>
          </w:tcPr>
          <w:p w14:paraId="7F53388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PK 1.54 U/mL</w:t>
            </w:r>
          </w:p>
        </w:tc>
        <w:tc>
          <w:tcPr>
            <w:tcW w:w="0" w:type="auto"/>
          </w:tcPr>
          <w:p w14:paraId="36AC9FC2" w14:textId="28F444FF"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7.8</w:t>
            </w:r>
            <w:r w:rsidR="00DD421F">
              <w:rPr>
                <w:rFonts w:ascii="Times New Roman" w:hAnsi="Times New Roman" w:cs="Times New Roman"/>
                <w:sz w:val="24"/>
                <w:szCs w:val="24"/>
              </w:rPr>
              <w:t xml:space="preserve"> </w:t>
            </w:r>
            <w:r w:rsidR="00DD421F" w:rsidRPr="002E26D2">
              <w:rPr>
                <w:rFonts w:ascii="Times New Roman" w:hAnsi="Times New Roman" w:cs="Times New Roman"/>
                <w:sz w:val="24"/>
                <w:szCs w:val="24"/>
              </w:rPr>
              <w:t>µL</w:t>
            </w:r>
          </w:p>
        </w:tc>
      </w:tr>
      <w:tr w:rsidR="000B3AF7" w:rsidRPr="002E26D2" w14:paraId="7B5BFD28" w14:textId="77777777" w:rsidTr="00DD421F">
        <w:trPr>
          <w:jc w:val="center"/>
        </w:trPr>
        <w:tc>
          <w:tcPr>
            <w:tcW w:w="0" w:type="auto"/>
          </w:tcPr>
          <w:p w14:paraId="32FF7FD2"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PEP 100 mM</w:t>
            </w:r>
          </w:p>
        </w:tc>
        <w:tc>
          <w:tcPr>
            <w:tcW w:w="0" w:type="auto"/>
          </w:tcPr>
          <w:p w14:paraId="0ED7797A" w14:textId="60F7241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30</w:t>
            </w:r>
            <w:r w:rsidR="00DD421F">
              <w:rPr>
                <w:rFonts w:ascii="Times New Roman" w:hAnsi="Times New Roman" w:cs="Times New Roman"/>
                <w:sz w:val="24"/>
                <w:szCs w:val="24"/>
              </w:rPr>
              <w:t xml:space="preserve"> </w:t>
            </w:r>
            <w:r w:rsidR="00DD421F" w:rsidRPr="002E26D2">
              <w:rPr>
                <w:rFonts w:ascii="Times New Roman" w:hAnsi="Times New Roman" w:cs="Times New Roman"/>
                <w:sz w:val="24"/>
                <w:szCs w:val="24"/>
              </w:rPr>
              <w:t>µL</w:t>
            </w:r>
          </w:p>
        </w:tc>
      </w:tr>
      <w:tr w:rsidR="000B3AF7" w:rsidRPr="002E26D2" w14:paraId="3B6EE0EA" w14:textId="77777777" w:rsidTr="00DD421F">
        <w:trPr>
          <w:jc w:val="center"/>
        </w:trPr>
        <w:tc>
          <w:tcPr>
            <w:tcW w:w="0" w:type="auto"/>
          </w:tcPr>
          <w:p w14:paraId="130BDE72"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ATP 100 mM</w:t>
            </w:r>
          </w:p>
        </w:tc>
        <w:tc>
          <w:tcPr>
            <w:tcW w:w="0" w:type="auto"/>
          </w:tcPr>
          <w:p w14:paraId="49617914" w14:textId="06E322D3"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30</w:t>
            </w:r>
            <w:r w:rsidR="00DD421F">
              <w:rPr>
                <w:rFonts w:ascii="Times New Roman" w:hAnsi="Times New Roman" w:cs="Times New Roman"/>
                <w:sz w:val="24"/>
                <w:szCs w:val="24"/>
              </w:rPr>
              <w:t xml:space="preserve"> </w:t>
            </w:r>
            <w:r w:rsidR="00DD421F" w:rsidRPr="002E26D2">
              <w:rPr>
                <w:rFonts w:ascii="Times New Roman" w:hAnsi="Times New Roman" w:cs="Times New Roman"/>
                <w:sz w:val="24"/>
                <w:szCs w:val="24"/>
              </w:rPr>
              <w:t>µL</w:t>
            </w:r>
          </w:p>
        </w:tc>
      </w:tr>
      <w:tr w:rsidR="000B3AF7" w:rsidRPr="002E26D2" w14:paraId="706FFD05" w14:textId="77777777" w:rsidTr="00DD421F">
        <w:trPr>
          <w:trHeight w:val="405"/>
          <w:jc w:val="center"/>
        </w:trPr>
        <w:tc>
          <w:tcPr>
            <w:tcW w:w="0" w:type="auto"/>
          </w:tcPr>
          <w:p w14:paraId="27B73305"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NME protein</w:t>
            </w:r>
          </w:p>
        </w:tc>
        <w:tc>
          <w:tcPr>
            <w:tcW w:w="0" w:type="auto"/>
          </w:tcPr>
          <w:p w14:paraId="3A2D21A1"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1.2 µg</w:t>
            </w:r>
          </w:p>
        </w:tc>
      </w:tr>
      <w:tr w:rsidR="000B3AF7" w:rsidRPr="002E26D2" w14:paraId="46803F64" w14:textId="77777777" w:rsidTr="00DD421F">
        <w:trPr>
          <w:jc w:val="center"/>
        </w:trPr>
        <w:tc>
          <w:tcPr>
            <w:tcW w:w="0" w:type="auto"/>
          </w:tcPr>
          <w:p w14:paraId="134A995D"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reH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O</w:t>
            </w:r>
          </w:p>
        </w:tc>
        <w:tc>
          <w:tcPr>
            <w:tcW w:w="0" w:type="auto"/>
          </w:tcPr>
          <w:p w14:paraId="2FEA31AB" w14:textId="1B2EA53F"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Up to 3000</w:t>
            </w:r>
            <w:r w:rsidR="00DD421F">
              <w:rPr>
                <w:rFonts w:ascii="Times New Roman" w:hAnsi="Times New Roman" w:cs="Times New Roman"/>
                <w:sz w:val="24"/>
                <w:szCs w:val="24"/>
              </w:rPr>
              <w:t xml:space="preserve"> </w:t>
            </w:r>
            <w:r w:rsidR="00DD421F" w:rsidRPr="002E26D2">
              <w:rPr>
                <w:rFonts w:ascii="Times New Roman" w:hAnsi="Times New Roman" w:cs="Times New Roman"/>
                <w:sz w:val="24"/>
                <w:szCs w:val="24"/>
              </w:rPr>
              <w:t>µL</w:t>
            </w:r>
          </w:p>
        </w:tc>
      </w:tr>
    </w:tbl>
    <w:p w14:paraId="22B21B11" w14:textId="77777777" w:rsidR="000B3AF7" w:rsidRPr="002E26D2" w:rsidRDefault="000B3AF7" w:rsidP="004927BB">
      <w:pPr>
        <w:spacing w:line="360" w:lineRule="auto"/>
        <w:jc w:val="both"/>
        <w:rPr>
          <w:rFonts w:ascii="Times New Roman" w:hAnsi="Times New Roman" w:cs="Times New Roman"/>
          <w:sz w:val="24"/>
          <w:szCs w:val="24"/>
        </w:rPr>
      </w:pPr>
    </w:p>
    <w:p w14:paraId="25C529ED" w14:textId="5CDB6854"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 xml:space="preserve">Five hundred microliters of the standard mixture (Blank) was loaded in </w:t>
      </w:r>
      <w:r w:rsidR="006C41E7" w:rsidRPr="002F0FF1">
        <w:rPr>
          <w:rFonts w:ascii="Times New Roman" w:hAnsi="Times New Roman" w:cs="Times New Roman"/>
          <w:sz w:val="24"/>
          <w:szCs w:val="24"/>
        </w:rPr>
        <w:t>a</w:t>
      </w:r>
      <w:r w:rsidRPr="002F0FF1">
        <w:rPr>
          <w:rFonts w:ascii="Times New Roman" w:hAnsi="Times New Roman" w:cs="Times New Roman"/>
          <w:sz w:val="24"/>
          <w:szCs w:val="24"/>
        </w:rPr>
        <w:t xml:space="preserve"> 1 cm quartz cuvette and inserted in the ultrospec 2100 pro spectrophotometer in the dark. The apparatus absorbance units (AU.) was set to zero, the acquisition was started (every 10 s at 340 nm) and the mixture was allowed to reach room temperature for 5 min. Then 10 µL of </w:t>
      </w:r>
      <w:r w:rsidR="00157262" w:rsidRPr="002F0FF1">
        <w:rPr>
          <w:rFonts w:ascii="Times New Roman" w:hAnsi="Times New Roman" w:cs="Times New Roman"/>
          <w:sz w:val="24"/>
          <w:szCs w:val="24"/>
        </w:rPr>
        <w:t xml:space="preserve">15 mM </w:t>
      </w:r>
      <w:r w:rsidRPr="002F0FF1">
        <w:rPr>
          <w:rFonts w:ascii="Times New Roman" w:hAnsi="Times New Roman" w:cs="Times New Roman"/>
          <w:sz w:val="24"/>
          <w:szCs w:val="24"/>
        </w:rPr>
        <w:t xml:space="preserve">NADH was added in the cuvette, mixed by pipetting and the absorbance was allowed to stabilize for 2 min. The </w:t>
      </w:r>
      <w:r w:rsidRPr="002F0FF1">
        <w:rPr>
          <w:rFonts w:ascii="Times New Roman" w:hAnsi="Times New Roman" w:cs="Times New Roman"/>
          <w:sz w:val="24"/>
          <w:szCs w:val="24"/>
        </w:rPr>
        <w:lastRenderedPageBreak/>
        <w:t xml:space="preserve">reaction was started by addition of 2.5 µL of </w:t>
      </w:r>
      <w:r w:rsidR="00230319" w:rsidRPr="002F0FF1">
        <w:rPr>
          <w:rFonts w:ascii="Times New Roman" w:hAnsi="Times New Roman" w:cs="Times New Roman"/>
          <w:sz w:val="24"/>
          <w:szCs w:val="24"/>
        </w:rPr>
        <w:t xml:space="preserve">40 mM </w:t>
      </w:r>
      <w:r w:rsidRPr="002F0FF1">
        <w:rPr>
          <w:rFonts w:ascii="Times New Roman" w:hAnsi="Times New Roman" w:cs="Times New Roman"/>
          <w:sz w:val="24"/>
          <w:szCs w:val="24"/>
        </w:rPr>
        <w:t>dTDP and the absorbance was measured for the next 7 min. The final volume of the reaction Vtot was 512.5 µL. NDPK measurements were repeated 6 times over two days.</w:t>
      </w:r>
    </w:p>
    <w:p w14:paraId="7715E931" w14:textId="18A0DDEF"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The maximal speed of</w:t>
      </w:r>
      <w:r w:rsidR="00E9041C">
        <w:rPr>
          <w:rFonts w:ascii="Times New Roman" w:hAnsi="Times New Roman" w:cs="Times New Roman"/>
          <w:sz w:val="24"/>
          <w:szCs w:val="24"/>
        </w:rPr>
        <w:t xml:space="preserve"> the</w:t>
      </w:r>
      <w:r w:rsidRPr="002E26D2">
        <w:rPr>
          <w:rFonts w:ascii="Times New Roman" w:hAnsi="Times New Roman" w:cs="Times New Roman"/>
          <w:sz w:val="24"/>
          <w:szCs w:val="24"/>
        </w:rPr>
        <w:t xml:space="preserve"> decrease</w:t>
      </w:r>
      <w:r w:rsidR="00E9041C">
        <w:rPr>
          <w:rFonts w:ascii="Times New Roman" w:hAnsi="Times New Roman" w:cs="Times New Roman"/>
          <w:sz w:val="24"/>
          <w:szCs w:val="24"/>
        </w:rPr>
        <w:t xml:space="preserve"> of absorbance</w:t>
      </w:r>
      <w:r w:rsidRPr="002E26D2">
        <w:rPr>
          <w:rFonts w:ascii="Times New Roman" w:hAnsi="Times New Roman" w:cs="Times New Roman"/>
          <w:sz w:val="24"/>
          <w:szCs w:val="24"/>
        </w:rPr>
        <w:t xml:space="preserve"> at 340 nm after dTDP induction (ΔAmax) was extracted from the data and used in the calculation of enzyme activity defined by unit per milligram of </w:t>
      </w:r>
      <w:r w:rsidR="006C41E7">
        <w:rPr>
          <w:rFonts w:ascii="Times New Roman" w:hAnsi="Times New Roman" w:cs="Times New Roman"/>
          <w:sz w:val="24"/>
          <w:szCs w:val="24"/>
        </w:rPr>
        <w:t xml:space="preserve">the </w:t>
      </w:r>
      <w:r w:rsidRPr="002E26D2">
        <w:rPr>
          <w:rFonts w:ascii="Times New Roman" w:hAnsi="Times New Roman" w:cs="Times New Roman"/>
          <w:sz w:val="24"/>
          <w:szCs w:val="24"/>
        </w:rPr>
        <w:t>NDPK enzyme (U/mg), as described in the following calculation:</w:t>
      </w:r>
    </w:p>
    <w:p w14:paraId="1EA006AC"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Calculation method:</w:t>
      </w:r>
    </w:p>
    <w:p w14:paraId="7C2CB059" w14:textId="77777777" w:rsidR="000B3AF7" w:rsidRPr="002E26D2" w:rsidRDefault="003D58A7" w:rsidP="004927BB">
      <w:pPr>
        <w:spacing w:line="360" w:lineRule="auto"/>
        <w:jc w:val="both"/>
        <w:rPr>
          <w:rFonts w:ascii="Times New Roman" w:hAnsi="Times New Roman" w:cs="Times New Roman"/>
          <w:sz w:val="24"/>
          <w:szCs w:val="24"/>
        </w:rPr>
      </w:pPr>
      <m:oMathPara>
        <m:oMath>
          <m:f>
            <m:fPr>
              <m:type m:val="lin"/>
              <m:ctrlPr>
                <w:rPr>
                  <w:rFonts w:ascii="Cambria Math" w:hAnsi="Cambria Math" w:cs="Times New Roman"/>
                  <w:sz w:val="24"/>
                  <w:szCs w:val="24"/>
                </w:rPr>
              </m:ctrlPr>
            </m:fPr>
            <m:num>
              <m:r>
                <w:rPr>
                  <w:rFonts w:ascii="Cambria Math" w:hAnsi="Cambria Math" w:cs="Times New Roman"/>
                  <w:sz w:val="24"/>
                  <w:szCs w:val="24"/>
                </w:rPr>
                <m:t>U</m:t>
              </m:r>
            </m:num>
            <m:den>
              <m:r>
                <w:rPr>
                  <w:rFonts w:ascii="Cambria Math" w:hAnsi="Cambria Math" w:cs="Times New Roman"/>
                  <w:sz w:val="24"/>
                  <w:szCs w:val="24"/>
                </w:rPr>
                <m:t>mg</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ΔAmax</m:t>
              </m:r>
            </m:num>
            <m:den>
              <m:r>
                <w:rPr>
                  <w:rFonts w:ascii="Cambria Math" w:hAnsi="Cambria Math" w:cs="Times New Roman"/>
                  <w:sz w:val="24"/>
                  <w:szCs w:val="24"/>
                </w:rPr>
                <m:t>ε</m:t>
              </m:r>
              <m:r>
                <m:rPr>
                  <m:sty m:val="p"/>
                </m:rPr>
                <w:rPr>
                  <w:rFonts w:ascii="Cambria Math" w:hAnsi="Cambria Math" w:cs="Times New Roman"/>
                  <w:sz w:val="24"/>
                  <w:szCs w:val="24"/>
                </w:rPr>
                <m:t>*</m:t>
              </m:r>
              <m:r>
                <w:rPr>
                  <w:rFonts w:ascii="Cambria Math" w:hAnsi="Cambria Math" w:cs="Times New Roman"/>
                  <w:sz w:val="24"/>
                  <w:szCs w:val="24"/>
                </w:rPr>
                <m:t>d</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Vtot</m:t>
              </m:r>
            </m:num>
            <m:den>
              <m:r>
                <w:rPr>
                  <w:rFonts w:ascii="Cambria Math" w:hAnsi="Cambria Math" w:cs="Times New Roman"/>
                  <w:sz w:val="24"/>
                  <w:szCs w:val="24"/>
                </w:rPr>
                <m:t>m</m:t>
              </m:r>
              <m:r>
                <m:rPr>
                  <m:sty m:val="p"/>
                </m:rPr>
                <w:rPr>
                  <w:rFonts w:ascii="Cambria Math" w:hAnsi="Cambria Math" w:cs="Times New Roman"/>
                  <w:sz w:val="24"/>
                  <w:szCs w:val="24"/>
                </w:rPr>
                <m:t>_</m:t>
              </m:r>
              <m:r>
                <w:rPr>
                  <w:rFonts w:ascii="Cambria Math" w:hAnsi="Cambria Math" w:cs="Times New Roman"/>
                  <w:sz w:val="24"/>
                  <w:szCs w:val="24"/>
                </w:rPr>
                <m:t>prot</m:t>
              </m:r>
            </m:den>
          </m:f>
          <m:r>
            <m:rPr>
              <m:sty m:val="p"/>
            </m:rPr>
            <w:rPr>
              <w:rFonts w:ascii="Cambria Math" w:hAnsi="Cambria Math" w:cs="Times New Roman"/>
              <w:sz w:val="24"/>
              <w:szCs w:val="24"/>
            </w:rPr>
            <m:t>*</m:t>
          </m:r>
          <m:sSup>
            <m:sSupPr>
              <m:ctrlPr>
                <w:rPr>
                  <w:rFonts w:ascii="Cambria Math" w:hAnsi="Cambria Math" w:cs="Times New Roman"/>
                  <w:sz w:val="24"/>
                  <w:szCs w:val="24"/>
                </w:rPr>
              </m:ctrlPr>
            </m:sSupPr>
            <m:e>
              <m:r>
                <m:rPr>
                  <m:sty m:val="p"/>
                </m:rPr>
                <w:rPr>
                  <w:rFonts w:ascii="Cambria Math" w:hAnsi="Cambria Math" w:cs="Times New Roman"/>
                  <w:sz w:val="24"/>
                  <w:szCs w:val="24"/>
                </w:rPr>
                <m:t>10</m:t>
              </m:r>
            </m:e>
            <m:sup>
              <m:r>
                <m:rPr>
                  <m:sty m:val="p"/>
                </m:rPr>
                <w:rPr>
                  <w:rFonts w:ascii="Cambria Math" w:hAnsi="Cambria Math" w:cs="Times New Roman"/>
                  <w:sz w:val="24"/>
                  <w:szCs w:val="24"/>
                </w:rPr>
                <m:t>6</m:t>
              </m:r>
            </m:sup>
          </m:sSup>
        </m:oMath>
      </m:oMathPara>
    </w:p>
    <w:p w14:paraId="59764B8E" w14:textId="0674CFFE" w:rsidR="000B3AF7" w:rsidRPr="002E26D2" w:rsidRDefault="000B3AF7" w:rsidP="004927BB">
      <w:pPr>
        <w:spacing w:after="0" w:line="360" w:lineRule="auto"/>
        <w:jc w:val="both"/>
        <w:rPr>
          <w:rFonts w:ascii="Times New Roman" w:hAnsi="Times New Roman" w:cs="Times New Roman"/>
          <w:sz w:val="24"/>
          <w:szCs w:val="24"/>
        </w:rPr>
      </w:pPr>
      <w:r w:rsidRPr="002E26D2">
        <w:rPr>
          <w:rFonts w:ascii="Times New Roman" w:hAnsi="Times New Roman" w:cs="Times New Roman"/>
          <w:sz w:val="24"/>
          <w:szCs w:val="24"/>
        </w:rPr>
        <w:t>U: Speed of NADH degradation in the experiment (with 200 ng</w:t>
      </w:r>
      <w:r w:rsidR="00C6301D" w:rsidRPr="002E26D2">
        <w:rPr>
          <w:rFonts w:ascii="Times New Roman" w:hAnsi="Times New Roman" w:cs="Times New Roman"/>
          <w:sz w:val="24"/>
          <w:szCs w:val="24"/>
        </w:rPr>
        <w:t xml:space="preserve"> of</w:t>
      </w:r>
      <w:r w:rsidRPr="002E26D2">
        <w:rPr>
          <w:rFonts w:ascii="Times New Roman" w:hAnsi="Times New Roman" w:cs="Times New Roman"/>
          <w:sz w:val="24"/>
          <w:szCs w:val="24"/>
        </w:rPr>
        <w:t xml:space="preserve"> N</w:t>
      </w:r>
      <w:r w:rsidR="00C6301D" w:rsidRPr="002E26D2">
        <w:rPr>
          <w:rFonts w:ascii="Times New Roman" w:hAnsi="Times New Roman" w:cs="Times New Roman"/>
          <w:sz w:val="24"/>
          <w:szCs w:val="24"/>
        </w:rPr>
        <w:t>ME</w:t>
      </w:r>
      <w:r w:rsidRPr="002E26D2">
        <w:rPr>
          <w:rFonts w:ascii="Times New Roman" w:hAnsi="Times New Roman" w:cs="Times New Roman"/>
          <w:sz w:val="24"/>
          <w:szCs w:val="24"/>
        </w:rPr>
        <w:t xml:space="preserve"> protein) (μmol/min)</w:t>
      </w:r>
    </w:p>
    <w:p w14:paraId="2A3D5EEE" w14:textId="40DD90A2" w:rsidR="000B3AF7" w:rsidRPr="002E26D2" w:rsidRDefault="000B3AF7" w:rsidP="004927BB">
      <w:pPr>
        <w:spacing w:after="0" w:line="360" w:lineRule="auto"/>
        <w:jc w:val="both"/>
        <w:rPr>
          <w:rFonts w:ascii="Times New Roman" w:hAnsi="Times New Roman" w:cs="Times New Roman"/>
          <w:sz w:val="24"/>
          <w:szCs w:val="24"/>
        </w:rPr>
      </w:pPr>
      <w:r w:rsidRPr="002E26D2">
        <w:rPr>
          <w:rFonts w:ascii="Times New Roman" w:hAnsi="Times New Roman" w:cs="Times New Roman"/>
          <w:sz w:val="24"/>
          <w:szCs w:val="24"/>
        </w:rPr>
        <w:t>U/mg: Speed of NADH degradation per milligram of N</w:t>
      </w:r>
      <w:r w:rsidR="00C6301D" w:rsidRPr="002E26D2">
        <w:rPr>
          <w:rFonts w:ascii="Times New Roman" w:hAnsi="Times New Roman" w:cs="Times New Roman"/>
          <w:sz w:val="24"/>
          <w:szCs w:val="24"/>
        </w:rPr>
        <w:t>ME</w:t>
      </w:r>
      <w:r w:rsidRPr="002E26D2">
        <w:rPr>
          <w:rFonts w:ascii="Times New Roman" w:hAnsi="Times New Roman" w:cs="Times New Roman"/>
          <w:sz w:val="24"/>
          <w:szCs w:val="24"/>
        </w:rPr>
        <w:t xml:space="preserve"> protein (μmol/min)</w:t>
      </w:r>
    </w:p>
    <w:p w14:paraId="0F6F89DC" w14:textId="1A7AB7D3" w:rsidR="000B3AF7" w:rsidRPr="002E26D2" w:rsidRDefault="000B3AF7" w:rsidP="004927BB">
      <w:pPr>
        <w:spacing w:after="0" w:line="360" w:lineRule="auto"/>
        <w:jc w:val="both"/>
        <w:rPr>
          <w:rFonts w:ascii="Times New Roman" w:hAnsi="Times New Roman" w:cs="Times New Roman"/>
          <w:sz w:val="24"/>
          <w:szCs w:val="24"/>
        </w:rPr>
      </w:pPr>
      <w:r w:rsidRPr="002E26D2">
        <w:rPr>
          <w:rFonts w:ascii="Times New Roman" w:hAnsi="Times New Roman" w:cs="Times New Roman"/>
          <w:sz w:val="24"/>
          <w:szCs w:val="24"/>
        </w:rPr>
        <w:t>ΔAmax: Maximal speed of absorbance decrease per minute (min</w:t>
      </w:r>
      <w:r w:rsidRPr="002E26D2">
        <w:rPr>
          <w:rFonts w:ascii="Times New Roman" w:hAnsi="Times New Roman" w:cs="Times New Roman"/>
          <w:sz w:val="24"/>
          <w:szCs w:val="24"/>
          <w:vertAlign w:val="superscript"/>
        </w:rPr>
        <w:t>-1</w:t>
      </w:r>
      <w:r w:rsidRPr="002E26D2">
        <w:rPr>
          <w:rFonts w:ascii="Times New Roman" w:hAnsi="Times New Roman" w:cs="Times New Roman"/>
          <w:sz w:val="24"/>
          <w:szCs w:val="24"/>
        </w:rPr>
        <w:t>)</w:t>
      </w:r>
    </w:p>
    <w:p w14:paraId="450875A5" w14:textId="77777777" w:rsidR="000B3AF7" w:rsidRPr="002E26D2" w:rsidRDefault="000B3AF7" w:rsidP="004927BB">
      <w:pPr>
        <w:spacing w:after="0" w:line="360" w:lineRule="auto"/>
        <w:jc w:val="both"/>
        <w:rPr>
          <w:rFonts w:ascii="Times New Roman" w:hAnsi="Times New Roman" w:cs="Times New Roman"/>
          <w:sz w:val="24"/>
          <w:szCs w:val="24"/>
        </w:rPr>
      </w:pPr>
      <w:r w:rsidRPr="002E26D2">
        <w:rPr>
          <w:rFonts w:ascii="Times New Roman" w:hAnsi="Times New Roman" w:cs="Times New Roman"/>
          <w:sz w:val="24"/>
          <w:szCs w:val="24"/>
        </w:rPr>
        <w:t>ε: NADH molar extinction coefficient at 340 nm (6290 M</w:t>
      </w:r>
      <w:r w:rsidRPr="002E26D2">
        <w:rPr>
          <w:rFonts w:ascii="Times New Roman" w:hAnsi="Times New Roman" w:cs="Times New Roman"/>
          <w:sz w:val="24"/>
          <w:szCs w:val="24"/>
          <w:vertAlign w:val="superscript"/>
        </w:rPr>
        <w:t>-1</w:t>
      </w:r>
      <w:r w:rsidRPr="002E26D2">
        <w:rPr>
          <w:rFonts w:ascii="Times New Roman" w:hAnsi="Times New Roman" w:cs="Times New Roman"/>
          <w:sz w:val="24"/>
          <w:szCs w:val="24"/>
        </w:rPr>
        <w:t>cm</w:t>
      </w:r>
      <w:r w:rsidRPr="002E26D2">
        <w:rPr>
          <w:rFonts w:ascii="Times New Roman" w:hAnsi="Times New Roman" w:cs="Times New Roman"/>
          <w:sz w:val="24"/>
          <w:szCs w:val="24"/>
          <w:vertAlign w:val="superscript"/>
        </w:rPr>
        <w:t>-1</w:t>
      </w:r>
      <w:r w:rsidRPr="002E26D2">
        <w:rPr>
          <w:rFonts w:ascii="Times New Roman" w:hAnsi="Times New Roman" w:cs="Times New Roman"/>
          <w:sz w:val="24"/>
          <w:szCs w:val="24"/>
        </w:rPr>
        <w:t xml:space="preserve">) </w:t>
      </w:r>
    </w:p>
    <w:p w14:paraId="709601AC" w14:textId="77777777" w:rsidR="000B3AF7" w:rsidRPr="002E26D2" w:rsidRDefault="000B3AF7" w:rsidP="004927BB">
      <w:pPr>
        <w:spacing w:after="0" w:line="360" w:lineRule="auto"/>
        <w:jc w:val="both"/>
        <w:rPr>
          <w:rFonts w:ascii="Times New Roman" w:hAnsi="Times New Roman" w:cs="Times New Roman"/>
          <w:sz w:val="24"/>
          <w:szCs w:val="24"/>
        </w:rPr>
      </w:pPr>
      <w:r w:rsidRPr="002E26D2">
        <w:rPr>
          <w:rFonts w:ascii="Times New Roman" w:hAnsi="Times New Roman" w:cs="Times New Roman"/>
          <w:sz w:val="24"/>
          <w:szCs w:val="24"/>
        </w:rPr>
        <w:t>d : optical path length (cm)</w:t>
      </w:r>
    </w:p>
    <w:p w14:paraId="45CB0F4E" w14:textId="77777777" w:rsidR="000B3AF7" w:rsidRPr="002E26D2" w:rsidRDefault="000B3AF7" w:rsidP="004927BB">
      <w:pPr>
        <w:spacing w:after="0" w:line="360" w:lineRule="auto"/>
        <w:jc w:val="both"/>
        <w:rPr>
          <w:rFonts w:ascii="Times New Roman" w:hAnsi="Times New Roman" w:cs="Times New Roman"/>
          <w:sz w:val="24"/>
          <w:szCs w:val="24"/>
        </w:rPr>
      </w:pPr>
      <w:r w:rsidRPr="002E26D2">
        <w:rPr>
          <w:rFonts w:ascii="Times New Roman" w:hAnsi="Times New Roman" w:cs="Times New Roman"/>
          <w:sz w:val="24"/>
          <w:szCs w:val="24"/>
        </w:rPr>
        <w:t>Vtot : Total volume of the reaction (L)</w:t>
      </w:r>
    </w:p>
    <w:p w14:paraId="1A170BDD" w14:textId="77777777" w:rsidR="000B3AF7" w:rsidRPr="002E26D2" w:rsidRDefault="000B3AF7" w:rsidP="004927BB">
      <w:pPr>
        <w:spacing w:after="0" w:line="360" w:lineRule="auto"/>
        <w:jc w:val="both"/>
        <w:rPr>
          <w:rFonts w:ascii="Times New Roman" w:hAnsi="Times New Roman" w:cs="Times New Roman"/>
          <w:sz w:val="24"/>
          <w:szCs w:val="24"/>
        </w:rPr>
      </w:pPr>
      <w:r w:rsidRPr="002E26D2">
        <w:rPr>
          <w:rFonts w:ascii="Times New Roman" w:hAnsi="Times New Roman" w:cs="Times New Roman"/>
          <w:sz w:val="24"/>
          <w:szCs w:val="24"/>
        </w:rPr>
        <w:t>m_prot: Mass of NME protein (mg)</w:t>
      </w:r>
    </w:p>
    <w:p w14:paraId="012EDFAD" w14:textId="77777777" w:rsidR="000B3AF7" w:rsidRPr="002E26D2" w:rsidRDefault="000B3AF7" w:rsidP="004927BB">
      <w:pPr>
        <w:spacing w:after="0" w:line="360" w:lineRule="auto"/>
        <w:jc w:val="both"/>
        <w:rPr>
          <w:rFonts w:ascii="Times New Roman" w:hAnsi="Times New Roman" w:cs="Times New Roman"/>
          <w:sz w:val="24"/>
          <w:szCs w:val="24"/>
        </w:rPr>
      </w:pPr>
      <w:r w:rsidRPr="002E26D2">
        <w:rPr>
          <w:rFonts w:ascii="Times New Roman" w:hAnsi="Times New Roman" w:cs="Times New Roman"/>
          <w:sz w:val="24"/>
          <w:szCs w:val="24"/>
        </w:rPr>
        <w:t>10</w:t>
      </w:r>
      <w:r w:rsidRPr="002E26D2">
        <w:rPr>
          <w:rFonts w:ascii="Times New Roman" w:hAnsi="Times New Roman" w:cs="Times New Roman"/>
          <w:sz w:val="24"/>
          <w:szCs w:val="24"/>
          <w:vertAlign w:val="superscript"/>
        </w:rPr>
        <w:t>6</w:t>
      </w:r>
      <w:r w:rsidRPr="002E26D2">
        <w:rPr>
          <w:rFonts w:ascii="Times New Roman" w:hAnsi="Times New Roman" w:cs="Times New Roman"/>
          <w:sz w:val="24"/>
          <w:szCs w:val="24"/>
        </w:rPr>
        <w:t xml:space="preserve"> : Correction coefficient, to transform U from mol/min to μmol/min</w:t>
      </w:r>
    </w:p>
    <w:p w14:paraId="1CEFBD3A" w14:textId="38706FA2" w:rsidR="000B3AF7" w:rsidRPr="002E26D2" w:rsidRDefault="000B3AF7" w:rsidP="002E2D58">
      <w:pPr>
        <w:pStyle w:val="Heading4"/>
      </w:pPr>
      <w:bookmarkStart w:id="146" w:name="_Ref107391934"/>
      <w:bookmarkStart w:id="147" w:name="_Toc117153863"/>
      <w:r w:rsidRPr="002E26D2">
        <w:t>His-Tag removal by thrombin cleavage of NME recombinant proteins</w:t>
      </w:r>
      <w:bookmarkEnd w:id="146"/>
      <w:bookmarkEnd w:id="147"/>
    </w:p>
    <w:p w14:paraId="343B0B4D" w14:textId="39BE0E01"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The removal of the 6×His</w:t>
      </w:r>
      <w:r w:rsidR="0030218B" w:rsidRPr="002F0FF1">
        <w:rPr>
          <w:rFonts w:ascii="Times New Roman" w:hAnsi="Times New Roman" w:cs="Times New Roman"/>
          <w:sz w:val="24"/>
          <w:szCs w:val="24"/>
        </w:rPr>
        <w:t>-</w:t>
      </w:r>
      <w:r w:rsidRPr="002F0FF1">
        <w:rPr>
          <w:rFonts w:ascii="Times New Roman" w:hAnsi="Times New Roman" w:cs="Times New Roman"/>
          <w:sz w:val="24"/>
          <w:szCs w:val="24"/>
        </w:rPr>
        <w:t xml:space="preserve">tag from the purified recombinant NME proteins obtained in </w:t>
      </w:r>
      <w:r w:rsidR="009C68CA" w:rsidRPr="002F0FF1">
        <w:rPr>
          <w:rFonts w:ascii="Times New Roman" w:hAnsi="Times New Roman" w:cs="Times New Roman"/>
          <w:sz w:val="24"/>
          <w:szCs w:val="24"/>
        </w:rPr>
        <w:t xml:space="preserve">section </w:t>
      </w:r>
      <w:r w:rsidR="00E85468" w:rsidRPr="002F0FF1">
        <w:rPr>
          <w:rFonts w:ascii="Times New Roman" w:hAnsi="Times New Roman" w:cs="Times New Roman"/>
          <w:sz w:val="24"/>
          <w:szCs w:val="24"/>
        </w:rPr>
        <w:fldChar w:fldCharType="begin"/>
      </w:r>
      <w:r w:rsidR="00E85468" w:rsidRPr="002F0FF1">
        <w:rPr>
          <w:rFonts w:ascii="Times New Roman" w:hAnsi="Times New Roman" w:cs="Times New Roman"/>
          <w:sz w:val="24"/>
          <w:szCs w:val="24"/>
        </w:rPr>
        <w:instrText xml:space="preserve"> REF _Ref105768323 \r \h </w:instrText>
      </w:r>
      <w:r w:rsidR="002E26D2" w:rsidRPr="002F0FF1">
        <w:rPr>
          <w:rFonts w:ascii="Times New Roman" w:hAnsi="Times New Roman" w:cs="Times New Roman"/>
          <w:sz w:val="24"/>
          <w:szCs w:val="24"/>
        </w:rPr>
        <w:instrText xml:space="preserve"> \* MERGEFORMAT </w:instrText>
      </w:r>
      <w:r w:rsidR="00E85468" w:rsidRPr="002F0FF1">
        <w:rPr>
          <w:rFonts w:ascii="Times New Roman" w:hAnsi="Times New Roman" w:cs="Times New Roman"/>
          <w:sz w:val="24"/>
          <w:szCs w:val="24"/>
        </w:rPr>
      </w:r>
      <w:r w:rsidR="00E85468"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3.2.1.3</w:t>
      </w:r>
      <w:r w:rsidR="00E85468"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was achieved by incubation with thrombin, an enzyme that is able to cut out a specific amino acid sequence (LVPR*GS) placed next to the 6×His</w:t>
      </w:r>
      <w:r w:rsidR="0030218B" w:rsidRPr="002F0FF1">
        <w:rPr>
          <w:rFonts w:ascii="Times New Roman" w:hAnsi="Times New Roman" w:cs="Times New Roman"/>
          <w:sz w:val="24"/>
          <w:szCs w:val="24"/>
        </w:rPr>
        <w:t>-</w:t>
      </w:r>
      <w:r w:rsidRPr="002F0FF1">
        <w:rPr>
          <w:rFonts w:ascii="Times New Roman" w:hAnsi="Times New Roman" w:cs="Times New Roman"/>
          <w:sz w:val="24"/>
          <w:szCs w:val="24"/>
        </w:rPr>
        <w:t xml:space="preserve">tag during cloning. His-tag was removed from the NME6-194-His and NME6-186-His recombinant proteins using thrombin sepharose beads according to manufacturers’ instruction. In brief, 0.5 mg of purified recombinant proteins were incubated overnight at 4 °C with 7.5 µL of thrombin sepharose beads in the </w:t>
      </w:r>
      <w:bookmarkStart w:id="148" w:name="_Hlk107228596"/>
      <w:r w:rsidRPr="002F0FF1">
        <w:rPr>
          <w:rFonts w:ascii="Times New Roman" w:hAnsi="Times New Roman" w:cs="Times New Roman"/>
          <w:sz w:val="24"/>
          <w:szCs w:val="24"/>
        </w:rPr>
        <w:t>thrombin buffer</w:t>
      </w:r>
      <w:bookmarkEnd w:id="148"/>
      <w:r w:rsidR="00AF3F52" w:rsidRPr="002F0FF1">
        <w:rPr>
          <w:rFonts w:ascii="Times New Roman" w:hAnsi="Times New Roman" w:cs="Times New Roman"/>
          <w:sz w:val="24"/>
          <w:szCs w:val="24"/>
        </w:rPr>
        <w:t xml:space="preserve"> </w:t>
      </w:r>
      <w:r w:rsidRPr="002F0FF1">
        <w:rPr>
          <w:rFonts w:ascii="Times New Roman" w:hAnsi="Times New Roman" w:cs="Times New Roman"/>
          <w:sz w:val="24"/>
          <w:szCs w:val="24"/>
        </w:rPr>
        <w:t>on the rotator. The sample was centrifuged (2 min, 2 500 g</w:t>
      </w:r>
      <w:r w:rsidR="0020654D" w:rsidRPr="002F0FF1">
        <w:rPr>
          <w:rFonts w:ascii="Times New Roman" w:hAnsi="Times New Roman" w:cs="Times New Roman"/>
          <w:sz w:val="24"/>
          <w:szCs w:val="24"/>
        </w:rPr>
        <w:t>, room temperature</w:t>
      </w:r>
      <w:r w:rsidRPr="002F0FF1">
        <w:rPr>
          <w:rFonts w:ascii="Times New Roman" w:hAnsi="Times New Roman" w:cs="Times New Roman"/>
          <w:sz w:val="24"/>
          <w:szCs w:val="24"/>
        </w:rPr>
        <w:t>) and the supernatant was analyzed by Western blot (</w:t>
      </w:r>
      <w:r w:rsidR="00AC2A98" w:rsidRPr="002F0FF1">
        <w:rPr>
          <w:rFonts w:ascii="Times New Roman" w:hAnsi="Times New Roman" w:cs="Times New Roman"/>
          <w:sz w:val="24"/>
          <w:szCs w:val="24"/>
        </w:rPr>
        <w:t xml:space="preserve">section </w:t>
      </w:r>
      <w:r w:rsidR="00E85468" w:rsidRPr="002F0FF1">
        <w:rPr>
          <w:rFonts w:ascii="Times New Roman" w:hAnsi="Times New Roman" w:cs="Times New Roman"/>
          <w:sz w:val="24"/>
          <w:szCs w:val="24"/>
        </w:rPr>
        <w:fldChar w:fldCharType="begin"/>
      </w:r>
      <w:r w:rsidR="00E85468"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E85468" w:rsidRPr="002F0FF1">
        <w:rPr>
          <w:rFonts w:ascii="Times New Roman" w:hAnsi="Times New Roman" w:cs="Times New Roman"/>
          <w:sz w:val="24"/>
          <w:szCs w:val="24"/>
        </w:rPr>
      </w:r>
      <w:r w:rsidR="00E85468"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E85468"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together with the cell lysate from </w:t>
      </w:r>
      <w:r w:rsidR="007530E1" w:rsidRPr="002F0FF1">
        <w:rPr>
          <w:rFonts w:ascii="Times New Roman" w:hAnsi="Times New Roman" w:cs="Times New Roman"/>
          <w:sz w:val="24"/>
          <w:szCs w:val="24"/>
        </w:rPr>
        <w:t>wild type</w:t>
      </w:r>
      <w:r w:rsidRPr="002F0FF1">
        <w:rPr>
          <w:rFonts w:ascii="Times New Roman" w:hAnsi="Times New Roman" w:cs="Times New Roman"/>
          <w:sz w:val="24"/>
          <w:szCs w:val="24"/>
        </w:rPr>
        <w:t xml:space="preserve"> MDA-MB-231T. </w:t>
      </w:r>
    </w:p>
    <w:p w14:paraId="582D4969" w14:textId="39CEE2FB" w:rsidR="000B3AF7" w:rsidRDefault="000B3AF7" w:rsidP="004927BB">
      <w:pPr>
        <w:spacing w:line="360" w:lineRule="auto"/>
        <w:jc w:val="both"/>
        <w:rPr>
          <w:rFonts w:ascii="Times New Roman" w:hAnsi="Times New Roman" w:cs="Times New Roman"/>
          <w:sz w:val="24"/>
          <w:szCs w:val="24"/>
        </w:rPr>
      </w:pPr>
    </w:p>
    <w:p w14:paraId="50E67E37" w14:textId="1FEC61A9" w:rsidR="00BE4BEF" w:rsidRDefault="00BE4BEF">
      <w:pPr>
        <w:rPr>
          <w:rFonts w:ascii="Times New Roman" w:hAnsi="Times New Roman" w:cs="Times New Roman"/>
          <w:sz w:val="24"/>
          <w:szCs w:val="24"/>
        </w:rPr>
      </w:pPr>
      <w:r>
        <w:rPr>
          <w:rFonts w:ascii="Times New Roman" w:hAnsi="Times New Roman" w:cs="Times New Roman"/>
          <w:sz w:val="24"/>
          <w:szCs w:val="24"/>
        </w:rPr>
        <w:br w:type="page"/>
      </w:r>
    </w:p>
    <w:p w14:paraId="5C662313" w14:textId="47E810D9" w:rsidR="000B3AF7" w:rsidRPr="002E26D2" w:rsidRDefault="000B3AF7" w:rsidP="002E2D58">
      <w:pPr>
        <w:pStyle w:val="Heading4"/>
      </w:pPr>
      <w:bookmarkStart w:id="149" w:name="_Toc117153864"/>
      <w:r w:rsidRPr="002E26D2">
        <w:lastRenderedPageBreak/>
        <w:t>Homo-oligomerization status of NME6 recombinant proteins</w:t>
      </w:r>
      <w:bookmarkEnd w:id="149"/>
    </w:p>
    <w:p w14:paraId="555C7940" w14:textId="7AEB34D9" w:rsidR="000B3AF7" w:rsidRPr="002E26D2" w:rsidRDefault="000D68C1" w:rsidP="00B23BAE">
      <w:pPr>
        <w:pStyle w:val="Heading5"/>
      </w:pPr>
      <w:bookmarkStart w:id="150" w:name="_Ref105769628"/>
      <w:r w:rsidRPr="002E26D2">
        <w:t>N</w:t>
      </w:r>
      <w:r w:rsidR="00501A59">
        <w:t>ME</w:t>
      </w:r>
      <w:r w:rsidRPr="002E26D2">
        <w:t>6 oligomerization analysis by crosslinking</w:t>
      </w:r>
      <w:bookmarkEnd w:id="150"/>
    </w:p>
    <w:p w14:paraId="57A474EC" w14:textId="29CA758C"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The recombinant protein (</w:t>
      </w:r>
      <w:r w:rsidR="005F7A98" w:rsidRPr="002F0FF1">
        <w:rPr>
          <w:rFonts w:ascii="Times New Roman" w:hAnsi="Times New Roman" w:cs="Times New Roman"/>
          <w:sz w:val="24"/>
          <w:szCs w:val="24"/>
        </w:rPr>
        <w:t xml:space="preserve">section </w:t>
      </w:r>
      <w:r w:rsidR="00E85468" w:rsidRPr="002F0FF1">
        <w:rPr>
          <w:rFonts w:ascii="Times New Roman" w:hAnsi="Times New Roman" w:cs="Times New Roman"/>
          <w:sz w:val="24"/>
          <w:szCs w:val="24"/>
        </w:rPr>
        <w:fldChar w:fldCharType="begin"/>
      </w:r>
      <w:r w:rsidR="00E85468" w:rsidRPr="002F0FF1">
        <w:rPr>
          <w:rFonts w:ascii="Times New Roman" w:hAnsi="Times New Roman" w:cs="Times New Roman"/>
          <w:sz w:val="24"/>
          <w:szCs w:val="24"/>
        </w:rPr>
        <w:instrText xml:space="preserve"> REF _Ref105768323 \r \h </w:instrText>
      </w:r>
      <w:r w:rsidR="002E26D2" w:rsidRPr="002F0FF1">
        <w:rPr>
          <w:rFonts w:ascii="Times New Roman" w:hAnsi="Times New Roman" w:cs="Times New Roman"/>
          <w:sz w:val="24"/>
          <w:szCs w:val="24"/>
        </w:rPr>
        <w:instrText xml:space="preserve"> \* MERGEFORMAT </w:instrText>
      </w:r>
      <w:r w:rsidR="00E85468" w:rsidRPr="002F0FF1">
        <w:rPr>
          <w:rFonts w:ascii="Times New Roman" w:hAnsi="Times New Roman" w:cs="Times New Roman"/>
          <w:sz w:val="24"/>
          <w:szCs w:val="24"/>
        </w:rPr>
      </w:r>
      <w:r w:rsidR="00E85468"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3.2.1.3</w:t>
      </w:r>
      <w:r w:rsidR="00E85468"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NME6-186-His or NME6-194-His (9.5 µg) was mixed with 0.075 % (v/v) glutaraldehyde in the </w:t>
      </w:r>
      <w:bookmarkStart w:id="151" w:name="_Hlk107228607"/>
      <w:r w:rsidRPr="002F0FF1">
        <w:rPr>
          <w:rFonts w:ascii="Times New Roman" w:hAnsi="Times New Roman" w:cs="Times New Roman"/>
          <w:sz w:val="24"/>
          <w:szCs w:val="24"/>
        </w:rPr>
        <w:t xml:space="preserve">crosslinking buffer </w:t>
      </w:r>
      <w:bookmarkEnd w:id="151"/>
      <w:r w:rsidRPr="002F0FF1">
        <w:rPr>
          <w:rFonts w:ascii="Times New Roman" w:hAnsi="Times New Roman" w:cs="Times New Roman"/>
          <w:sz w:val="24"/>
          <w:szCs w:val="24"/>
        </w:rPr>
        <w:t xml:space="preserve">and incubated at 37 °C for 15 min on the thermo-shaker. The reaction products as well as the untreated recombinant proteins (control) were analyzed by SDS-PAGE, transferred to a </w:t>
      </w:r>
      <w:r w:rsidR="00870B23" w:rsidRPr="002F0FF1">
        <w:rPr>
          <w:rFonts w:ascii="Times New Roman" w:hAnsi="Times New Roman" w:cs="Times New Roman"/>
          <w:sz w:val="24"/>
          <w:szCs w:val="24"/>
        </w:rPr>
        <w:t xml:space="preserve">0.2 µm nitrocellulose </w:t>
      </w:r>
      <w:r w:rsidRPr="002F0FF1">
        <w:rPr>
          <w:rFonts w:ascii="Times New Roman" w:hAnsi="Times New Roman" w:cs="Times New Roman"/>
          <w:sz w:val="24"/>
          <w:szCs w:val="24"/>
        </w:rPr>
        <w:t>membrane and stained with naphthol blue (</w:t>
      </w:r>
      <w:r w:rsidR="00FE04AA">
        <w:rPr>
          <w:rFonts w:ascii="Times New Roman" w:hAnsi="Times New Roman" w:cs="Times New Roman"/>
          <w:sz w:val="24"/>
          <w:szCs w:val="24"/>
        </w:rPr>
        <w:t xml:space="preserve">section </w:t>
      </w:r>
      <w:r w:rsidR="00E85468" w:rsidRPr="002F0FF1">
        <w:rPr>
          <w:rFonts w:ascii="Times New Roman" w:hAnsi="Times New Roman" w:cs="Times New Roman"/>
          <w:sz w:val="24"/>
          <w:szCs w:val="24"/>
        </w:rPr>
        <w:fldChar w:fldCharType="begin"/>
      </w:r>
      <w:r w:rsidR="00E85468"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E85468" w:rsidRPr="002F0FF1">
        <w:rPr>
          <w:rFonts w:ascii="Times New Roman" w:hAnsi="Times New Roman" w:cs="Times New Roman"/>
          <w:sz w:val="24"/>
          <w:szCs w:val="24"/>
        </w:rPr>
      </w:r>
      <w:r w:rsidR="00E85468"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E85468"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p>
    <w:p w14:paraId="6DE69648" w14:textId="2CC25180" w:rsidR="000B3AF7" w:rsidRPr="002E26D2" w:rsidRDefault="000D68C1" w:rsidP="00B23BAE">
      <w:pPr>
        <w:pStyle w:val="Heading5"/>
      </w:pPr>
      <w:bookmarkStart w:id="152" w:name="_Ref105769646"/>
      <w:r w:rsidRPr="002E26D2">
        <w:t>N</w:t>
      </w:r>
      <w:r w:rsidR="00501A59">
        <w:t>ME</w:t>
      </w:r>
      <w:r w:rsidRPr="002E26D2">
        <w:t>6 oligomerization analysis by size-exclusion chromatography</w:t>
      </w:r>
      <w:bookmarkEnd w:id="152"/>
      <w:r w:rsidRPr="002E26D2">
        <w:t xml:space="preserve"> </w:t>
      </w:r>
    </w:p>
    <w:p w14:paraId="42203A33"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Size-exclusion chromatography was performed at Biocentar d.o.o., Zagreb, Croatia on Akta avant 25 chromatography system (GE Healthcare). The recombinant proteins (NME6-186-His and NME6-194-His) were gel filtrated on Superdex 200 Increase 10/300 GL (GE Healthcare). The column was equilibrated with a mobile phase flow (10 mM NaH</w:t>
      </w:r>
      <w:r w:rsidRPr="002E26D2">
        <w:rPr>
          <w:rFonts w:ascii="Times New Roman" w:hAnsi="Times New Roman" w:cs="Times New Roman"/>
          <w:sz w:val="24"/>
          <w:szCs w:val="24"/>
          <w:vertAlign w:val="subscript"/>
        </w:rPr>
        <w:t>2</w:t>
      </w:r>
      <w:r w:rsidRPr="002E26D2">
        <w:rPr>
          <w:rFonts w:ascii="Times New Roman" w:hAnsi="Times New Roman" w:cs="Times New Roman"/>
          <w:sz w:val="24"/>
          <w:szCs w:val="24"/>
        </w:rPr>
        <w:t>PO</w:t>
      </w:r>
      <w:r w:rsidRPr="002E26D2">
        <w:rPr>
          <w:rFonts w:ascii="Times New Roman" w:hAnsi="Times New Roman" w:cs="Times New Roman"/>
          <w:sz w:val="24"/>
          <w:szCs w:val="24"/>
          <w:vertAlign w:val="subscript"/>
        </w:rPr>
        <w:t>4</w:t>
      </w:r>
      <w:r w:rsidRPr="002E26D2">
        <w:rPr>
          <w:rFonts w:ascii="Times New Roman" w:hAnsi="Times New Roman" w:cs="Times New Roman"/>
          <w:sz w:val="24"/>
          <w:szCs w:val="24"/>
        </w:rPr>
        <w:t xml:space="preserve">, 140 mM NaCl, pH 7.4) of one column volume (24 mL) followed by the injection of the sample. The sample was eluted with 1.5 volume of the column (36 mL). Fractions of 1 mL were taken at 2 min intervals. The chromatographic column was calibrated with the following Bio-Rad Gel filtration standards: thyroglobulin (670 kDa), γ-globulin (158 kDa), ovalbumin (44 kDa), myoglobin (17 kDa), and vitamin B12 (1.35 kDa). </w:t>
      </w:r>
    </w:p>
    <w:p w14:paraId="7546DB83" w14:textId="769D5FE5" w:rsidR="000B3AF7" w:rsidRPr="002E26D2" w:rsidRDefault="000D68C1" w:rsidP="002E2D58">
      <w:pPr>
        <w:pStyle w:val="Heading4"/>
      </w:pPr>
      <w:bookmarkStart w:id="153" w:name="_Ref105769196"/>
      <w:bookmarkStart w:id="154" w:name="_Toc117153865"/>
      <w:r w:rsidRPr="002E26D2">
        <w:t>Multiple reaction monitoring mass spectrometry (</w:t>
      </w:r>
      <w:r w:rsidR="00853A92" w:rsidRPr="002E26D2">
        <w:t>MRM-MS</w:t>
      </w:r>
      <w:r w:rsidRPr="002E26D2">
        <w:t>)</w:t>
      </w:r>
      <w:bookmarkEnd w:id="153"/>
      <w:bookmarkEnd w:id="154"/>
    </w:p>
    <w:p w14:paraId="3A6022DB" w14:textId="5BE80B55"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liquid chromatography-mass spectrometry (LC-MS) analysis was performed at Biocentar d.o.o., Zagreb, Croatia on 1290 Infinity LC System (Agilent Technologies, USA) coupled with 6460 Triple Quad Mass Spectrometer (Agilent Technologies, USA). </w:t>
      </w:r>
      <w:r w:rsidRPr="0020654D">
        <w:rPr>
          <w:rFonts w:ascii="Times New Roman" w:hAnsi="Times New Roman" w:cs="Times New Roman"/>
          <w:i/>
          <w:iCs/>
          <w:sz w:val="24"/>
          <w:szCs w:val="24"/>
        </w:rPr>
        <w:t>In silico</w:t>
      </w:r>
      <w:r w:rsidRPr="002E26D2">
        <w:rPr>
          <w:rFonts w:ascii="Times New Roman" w:hAnsi="Times New Roman" w:cs="Times New Roman"/>
          <w:sz w:val="24"/>
          <w:szCs w:val="24"/>
        </w:rPr>
        <w:t xml:space="preserve"> digestion of NME6-194 and NME6-186 sequences by trypsin was performed using Skyline software (v. 3.7.0.10940.). The difference in isoforms was obtained within the following sequences: MTQNLGSEMASILR for the NME6-194 isoform and MASILR for the NME6-186 isoform. Total cell lysates from HeLa and MDA-MB-231T cells were digested with trypsin (γ=1 mg/mL) for 18 h at 37 °C and 600 rpm (Digital Shaking drybath, Thermo Scientific, USA). Acquity UPLC BEH separation column C18 1.7 µm, 2.1</w:t>
      </w:r>
      <w:r w:rsidR="00C6769A" w:rsidRPr="002E26D2">
        <w:rPr>
          <w:rFonts w:ascii="Times New Roman" w:hAnsi="Times New Roman" w:cs="Times New Roman"/>
          <w:sz w:val="24"/>
          <w:szCs w:val="24"/>
        </w:rPr>
        <w:t>×</w:t>
      </w:r>
      <w:r w:rsidRPr="002E26D2">
        <w:rPr>
          <w:rFonts w:ascii="Times New Roman" w:hAnsi="Times New Roman" w:cs="Times New Roman"/>
          <w:sz w:val="24"/>
          <w:szCs w:val="24"/>
        </w:rPr>
        <w:t xml:space="preserve">150 mm (Waters, USA) was used for chromatographic peptide separation. Mobile phase A (0.1 % (v/v) aqueous formic acid solution) and mobile phase B (acetonitrile) were both degassed in an ultrasonic bath. The separation was performed at 40 °C column temperature, 15 µL of sample was injected with a gradient flow of 0.3 mL/min starting at 95 % A and decreasing to 60 % A over 16 min. Mass </w:t>
      </w:r>
      <w:r w:rsidRPr="002E26D2">
        <w:rPr>
          <w:rFonts w:ascii="Times New Roman" w:hAnsi="Times New Roman" w:cs="Times New Roman"/>
          <w:sz w:val="24"/>
          <w:szCs w:val="24"/>
        </w:rPr>
        <w:lastRenderedPageBreak/>
        <w:t>spectra were recorded in a positive resolution mode with the capillary voltage set at 3.5 kV, at a gas temperature of 300 °C, and at a gas pressure of 40 psi. All measurements were performed in duplicate.</w:t>
      </w:r>
    </w:p>
    <w:p w14:paraId="6EAFAB77" w14:textId="6FECF401" w:rsidR="000B3AF7" w:rsidRPr="002E26D2" w:rsidRDefault="000B3AF7" w:rsidP="002E2D58">
      <w:pPr>
        <w:pStyle w:val="Heading4"/>
      </w:pPr>
      <w:bookmarkStart w:id="155" w:name="_Ref105768579"/>
      <w:bookmarkStart w:id="156" w:name="_Toc117153866"/>
      <w:r w:rsidRPr="002E26D2">
        <w:t>Isolation and purification of mitochondria</w:t>
      </w:r>
      <w:bookmarkEnd w:id="155"/>
      <w:bookmarkEnd w:id="156"/>
      <w:r w:rsidRPr="002E26D2">
        <w:t xml:space="preserve"> </w:t>
      </w:r>
    </w:p>
    <w:p w14:paraId="6451EBBD" w14:textId="3E99142E"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MDA-MB-231T cells were grown to 80 % confluency, and 350×10</w:t>
      </w:r>
      <w:r w:rsidRPr="002F0FF1">
        <w:rPr>
          <w:rFonts w:ascii="Times New Roman" w:hAnsi="Times New Roman" w:cs="Times New Roman"/>
          <w:sz w:val="24"/>
          <w:szCs w:val="24"/>
          <w:vertAlign w:val="superscript"/>
        </w:rPr>
        <w:t>6</w:t>
      </w:r>
      <w:r w:rsidRPr="002F0FF1">
        <w:rPr>
          <w:rFonts w:ascii="Times New Roman" w:hAnsi="Times New Roman" w:cs="Times New Roman"/>
          <w:sz w:val="24"/>
          <w:szCs w:val="24"/>
        </w:rPr>
        <w:t xml:space="preserve"> cells were used for the experiment. The whole procedure of mitochondrial isolation and purification was performed on ice</w:t>
      </w:r>
      <w:r w:rsidR="0020654D" w:rsidRPr="002F0FF1">
        <w:rPr>
          <w:rFonts w:ascii="Times New Roman" w:hAnsi="Times New Roman" w:cs="Times New Roman"/>
          <w:sz w:val="24"/>
          <w:szCs w:val="24"/>
        </w:rPr>
        <w:t xml:space="preserve"> </w:t>
      </w:r>
      <w:r w:rsidRPr="002F0FF1">
        <w:rPr>
          <w:rFonts w:ascii="Times New Roman" w:hAnsi="Times New Roman" w:cs="Times New Roman"/>
          <w:sz w:val="24"/>
          <w:szCs w:val="24"/>
        </w:rPr>
        <w:t xml:space="preserve">as described earlier </w:t>
      </w:r>
      <w:r w:rsidR="00722B0C" w:rsidRPr="002F0FF1">
        <w:rPr>
          <w:rFonts w:ascii="Times New Roman" w:hAnsi="Times New Roman" w:cs="Times New Roman"/>
          <w:sz w:val="24"/>
          <w:szCs w:val="24"/>
        </w:rPr>
        <w:fldChar w:fldCharType="begin" w:fldLock="1"/>
      </w:r>
      <w:r w:rsidR="00517C5E" w:rsidRPr="002F0FF1">
        <w:rPr>
          <w:rFonts w:ascii="Times New Roman" w:hAnsi="Times New Roman" w:cs="Times New Roman"/>
          <w:sz w:val="24"/>
          <w:szCs w:val="24"/>
        </w:rPr>
        <w:instrText>ADDIN CSL_CITATION {"citationItems":[{"id":"ITEM-1","itemData":{"DOI":"10.1128/MCB.20.3.929-935.2000","ISSN":"0270-7306","PMID":"10629050","abstract":"In many types of apoptosis, the proapoptotic protein Bax undergoes a change in conformation at the level of the mitochondria. This event always precedes the release of mitochondrial cytochrome c , which, in the cytosol, activates caspases through binding to Apaf-1. The mechanisms by which Bax triggers cytochrome c release are unknown. Here we show that following binding to the BH3-domain-only proapoptotic protein Bid, Bax oligomerizes and then integrates in the outer mitochondrial membrane, where it triggers cytochrome c release. Bax mitochondrial membrane insertion triggered by Bid may represent a key step in pathways leading to apoptosis.","author":[{"dropping-particle":"","family":"Eskes","given":"Robert","non-dropping-particle":"","parse-names":false,"suffix":""},{"dropping-particle":"","family":"Desagher","given":"Solange","non-dropping-particle":"","parse-names":false,"suffix":""},{"dropping-particle":"","family":"Antonsson","given":"Bruno","non-dropping-particle":"","parse-names":false,"suffix":""},{"dropping-particle":"","family":"Martinou","given":"Jean-Claude","non-dropping-particle":"","parse-names":false,"suffix":""}],"container-title":"Molecular and Cellular Biology","id":"ITEM-1","issue":"3","issued":{"date-parts":[["2000","2","1"]]},"page":"929-935","publisher":"American Society for Microbiology","title":"Bid Induces the Oligomerization and Insertion of Bax into the Outer Mitochondrial Membrane","type":"article-journal","volume":"20"},"uris":["http://www.mendeley.com/documents/?uuid=381a0ef0-cbb8-3be6-9367-786f29d92d2a"]},{"id":"ITEM-2","itemData":{"DOI":"10.1074/jbc.M803132200","ISSN":"00219258","abstract":"Nucleoside diphosphate kinase (NDPK/Nm23), responsible for intracellular di- and triphosphonucleoside homeostasis, plays multiple roles in cellular energetics, signaling, proliferation, differentiation and tumor invasion. The only human NDPK with a mitochondrial targeting sequence is NDPK-D, the NME4 gene product, which is a peripheral protein of mitochondrial membranes. Subfractionation of rat liver and HEK 293 cell mitochondria revealed that NDPK-D is essentially bound to the inner membrane. Surface plasmon resonance analysis of the interaction using recombinant NDPK-D and model liposomes showed that NDPK-D interacts electrostatically with anionic phospholipids, with highest affinity observed for cardiolipin. Mutation of the central arginine (Arg-90) in a surface-exposed basic RRK motif unique to NDPK-D strongly reduced interaction with anionic phospholipids. Due to its symmetrical hexameric structure, NDPK-D was able to cross-link anionic phospholipid-containing liposomes, suggesting that NDPK-D could promote intermembrane contacts. Latency assays with isolated mitochondria and antibody binding to mitoplasts indicated a dual orientation for NDPK-D. In HeLa cells, stable expression of wild type but not of the R90D mutant led to membrane-bound enzyme in vivo. Respiration was significantly stimulated by the NDPK substrate TDP in mitochondria containing wild-type NDPK-D, but not in those expressing the R90D mutant, which is catalytically equally active. This indicates local ADP regeneration in the mitochondrial intermembrane space and a tight functional coupling of NDPK-D with oxidative phosphorylation that depends on its membrane-bound state. © 2008 by The American Society for Biochemistry and Molecular Biology, Inc.","author":[{"dropping-particle":"","family":"Tokarska-Schlattner","given":"Malgorzata","non-dropping-particle":"","parse-names":false,"suffix":""},{"dropping-particle":"","family":"Boissan","given":"Mathieu","non-dropping-particle":"","parse-names":false,"suffix":""},{"dropping-particle":"","family":"Munier","given":"Annie","non-dropping-particle":"","parse-names":false,"suffix":""},{"dropping-particle":"","family":"Borot","given":"Caroline","non-dropping-particle":"","parse-names":false,"suffix":""},{"dropping-particle":"","family":"Mailleau","given":"Christiane","non-dropping-particle":"","parse-names":false,"suffix":""},{"dropping-particle":"","family":"Speer","given":"Oliver","non-dropping-particle":"","parse-names":false,"suffix":""},{"dropping-particle":"","family":"Schlattner","given":"Uwe","non-dropping-particle":"","parse-names":false,"suffix":""},{"dropping-particle":"","family":"Lacombe","given":"Marie-Lise","non-dropping-particle":"","parse-names":false,"suffix":""}],"container-title":"Journal of Biological Chemistry","id":"ITEM-2","issue":"38","issued":{"date-parts":[["2008","9","19"]]},"page":"26198-26207","title":"The Nucleoside Diphosphate Kinase D (NM23-H4) Binds the Inner Mitochondrial Membrane with High Affinity to Cardiolipin and Couples Nucleotide Transfer with Respiration","type":"article-journal","volume":"283"},"uris":["http://www.mendeley.com/documents/?uuid=7aeaf41c-4e80-495d-a071-2a968eb7e6c2"]}],"mendeley":{"formattedCitation":"[94,131]","plainTextFormattedCitation":"[94,131]","previouslyFormattedCitation":"[94,131]"},"properties":{"noteIndex":0},"schema":"https://github.com/citation-style-language/schema/raw/master/csl-citation.json"}</w:instrText>
      </w:r>
      <w:r w:rsidR="00722B0C" w:rsidRPr="002F0FF1">
        <w:rPr>
          <w:rFonts w:ascii="Times New Roman" w:hAnsi="Times New Roman" w:cs="Times New Roman"/>
          <w:sz w:val="24"/>
          <w:szCs w:val="24"/>
        </w:rPr>
        <w:fldChar w:fldCharType="separate"/>
      </w:r>
      <w:r w:rsidR="00517C5E" w:rsidRPr="002F0FF1">
        <w:rPr>
          <w:rFonts w:ascii="Times New Roman" w:hAnsi="Times New Roman" w:cs="Times New Roman"/>
          <w:noProof/>
          <w:sz w:val="24"/>
          <w:szCs w:val="24"/>
        </w:rPr>
        <w:t>[94,131]</w:t>
      </w:r>
      <w:r w:rsidR="00722B0C"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with minor modifications. Cells were scrapped in PBS and centrifuged 5 min at 750 g</w:t>
      </w:r>
      <w:r w:rsidR="0020654D" w:rsidRPr="002F0FF1">
        <w:rPr>
          <w:rFonts w:ascii="Times New Roman" w:hAnsi="Times New Roman" w:cs="Times New Roman"/>
          <w:sz w:val="24"/>
          <w:szCs w:val="24"/>
        </w:rPr>
        <w:t>, 4 °C</w:t>
      </w:r>
      <w:r w:rsidRPr="002F0FF1">
        <w:rPr>
          <w:rFonts w:ascii="Times New Roman" w:hAnsi="Times New Roman" w:cs="Times New Roman"/>
          <w:sz w:val="24"/>
          <w:szCs w:val="24"/>
        </w:rPr>
        <w:t xml:space="preserve">. The cells were collected, resuspended and combined in 10 mL of </w:t>
      </w:r>
      <w:bookmarkStart w:id="157" w:name="_Hlk107228753"/>
      <w:r w:rsidRPr="002F0FF1">
        <w:rPr>
          <w:rFonts w:ascii="Times New Roman" w:hAnsi="Times New Roman" w:cs="Times New Roman"/>
          <w:sz w:val="24"/>
          <w:szCs w:val="24"/>
        </w:rPr>
        <w:t>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A</w:t>
      </w:r>
      <w:bookmarkEnd w:id="157"/>
      <w:r w:rsidRPr="002F0FF1">
        <w:rPr>
          <w:rFonts w:ascii="Times New Roman" w:hAnsi="Times New Roman" w:cs="Times New Roman"/>
          <w:sz w:val="24"/>
          <w:szCs w:val="24"/>
        </w:rPr>
        <w:t>. Cells were homogenized by 10 passages through a 25G needle. Homogenate (H) was centrifuged 5 min at 2 000 g</w:t>
      </w:r>
      <w:r w:rsidR="0020654D" w:rsidRPr="002F0FF1">
        <w:rPr>
          <w:rFonts w:ascii="Times New Roman" w:hAnsi="Times New Roman" w:cs="Times New Roman"/>
          <w:sz w:val="24"/>
          <w:szCs w:val="24"/>
        </w:rPr>
        <w:t>, 4 °C</w:t>
      </w:r>
      <w:r w:rsidRPr="002F0FF1">
        <w:rPr>
          <w:rFonts w:ascii="Times New Roman" w:hAnsi="Times New Roman" w:cs="Times New Roman"/>
          <w:sz w:val="24"/>
          <w:szCs w:val="24"/>
        </w:rPr>
        <w:t>. The supernatant (S1) was kept on ice and pellet, resuspended again in 10 mL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A, underwent 6 additional passages through a 25G needle and centrifugation (5 min, 2 000 g</w:t>
      </w:r>
      <w:r w:rsidR="0020654D" w:rsidRPr="002F0FF1">
        <w:rPr>
          <w:rFonts w:ascii="Times New Roman" w:hAnsi="Times New Roman" w:cs="Times New Roman"/>
          <w:sz w:val="24"/>
          <w:szCs w:val="24"/>
        </w:rPr>
        <w:t>, 4 °C</w:t>
      </w:r>
      <w:r w:rsidRPr="002F0FF1">
        <w:rPr>
          <w:rFonts w:ascii="Times New Roman" w:hAnsi="Times New Roman" w:cs="Times New Roman"/>
          <w:sz w:val="24"/>
          <w:szCs w:val="24"/>
        </w:rPr>
        <w:t>). Pellet enriched in nuclei (P) was resuspended in 5 mL of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A and kept on ice until analysis. The supernatant was combined with S1 and centrifuged 10 min at 13 000 g</w:t>
      </w:r>
      <w:r w:rsidR="0020654D" w:rsidRPr="002F0FF1">
        <w:rPr>
          <w:rFonts w:ascii="Times New Roman" w:hAnsi="Times New Roman" w:cs="Times New Roman"/>
          <w:sz w:val="24"/>
          <w:szCs w:val="24"/>
        </w:rPr>
        <w:t>, 4 °C</w:t>
      </w:r>
      <w:r w:rsidRPr="002F0FF1">
        <w:rPr>
          <w:rFonts w:ascii="Times New Roman" w:hAnsi="Times New Roman" w:cs="Times New Roman"/>
          <w:sz w:val="24"/>
          <w:szCs w:val="24"/>
        </w:rPr>
        <w:t xml:space="preserve">. The resulting supernatant enriched in cytosol (C) was kept for analysis. The pellet was resuspended in 1.5 mL of </w:t>
      </w:r>
      <w:bookmarkStart w:id="158" w:name="_Hlk107228780"/>
      <w:r w:rsidRPr="002F0FF1">
        <w:rPr>
          <w:rFonts w:ascii="Times New Roman" w:hAnsi="Times New Roman" w:cs="Times New Roman"/>
          <w:sz w:val="24"/>
          <w:szCs w:val="24"/>
        </w:rPr>
        <w:t>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B</w:t>
      </w:r>
      <w:bookmarkEnd w:id="158"/>
      <w:r w:rsidRPr="002F0FF1">
        <w:rPr>
          <w:rFonts w:ascii="Times New Roman" w:hAnsi="Times New Roman" w:cs="Times New Roman"/>
          <w:sz w:val="24"/>
          <w:szCs w:val="24"/>
        </w:rPr>
        <w:t xml:space="preserve"> and centrifuged 5 min at 500 g</w:t>
      </w:r>
      <w:r w:rsidR="0020654D" w:rsidRPr="002F0FF1">
        <w:rPr>
          <w:rFonts w:ascii="Times New Roman" w:hAnsi="Times New Roman" w:cs="Times New Roman"/>
          <w:sz w:val="24"/>
          <w:szCs w:val="24"/>
        </w:rPr>
        <w:t>, 4 °C</w:t>
      </w:r>
      <w:r w:rsidRPr="002F0FF1">
        <w:rPr>
          <w:rFonts w:ascii="Times New Roman" w:hAnsi="Times New Roman" w:cs="Times New Roman"/>
          <w:sz w:val="24"/>
          <w:szCs w:val="24"/>
        </w:rPr>
        <w:t>. The supernatant was transferred in a clean tube and centrifuged 10 min at 10 000 g</w:t>
      </w:r>
      <w:r w:rsidR="0020654D" w:rsidRPr="002F0FF1">
        <w:rPr>
          <w:rFonts w:ascii="Times New Roman" w:hAnsi="Times New Roman" w:cs="Times New Roman"/>
          <w:sz w:val="24"/>
          <w:szCs w:val="24"/>
        </w:rPr>
        <w:t>, 4 °C</w:t>
      </w:r>
      <w:r w:rsidRPr="002F0FF1">
        <w:rPr>
          <w:rFonts w:ascii="Times New Roman" w:hAnsi="Times New Roman" w:cs="Times New Roman"/>
          <w:sz w:val="24"/>
          <w:szCs w:val="24"/>
        </w:rPr>
        <w:t>. The resulting pellet enriched in crude-mitochondria (MC) was resuspended in 1 mL of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B and purified on 25 % Percoll gradient (</w:t>
      </w:r>
      <w:r w:rsidR="0005314C" w:rsidRPr="002F0FF1">
        <w:rPr>
          <w:rFonts w:ascii="Times New Roman" w:hAnsi="Times New Roman" w:cs="Times New Roman"/>
          <w:sz w:val="24"/>
          <w:szCs w:val="24"/>
        </w:rPr>
        <w:t xml:space="preserve">section </w:t>
      </w:r>
      <w:r w:rsidR="00E85468" w:rsidRPr="002F0FF1">
        <w:rPr>
          <w:rFonts w:ascii="Times New Roman" w:hAnsi="Times New Roman" w:cs="Times New Roman"/>
          <w:sz w:val="24"/>
          <w:szCs w:val="24"/>
        </w:rPr>
        <w:fldChar w:fldCharType="begin"/>
      </w:r>
      <w:r w:rsidR="00E85468" w:rsidRPr="002F0FF1">
        <w:rPr>
          <w:rFonts w:ascii="Times New Roman" w:hAnsi="Times New Roman" w:cs="Times New Roman"/>
          <w:sz w:val="24"/>
          <w:szCs w:val="24"/>
        </w:rPr>
        <w:instrText xml:space="preserve"> REF _Ref105768471 \r \h </w:instrText>
      </w:r>
      <w:r w:rsidR="002E26D2" w:rsidRPr="002F0FF1">
        <w:rPr>
          <w:rFonts w:ascii="Times New Roman" w:hAnsi="Times New Roman" w:cs="Times New Roman"/>
          <w:sz w:val="24"/>
          <w:szCs w:val="24"/>
        </w:rPr>
        <w:instrText xml:space="preserve"> \* MERGEFORMAT </w:instrText>
      </w:r>
      <w:r w:rsidR="00E85468" w:rsidRPr="002F0FF1">
        <w:rPr>
          <w:rFonts w:ascii="Times New Roman" w:hAnsi="Times New Roman" w:cs="Times New Roman"/>
          <w:sz w:val="24"/>
          <w:szCs w:val="24"/>
        </w:rPr>
      </w:r>
      <w:r w:rsidR="00E85468"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3.2.3.11.1</w:t>
      </w:r>
      <w:r w:rsidR="00E85468" w:rsidRPr="002F0FF1">
        <w:rPr>
          <w:rFonts w:ascii="Times New Roman" w:hAnsi="Times New Roman" w:cs="Times New Roman"/>
          <w:sz w:val="24"/>
          <w:szCs w:val="24"/>
        </w:rPr>
        <w:fldChar w:fldCharType="end"/>
      </w:r>
      <w:r w:rsidRPr="002F0FF1">
        <w:rPr>
          <w:rFonts w:ascii="Times New Roman" w:hAnsi="Times New Roman" w:cs="Times New Roman"/>
          <w:sz w:val="24"/>
          <w:szCs w:val="24"/>
        </w:rPr>
        <w:t>). Two bands were collected from bottom to top (MP, percoll-pure mitochondria; CON, contaminants) and washed in 10 mL of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B (10 min, 7 000 g</w:t>
      </w:r>
      <w:r w:rsidR="0020654D" w:rsidRPr="002F0FF1">
        <w:rPr>
          <w:rFonts w:ascii="Times New Roman" w:hAnsi="Times New Roman" w:cs="Times New Roman"/>
          <w:sz w:val="24"/>
          <w:szCs w:val="24"/>
        </w:rPr>
        <w:t>, 4 °C</w:t>
      </w:r>
      <w:r w:rsidRPr="002F0FF1">
        <w:rPr>
          <w:rFonts w:ascii="Times New Roman" w:hAnsi="Times New Roman" w:cs="Times New Roman"/>
          <w:sz w:val="24"/>
          <w:szCs w:val="24"/>
        </w:rPr>
        <w:t>). The resulting pellets were resuspended in 0.5 mL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B. Protein concentration was measured using Bradford method (</w:t>
      </w:r>
      <w:r w:rsidR="009D2FF5" w:rsidRPr="002F0FF1">
        <w:rPr>
          <w:rFonts w:ascii="Times New Roman" w:hAnsi="Times New Roman" w:cs="Times New Roman"/>
          <w:sz w:val="24"/>
          <w:szCs w:val="24"/>
        </w:rPr>
        <w:t xml:space="preserve">section </w:t>
      </w:r>
      <w:r w:rsidR="00E85468" w:rsidRPr="002F0FF1">
        <w:rPr>
          <w:rFonts w:ascii="Times New Roman" w:hAnsi="Times New Roman" w:cs="Times New Roman"/>
          <w:sz w:val="24"/>
          <w:szCs w:val="24"/>
        </w:rPr>
        <w:fldChar w:fldCharType="begin"/>
      </w:r>
      <w:r w:rsidR="00E85468" w:rsidRPr="002F0FF1">
        <w:rPr>
          <w:rFonts w:ascii="Times New Roman" w:hAnsi="Times New Roman" w:cs="Times New Roman"/>
          <w:sz w:val="24"/>
          <w:szCs w:val="24"/>
        </w:rPr>
        <w:instrText xml:space="preserve"> REF _Ref105767613 \r \h </w:instrText>
      </w:r>
      <w:r w:rsidR="002E26D2" w:rsidRPr="002F0FF1">
        <w:rPr>
          <w:rFonts w:ascii="Times New Roman" w:hAnsi="Times New Roman" w:cs="Times New Roman"/>
          <w:sz w:val="24"/>
          <w:szCs w:val="24"/>
        </w:rPr>
        <w:instrText xml:space="preserve"> \* MERGEFORMAT </w:instrText>
      </w:r>
      <w:r w:rsidR="00E85468" w:rsidRPr="002F0FF1">
        <w:rPr>
          <w:rFonts w:ascii="Times New Roman" w:hAnsi="Times New Roman" w:cs="Times New Roman"/>
          <w:sz w:val="24"/>
          <w:szCs w:val="24"/>
        </w:rPr>
      </w:r>
      <w:r w:rsidR="00E85468"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3.2.3.2.2</w:t>
      </w:r>
      <w:r w:rsidR="00E85468" w:rsidRPr="002F0FF1">
        <w:rPr>
          <w:rFonts w:ascii="Times New Roman" w:hAnsi="Times New Roman" w:cs="Times New Roman"/>
          <w:sz w:val="24"/>
          <w:szCs w:val="24"/>
        </w:rPr>
        <w:fldChar w:fldCharType="end"/>
      </w:r>
      <w:r w:rsidRPr="002F0FF1">
        <w:rPr>
          <w:rFonts w:ascii="Times New Roman" w:hAnsi="Times New Roman" w:cs="Times New Roman"/>
          <w:sz w:val="24"/>
          <w:szCs w:val="24"/>
        </w:rPr>
        <w:t>) and 2 µg from each fraction was analyzed by Western blot (</w:t>
      </w:r>
      <w:r w:rsidR="009D2FF5" w:rsidRPr="002F0FF1">
        <w:rPr>
          <w:rFonts w:ascii="Times New Roman" w:hAnsi="Times New Roman" w:cs="Times New Roman"/>
          <w:sz w:val="24"/>
          <w:szCs w:val="24"/>
        </w:rPr>
        <w:t xml:space="preserve">section </w:t>
      </w:r>
      <w:r w:rsidR="00E85468" w:rsidRPr="002F0FF1">
        <w:rPr>
          <w:rFonts w:ascii="Times New Roman" w:hAnsi="Times New Roman" w:cs="Times New Roman"/>
          <w:sz w:val="24"/>
          <w:szCs w:val="24"/>
        </w:rPr>
        <w:fldChar w:fldCharType="begin"/>
      </w:r>
      <w:r w:rsidR="00E85468"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E85468" w:rsidRPr="002F0FF1">
        <w:rPr>
          <w:rFonts w:ascii="Times New Roman" w:hAnsi="Times New Roman" w:cs="Times New Roman"/>
          <w:sz w:val="24"/>
          <w:szCs w:val="24"/>
        </w:rPr>
      </w:r>
      <w:r w:rsidR="00E85468"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E85468"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p>
    <w:p w14:paraId="35CDA713" w14:textId="7CFA5962" w:rsidR="000B3AF7" w:rsidRPr="002E26D2" w:rsidRDefault="000D68C1" w:rsidP="00B23BAE">
      <w:pPr>
        <w:pStyle w:val="Heading5"/>
      </w:pPr>
      <w:bookmarkStart w:id="159" w:name="_Ref105768471"/>
      <w:r w:rsidRPr="002E26D2">
        <w:t>Percoll gradient purification</w:t>
      </w:r>
      <w:bookmarkEnd w:id="159"/>
    </w:p>
    <w:p w14:paraId="2D8F4F95" w14:textId="1765383A"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A 25 % Percoll gradient was created in an ultracentrifuge tube by mixing 2 mL of Percoll with 5 mL of Buffer</w:t>
      </w:r>
      <w:r w:rsidR="00691BE2" w:rsidRPr="002F0FF1">
        <w:rPr>
          <w:rFonts w:ascii="Times New Roman" w:hAnsi="Times New Roman" w:cs="Times New Roman"/>
          <w:sz w:val="24"/>
          <w:szCs w:val="24"/>
        </w:rPr>
        <w:t xml:space="preserve"> </w:t>
      </w:r>
      <w:r w:rsidRPr="002F0FF1">
        <w:rPr>
          <w:rFonts w:ascii="Times New Roman" w:hAnsi="Times New Roman" w:cs="Times New Roman"/>
          <w:sz w:val="24"/>
          <w:szCs w:val="24"/>
        </w:rPr>
        <w:t xml:space="preserve">B. The solution was cooled down and 1 mL of </w:t>
      </w:r>
      <w:r w:rsidR="00745ABF" w:rsidRPr="002F0FF1">
        <w:rPr>
          <w:rFonts w:ascii="Times New Roman" w:hAnsi="Times New Roman" w:cs="Times New Roman"/>
          <w:sz w:val="24"/>
          <w:szCs w:val="24"/>
        </w:rPr>
        <w:t>crude-mitochondria (</w:t>
      </w:r>
      <w:r w:rsidRPr="002F0FF1">
        <w:rPr>
          <w:rFonts w:ascii="Times New Roman" w:hAnsi="Times New Roman" w:cs="Times New Roman"/>
          <w:sz w:val="24"/>
          <w:szCs w:val="24"/>
        </w:rPr>
        <w:t>MC</w:t>
      </w:r>
      <w:r w:rsidR="00745ABF" w:rsidRPr="002F0FF1">
        <w:rPr>
          <w:rFonts w:ascii="Times New Roman" w:hAnsi="Times New Roman" w:cs="Times New Roman"/>
          <w:sz w:val="24"/>
          <w:szCs w:val="24"/>
        </w:rPr>
        <w:t>)</w:t>
      </w:r>
      <w:r w:rsidRPr="002F0FF1">
        <w:rPr>
          <w:rFonts w:ascii="Times New Roman" w:hAnsi="Times New Roman" w:cs="Times New Roman"/>
          <w:sz w:val="24"/>
          <w:szCs w:val="24"/>
        </w:rPr>
        <w:t xml:space="preserve"> sample was gently applied on top of the solution, with great attention to avoid mixing. The tube was ultracentrifuged for 35 min at 100 000 g</w:t>
      </w:r>
      <w:r w:rsidR="00E9583A" w:rsidRPr="002F0FF1">
        <w:rPr>
          <w:rFonts w:ascii="Times New Roman" w:hAnsi="Times New Roman" w:cs="Times New Roman"/>
          <w:sz w:val="24"/>
          <w:szCs w:val="24"/>
        </w:rPr>
        <w:t>, 4 °C</w:t>
      </w:r>
      <w:r w:rsidRPr="002F0FF1">
        <w:rPr>
          <w:rFonts w:ascii="Times New Roman" w:hAnsi="Times New Roman" w:cs="Times New Roman"/>
          <w:sz w:val="24"/>
          <w:szCs w:val="24"/>
        </w:rPr>
        <w:t>, using the rotor 60Ti fixed angle. The tube was handled gently to avoid mixing. The tube was kept on ice until collection of the separate bands.</w:t>
      </w:r>
    </w:p>
    <w:p w14:paraId="6DECCC23" w14:textId="4615B57C" w:rsidR="000B3AF7" w:rsidRPr="002E26D2" w:rsidRDefault="000B3AF7" w:rsidP="002E2D58">
      <w:pPr>
        <w:pStyle w:val="Heading4"/>
      </w:pPr>
      <w:bookmarkStart w:id="160" w:name="_Ref105769334"/>
      <w:bookmarkStart w:id="161" w:name="_Toc117153867"/>
      <w:r w:rsidRPr="002E26D2">
        <w:t>Mitochondrial subfractionation</w:t>
      </w:r>
      <w:bookmarkEnd w:id="160"/>
      <w:bookmarkEnd w:id="161"/>
    </w:p>
    <w:p w14:paraId="30603FB8" w14:textId="12412244"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The whole procedure of mitochondrial subfractionation was performed on ice using crude</w:t>
      </w:r>
      <w:r w:rsidR="00C918DD" w:rsidRPr="002F0FF1">
        <w:rPr>
          <w:rFonts w:ascii="Times New Roman" w:hAnsi="Times New Roman" w:cs="Times New Roman"/>
          <w:sz w:val="24"/>
          <w:szCs w:val="24"/>
        </w:rPr>
        <w:t>-</w:t>
      </w:r>
      <w:r w:rsidRPr="002F0FF1">
        <w:rPr>
          <w:rFonts w:ascii="Times New Roman" w:hAnsi="Times New Roman" w:cs="Times New Roman"/>
          <w:sz w:val="24"/>
          <w:szCs w:val="24"/>
        </w:rPr>
        <w:t>mitochondria</w:t>
      </w:r>
      <w:r w:rsidR="00C918DD" w:rsidRPr="002F0FF1">
        <w:rPr>
          <w:rFonts w:ascii="Times New Roman" w:hAnsi="Times New Roman" w:cs="Times New Roman"/>
          <w:sz w:val="24"/>
          <w:szCs w:val="24"/>
        </w:rPr>
        <w:t xml:space="preserve"> (MC)</w:t>
      </w:r>
      <w:r w:rsidRPr="002F0FF1">
        <w:rPr>
          <w:rFonts w:ascii="Times New Roman" w:hAnsi="Times New Roman" w:cs="Times New Roman"/>
          <w:sz w:val="24"/>
          <w:szCs w:val="24"/>
        </w:rPr>
        <w:t xml:space="preserve"> fraction</w:t>
      </w:r>
      <w:r w:rsidR="00C918DD" w:rsidRPr="002F0FF1">
        <w:rPr>
          <w:rFonts w:ascii="Times New Roman" w:hAnsi="Times New Roman" w:cs="Times New Roman"/>
          <w:sz w:val="24"/>
          <w:szCs w:val="24"/>
        </w:rPr>
        <w:t xml:space="preserve"> </w:t>
      </w:r>
      <w:r w:rsidRPr="002F0FF1">
        <w:rPr>
          <w:rFonts w:ascii="Times New Roman" w:hAnsi="Times New Roman" w:cs="Times New Roman"/>
          <w:sz w:val="24"/>
          <w:szCs w:val="24"/>
        </w:rPr>
        <w:t>obtained from MDA-MB-231T cells as described above (</w:t>
      </w:r>
      <w:r w:rsidR="00CE773C">
        <w:rPr>
          <w:rFonts w:ascii="Times New Roman" w:hAnsi="Times New Roman" w:cs="Times New Roman"/>
          <w:sz w:val="24"/>
          <w:szCs w:val="24"/>
        </w:rPr>
        <w:t xml:space="preserve">section </w:t>
      </w:r>
      <w:r w:rsidR="00AD79FB" w:rsidRPr="002F0FF1">
        <w:rPr>
          <w:rFonts w:ascii="Times New Roman" w:hAnsi="Times New Roman" w:cs="Times New Roman"/>
          <w:sz w:val="24"/>
          <w:szCs w:val="24"/>
        </w:rPr>
        <w:lastRenderedPageBreak/>
        <w:fldChar w:fldCharType="begin"/>
      </w:r>
      <w:r w:rsidR="00AD79FB" w:rsidRPr="002F0FF1">
        <w:rPr>
          <w:rFonts w:ascii="Times New Roman" w:hAnsi="Times New Roman" w:cs="Times New Roman"/>
          <w:sz w:val="24"/>
          <w:szCs w:val="24"/>
        </w:rPr>
        <w:instrText xml:space="preserve"> REF _Ref105768579 \r \h </w:instrText>
      </w:r>
      <w:r w:rsidR="002E26D2" w:rsidRPr="002F0FF1">
        <w:rPr>
          <w:rFonts w:ascii="Times New Roman" w:hAnsi="Times New Roman" w:cs="Times New Roman"/>
          <w:sz w:val="24"/>
          <w:szCs w:val="24"/>
        </w:rPr>
        <w:instrText xml:space="preserve"> \* MERGEFORMAT </w:instrText>
      </w:r>
      <w:r w:rsidR="00AD79FB" w:rsidRPr="002F0FF1">
        <w:rPr>
          <w:rFonts w:ascii="Times New Roman" w:hAnsi="Times New Roman" w:cs="Times New Roman"/>
          <w:sz w:val="24"/>
          <w:szCs w:val="24"/>
        </w:rPr>
      </w:r>
      <w:r w:rsidR="00AD79FB"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3.2.3.11</w:t>
      </w:r>
      <w:r w:rsidR="00AD79FB"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and swelling-shrinking procedure as described earlier </w:t>
      </w:r>
      <w:r w:rsidR="00C918DD" w:rsidRPr="002F0FF1">
        <w:rPr>
          <w:rFonts w:ascii="Times New Roman" w:hAnsi="Times New Roman" w:cs="Times New Roman"/>
          <w:sz w:val="24"/>
          <w:szCs w:val="24"/>
        </w:rPr>
        <w:fldChar w:fldCharType="begin" w:fldLock="1"/>
      </w:r>
      <w:r w:rsidR="003B2CF6" w:rsidRPr="002F0FF1">
        <w:rPr>
          <w:rFonts w:ascii="Times New Roman" w:hAnsi="Times New Roman" w:cs="Times New Roman"/>
          <w:sz w:val="24"/>
          <w:szCs w:val="24"/>
        </w:rPr>
        <w:instrText>ADDIN CSL_CITATION {"citationItems":[{"id":"ITEM-1","itemData":{"DOI":"10.1016/0005-2736(90)90036-N","ISSN":"00052736","PMID":"2154259","abstract":"Rat liver mitochondria were isolated by a combination of differential and Percoll gradient centrifugation, resulting in a highly pure and intact preparation, as assessed by marker enzyme analysis, latency of cytochrome-c oxidase, respiratory control index and electron microscopy. Two different methods were compared for the separation of inner and outer membranes. In the swell-shrink-sonicate procedure glycerol was included resulting in the isolation of one outer membrane and two inner membrane fractions of high purity. Using digitonin a highly selective and gradual solubilization of the outer membrane could be accomplished. Analysis of the phospholipid composition of the intact mitochondria and all subfractions showed that the inner membrane was virtually devoid of phosphatidylinositol and -serine, while the outer membrane contained 23% of the total mitochondrial cardiolipin, which did not originate from inner membrane contamination and therefore is a true component of the outer membrane. © 1990.","author":[{"dropping-particle":"","family":"Hovius","given":"Ruud","non-dropping-particle":"","parse-names":false,"suffix":""},{"dropping-particle":"","family":"Lambrechts","given":"Hilde","non-dropping-particle":"","parse-names":false,"suffix":""},{"dropping-particle":"","family":"Nicolay","given":"Klaas","non-dropping-particle":"","parse-names":false,"suffix":""},{"dropping-particle":"","family":"Kruijff","given":"Ben","non-dropping-particle":"de","parse-names":false,"suffix":""}],"container-title":"Biochimica et Biophysica Acta (BBA) - Biomembranes","id":"ITEM-1","issue":"2","issued":{"date-parts":[["1990","1"]]},"page":"217-226","title":"Improved methods to isolate and subfractionate rat liver mitochondria. Lipid composition of the inner and outer membrane","type":"article-journal","volume":"1021"},"uris":["http://www.mendeley.com/documents/?uuid=8c8d51a8-40f6-4643-b977-6e75be83a14a"]}],"mendeley":{"formattedCitation":"[132]","plainTextFormattedCitation":"[132]","previouslyFormattedCitation":"[132]"},"properties":{"noteIndex":0},"schema":"https://github.com/citation-style-language/schema/raw/master/csl-citation.json"}</w:instrText>
      </w:r>
      <w:r w:rsidR="00C918DD" w:rsidRPr="002F0FF1">
        <w:rPr>
          <w:rFonts w:ascii="Times New Roman" w:hAnsi="Times New Roman" w:cs="Times New Roman"/>
          <w:sz w:val="24"/>
          <w:szCs w:val="24"/>
        </w:rPr>
        <w:fldChar w:fldCharType="separate"/>
      </w:r>
      <w:r w:rsidR="00517C5E" w:rsidRPr="002F0FF1">
        <w:rPr>
          <w:rFonts w:ascii="Times New Roman" w:hAnsi="Times New Roman" w:cs="Times New Roman"/>
          <w:noProof/>
          <w:sz w:val="24"/>
          <w:szCs w:val="24"/>
        </w:rPr>
        <w:t>[132]</w:t>
      </w:r>
      <w:r w:rsidR="00C918DD" w:rsidRPr="002F0FF1">
        <w:rPr>
          <w:rFonts w:ascii="Times New Roman" w:hAnsi="Times New Roman" w:cs="Times New Roman"/>
          <w:sz w:val="24"/>
          <w:szCs w:val="24"/>
        </w:rPr>
        <w:fldChar w:fldCharType="end"/>
      </w:r>
      <w:r w:rsidR="00C918DD" w:rsidRPr="002F0FF1">
        <w:rPr>
          <w:rFonts w:ascii="Times New Roman" w:hAnsi="Times New Roman" w:cs="Times New Roman"/>
          <w:sz w:val="24"/>
          <w:szCs w:val="24"/>
        </w:rPr>
        <w:t xml:space="preserve"> </w:t>
      </w:r>
      <w:r w:rsidRPr="002F0FF1">
        <w:rPr>
          <w:rFonts w:ascii="Times New Roman" w:hAnsi="Times New Roman" w:cs="Times New Roman"/>
          <w:sz w:val="24"/>
          <w:szCs w:val="24"/>
        </w:rPr>
        <w:t>with minor modification. After washing in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 xml:space="preserve">B (10 000 g, 10 min), MC pellet was resuspended in 200 µL of </w:t>
      </w:r>
      <w:bookmarkStart w:id="162" w:name="_Hlk107228862"/>
      <w:r w:rsidRPr="002F0FF1">
        <w:rPr>
          <w:rFonts w:ascii="Times New Roman" w:hAnsi="Times New Roman" w:cs="Times New Roman"/>
          <w:sz w:val="24"/>
          <w:szCs w:val="24"/>
        </w:rPr>
        <w:t>swelling buffer</w:t>
      </w:r>
      <w:r w:rsidR="00844207" w:rsidRPr="002F0FF1">
        <w:rPr>
          <w:rFonts w:ascii="Times New Roman" w:hAnsi="Times New Roman" w:cs="Times New Roman"/>
          <w:sz w:val="24"/>
          <w:szCs w:val="24"/>
        </w:rPr>
        <w:t xml:space="preserve"> </w:t>
      </w:r>
      <w:r w:rsidRPr="002F0FF1">
        <w:rPr>
          <w:rFonts w:ascii="Times New Roman" w:hAnsi="Times New Roman" w:cs="Times New Roman"/>
          <w:sz w:val="24"/>
          <w:szCs w:val="24"/>
        </w:rPr>
        <w:t>SW1</w:t>
      </w:r>
      <w:bookmarkEnd w:id="162"/>
      <w:r w:rsidR="00844207" w:rsidRPr="002F0FF1">
        <w:rPr>
          <w:rFonts w:ascii="Times New Roman" w:hAnsi="Times New Roman" w:cs="Times New Roman"/>
          <w:sz w:val="24"/>
          <w:szCs w:val="24"/>
        </w:rPr>
        <w:t xml:space="preserve"> </w:t>
      </w:r>
      <w:r w:rsidRPr="002F0FF1">
        <w:rPr>
          <w:rFonts w:ascii="Times New Roman" w:hAnsi="Times New Roman" w:cs="Times New Roman"/>
          <w:sz w:val="24"/>
          <w:szCs w:val="24"/>
        </w:rPr>
        <w:t xml:space="preserve">and incubated 20 min on the rotator. Then 200 µL of </w:t>
      </w:r>
      <w:bookmarkStart w:id="163" w:name="_Hlk107228875"/>
      <w:r w:rsidRPr="002F0FF1">
        <w:rPr>
          <w:rFonts w:ascii="Times New Roman" w:hAnsi="Times New Roman" w:cs="Times New Roman"/>
          <w:sz w:val="24"/>
          <w:szCs w:val="24"/>
        </w:rPr>
        <w:t xml:space="preserve">shrinking buffer SW2 </w:t>
      </w:r>
      <w:bookmarkEnd w:id="163"/>
      <w:r w:rsidRPr="002F0FF1">
        <w:rPr>
          <w:rFonts w:ascii="Times New Roman" w:hAnsi="Times New Roman" w:cs="Times New Roman"/>
          <w:sz w:val="24"/>
          <w:szCs w:val="24"/>
        </w:rPr>
        <w:t>was added and the suspension was incubated for further 1 h on the rotator. The sample was gently sonicated (2 × 15 s) in a water bath sonicator and centrifuged at 12 000 g for 10 min</w:t>
      </w:r>
      <w:r w:rsidR="00E9583A" w:rsidRPr="002F0FF1">
        <w:rPr>
          <w:rFonts w:ascii="Times New Roman" w:hAnsi="Times New Roman" w:cs="Times New Roman"/>
          <w:sz w:val="24"/>
          <w:szCs w:val="24"/>
        </w:rPr>
        <w:t>, 4 °C</w:t>
      </w:r>
      <w:r w:rsidRPr="002F0FF1">
        <w:rPr>
          <w:rFonts w:ascii="Times New Roman" w:hAnsi="Times New Roman" w:cs="Times New Roman"/>
          <w:sz w:val="24"/>
          <w:szCs w:val="24"/>
        </w:rPr>
        <w:t>. The resulting low-speed supernatant (MCss_ls) was kept on ice while the mitoplast-containing low-speed pellet (MCss_lp) was washed two times in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A (10 min, 12 000 g) before being resuspended in 400 µL of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SW1 and sonicated using the Sonopuls ultrasonic homogenizer with a metal tip, 3 × 15 s, with 60 s cooling interval. Both MCss_ls and MCss_lp were centrifuged 1 h at 160 000 g</w:t>
      </w:r>
      <w:r w:rsidR="00E9583A" w:rsidRPr="002F0FF1">
        <w:rPr>
          <w:rFonts w:ascii="Times New Roman" w:hAnsi="Times New Roman" w:cs="Times New Roman"/>
          <w:sz w:val="24"/>
          <w:szCs w:val="24"/>
        </w:rPr>
        <w:t>, 4 °C</w:t>
      </w:r>
      <w:r w:rsidRPr="002F0FF1">
        <w:rPr>
          <w:rFonts w:ascii="Times New Roman" w:hAnsi="Times New Roman" w:cs="Times New Roman"/>
          <w:sz w:val="24"/>
          <w:szCs w:val="24"/>
        </w:rPr>
        <w:t xml:space="preserve"> (Beckman ultracentrifuge; 70.1Ti fixed angle rotor). Resulting high-speed pellets (respectively MCss_ls_hp and MCss_lp_hp) were resuspended in 100 µL Buffer</w:t>
      </w:r>
      <w:r w:rsidR="00501A59" w:rsidRPr="002F0FF1">
        <w:rPr>
          <w:rFonts w:ascii="Times New Roman" w:hAnsi="Times New Roman" w:cs="Times New Roman"/>
          <w:sz w:val="24"/>
          <w:szCs w:val="24"/>
        </w:rPr>
        <w:t xml:space="preserve"> </w:t>
      </w:r>
      <w:r w:rsidRPr="002F0FF1">
        <w:rPr>
          <w:rFonts w:ascii="Times New Roman" w:hAnsi="Times New Roman" w:cs="Times New Roman"/>
          <w:sz w:val="24"/>
          <w:szCs w:val="24"/>
        </w:rPr>
        <w:t>B, while resulting high-speed supernatants (respectively MCss_ls_hs and MCss_lp_hs) were separately concentrated using microconcentrator YM-3 according to manufacturer’s instruction. Protein concentration was determined by Bradford method (</w:t>
      </w:r>
      <w:r w:rsidR="00F944EA" w:rsidRPr="002F0FF1">
        <w:rPr>
          <w:rFonts w:ascii="Times New Roman" w:hAnsi="Times New Roman" w:cs="Times New Roman"/>
          <w:sz w:val="24"/>
          <w:szCs w:val="24"/>
        </w:rPr>
        <w:t xml:space="preserve">section </w:t>
      </w:r>
      <w:r w:rsidR="00AD79FB" w:rsidRPr="002F0FF1">
        <w:rPr>
          <w:rFonts w:ascii="Times New Roman" w:hAnsi="Times New Roman" w:cs="Times New Roman"/>
          <w:sz w:val="24"/>
          <w:szCs w:val="24"/>
        </w:rPr>
        <w:fldChar w:fldCharType="begin"/>
      </w:r>
      <w:r w:rsidR="00AD79FB" w:rsidRPr="002F0FF1">
        <w:rPr>
          <w:rFonts w:ascii="Times New Roman" w:hAnsi="Times New Roman" w:cs="Times New Roman"/>
          <w:sz w:val="24"/>
          <w:szCs w:val="24"/>
        </w:rPr>
        <w:instrText xml:space="preserve"> REF _Ref105767613 \r \h </w:instrText>
      </w:r>
      <w:r w:rsidR="002E26D2" w:rsidRPr="002F0FF1">
        <w:rPr>
          <w:rFonts w:ascii="Times New Roman" w:hAnsi="Times New Roman" w:cs="Times New Roman"/>
          <w:sz w:val="24"/>
          <w:szCs w:val="24"/>
        </w:rPr>
        <w:instrText xml:space="preserve"> \* MERGEFORMAT </w:instrText>
      </w:r>
      <w:r w:rsidR="00AD79FB" w:rsidRPr="002F0FF1">
        <w:rPr>
          <w:rFonts w:ascii="Times New Roman" w:hAnsi="Times New Roman" w:cs="Times New Roman"/>
          <w:sz w:val="24"/>
          <w:szCs w:val="24"/>
        </w:rPr>
      </w:r>
      <w:r w:rsidR="00AD79FB"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3.2.3.2.2</w:t>
      </w:r>
      <w:r w:rsidR="00AD79FB" w:rsidRPr="002F0FF1">
        <w:rPr>
          <w:rFonts w:ascii="Times New Roman" w:hAnsi="Times New Roman" w:cs="Times New Roman"/>
          <w:sz w:val="24"/>
          <w:szCs w:val="24"/>
        </w:rPr>
        <w:fldChar w:fldCharType="end"/>
      </w:r>
      <w:r w:rsidRPr="002F0FF1">
        <w:rPr>
          <w:rFonts w:ascii="Times New Roman" w:hAnsi="Times New Roman" w:cs="Times New Roman"/>
          <w:sz w:val="24"/>
          <w:szCs w:val="24"/>
        </w:rPr>
        <w:t>), and 2 µg of protein were analyzed by Western blot (</w:t>
      </w:r>
      <w:r w:rsidR="00AD79FB" w:rsidRPr="002F0FF1">
        <w:rPr>
          <w:rFonts w:ascii="Times New Roman" w:hAnsi="Times New Roman" w:cs="Times New Roman"/>
          <w:sz w:val="24"/>
          <w:szCs w:val="24"/>
        </w:rPr>
        <w:fldChar w:fldCharType="begin"/>
      </w:r>
      <w:r w:rsidR="00AD79FB" w:rsidRPr="002F0FF1">
        <w:rPr>
          <w:rFonts w:ascii="Times New Roman" w:hAnsi="Times New Roman" w:cs="Times New Roman"/>
          <w:sz w:val="24"/>
          <w:szCs w:val="24"/>
        </w:rPr>
        <w:instrText xml:space="preserve"> REF _Ref105767593 \r \h </w:instrText>
      </w:r>
      <w:r w:rsidR="002E26D2" w:rsidRPr="002F0FF1">
        <w:rPr>
          <w:rFonts w:ascii="Times New Roman" w:hAnsi="Times New Roman" w:cs="Times New Roman"/>
          <w:sz w:val="24"/>
          <w:szCs w:val="24"/>
        </w:rPr>
        <w:instrText xml:space="preserve"> \* MERGEFORMAT </w:instrText>
      </w:r>
      <w:r w:rsidR="00AD79FB" w:rsidRPr="002F0FF1">
        <w:rPr>
          <w:rFonts w:ascii="Times New Roman" w:hAnsi="Times New Roman" w:cs="Times New Roman"/>
          <w:sz w:val="24"/>
          <w:szCs w:val="24"/>
        </w:rPr>
      </w:r>
      <w:r w:rsidR="00AD79FB"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AD79FB" w:rsidRPr="002F0FF1">
        <w:rPr>
          <w:rFonts w:ascii="Times New Roman" w:hAnsi="Times New Roman" w:cs="Times New Roman"/>
          <w:sz w:val="24"/>
          <w:szCs w:val="24"/>
        </w:rPr>
        <w:fldChar w:fldCharType="end"/>
      </w:r>
      <w:r w:rsidRPr="002F0FF1">
        <w:rPr>
          <w:rFonts w:ascii="Times New Roman" w:hAnsi="Times New Roman" w:cs="Times New Roman"/>
          <w:sz w:val="24"/>
          <w:szCs w:val="24"/>
        </w:rPr>
        <w:t>).</w:t>
      </w:r>
    </w:p>
    <w:p w14:paraId="777949FC" w14:textId="1FB1B536" w:rsidR="000B3AF7" w:rsidRPr="002E26D2" w:rsidRDefault="000B3AF7" w:rsidP="002E2D58">
      <w:pPr>
        <w:pStyle w:val="Heading4"/>
      </w:pPr>
      <w:bookmarkStart w:id="164" w:name="_Ref105769413"/>
      <w:bookmarkStart w:id="165" w:name="_Toc117153868"/>
      <w:r w:rsidRPr="002E26D2">
        <w:t>Cell fractionation using a commercial kit</w:t>
      </w:r>
      <w:bookmarkEnd w:id="164"/>
      <w:bookmarkEnd w:id="165"/>
    </w:p>
    <w:p w14:paraId="03184814" w14:textId="7BA543C9" w:rsidR="000B3AF7"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Cellular fractionation assay was performed using MDA-MB-231T cells and the Cell Fractionation Kit, according to manufacturer</w:t>
      </w:r>
      <w:r w:rsidR="00501A59" w:rsidRPr="002F0FF1">
        <w:rPr>
          <w:rFonts w:ascii="Times New Roman" w:hAnsi="Times New Roman" w:cs="Times New Roman"/>
          <w:sz w:val="24"/>
          <w:szCs w:val="24"/>
          <w:lang w:val="hr-HR"/>
        </w:rPr>
        <w:t>'</w:t>
      </w:r>
      <w:r w:rsidRPr="002F0FF1">
        <w:rPr>
          <w:rFonts w:ascii="Times New Roman" w:hAnsi="Times New Roman" w:cs="Times New Roman"/>
          <w:sz w:val="24"/>
          <w:szCs w:val="24"/>
        </w:rPr>
        <w:t>s instruction. Crude “Cytosolic”, “Mitochondrial” and “Nuclear” enriched fractions were quantified using pierce BCA Kit (</w:t>
      </w:r>
      <w:r w:rsidR="005243C9" w:rsidRPr="002F0FF1">
        <w:rPr>
          <w:rFonts w:ascii="Times New Roman" w:hAnsi="Times New Roman" w:cs="Times New Roman"/>
          <w:sz w:val="24"/>
          <w:szCs w:val="24"/>
        </w:rPr>
        <w:t xml:space="preserve">section </w:t>
      </w:r>
      <w:r w:rsidR="005D7A74" w:rsidRPr="002F0FF1">
        <w:rPr>
          <w:rFonts w:ascii="Times New Roman" w:hAnsi="Times New Roman" w:cs="Times New Roman"/>
          <w:sz w:val="24"/>
          <w:szCs w:val="24"/>
        </w:rPr>
        <w:fldChar w:fldCharType="begin"/>
      </w:r>
      <w:r w:rsidR="005D7A74" w:rsidRPr="002F0FF1">
        <w:rPr>
          <w:rFonts w:ascii="Times New Roman" w:hAnsi="Times New Roman" w:cs="Times New Roman"/>
          <w:sz w:val="24"/>
          <w:szCs w:val="24"/>
        </w:rPr>
        <w:instrText xml:space="preserve"> REF _Ref105768027 \r \h </w:instrText>
      </w:r>
      <w:r w:rsidR="002E26D2" w:rsidRPr="002F0FF1">
        <w:rPr>
          <w:rFonts w:ascii="Times New Roman" w:hAnsi="Times New Roman" w:cs="Times New Roman"/>
          <w:sz w:val="24"/>
          <w:szCs w:val="24"/>
        </w:rPr>
        <w:instrText xml:space="preserve"> \* MERGEFORMAT </w:instrText>
      </w:r>
      <w:r w:rsidR="005D7A74" w:rsidRPr="002F0FF1">
        <w:rPr>
          <w:rFonts w:ascii="Times New Roman" w:hAnsi="Times New Roman" w:cs="Times New Roman"/>
          <w:sz w:val="24"/>
          <w:szCs w:val="24"/>
        </w:rPr>
      </w:r>
      <w:r w:rsidR="005D7A74"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3.2.3.2.1</w:t>
      </w:r>
      <w:r w:rsidR="005D7A74" w:rsidRPr="002F0FF1">
        <w:rPr>
          <w:rFonts w:ascii="Times New Roman" w:hAnsi="Times New Roman" w:cs="Times New Roman"/>
          <w:sz w:val="24"/>
          <w:szCs w:val="24"/>
        </w:rPr>
        <w:fldChar w:fldCharType="end"/>
      </w:r>
      <w:r w:rsidRPr="002F0FF1">
        <w:rPr>
          <w:rFonts w:ascii="Times New Roman" w:hAnsi="Times New Roman" w:cs="Times New Roman"/>
          <w:sz w:val="24"/>
          <w:szCs w:val="24"/>
        </w:rPr>
        <w:t>), and 10 µg of proteins from</w:t>
      </w:r>
      <w:r w:rsidRPr="002E26D2">
        <w:rPr>
          <w:rFonts w:ascii="Times New Roman" w:hAnsi="Times New Roman" w:cs="Times New Roman"/>
          <w:sz w:val="24"/>
          <w:szCs w:val="24"/>
        </w:rPr>
        <w:t xml:space="preserve"> each fraction was analyzed by Western blot (</w:t>
      </w:r>
      <w:r w:rsidR="005243C9">
        <w:rPr>
          <w:rFonts w:ascii="Times New Roman" w:hAnsi="Times New Roman" w:cs="Times New Roman"/>
          <w:sz w:val="24"/>
          <w:szCs w:val="24"/>
        </w:rPr>
        <w:t xml:space="preserve">section </w:t>
      </w:r>
      <w:r w:rsidR="005D7A74" w:rsidRPr="002E26D2">
        <w:rPr>
          <w:rFonts w:ascii="Times New Roman" w:hAnsi="Times New Roman" w:cs="Times New Roman"/>
          <w:sz w:val="24"/>
          <w:szCs w:val="24"/>
        </w:rPr>
        <w:fldChar w:fldCharType="begin"/>
      </w:r>
      <w:r w:rsidR="005D7A74" w:rsidRPr="002E26D2">
        <w:rPr>
          <w:rFonts w:ascii="Times New Roman" w:hAnsi="Times New Roman" w:cs="Times New Roman"/>
          <w:sz w:val="24"/>
          <w:szCs w:val="24"/>
        </w:rPr>
        <w:instrText xml:space="preserve"> REF _Ref105767593 \r \h </w:instrText>
      </w:r>
      <w:r w:rsidR="002E26D2" w:rsidRPr="002E26D2">
        <w:rPr>
          <w:rFonts w:ascii="Times New Roman" w:hAnsi="Times New Roman" w:cs="Times New Roman"/>
          <w:sz w:val="24"/>
          <w:szCs w:val="24"/>
        </w:rPr>
        <w:instrText xml:space="preserve"> \* MERGEFORMAT </w:instrText>
      </w:r>
      <w:r w:rsidR="005D7A74" w:rsidRPr="002E26D2">
        <w:rPr>
          <w:rFonts w:ascii="Times New Roman" w:hAnsi="Times New Roman" w:cs="Times New Roman"/>
          <w:sz w:val="24"/>
          <w:szCs w:val="24"/>
        </w:rPr>
      </w:r>
      <w:r w:rsidR="005D7A74"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3.2.3.3</w:t>
      </w:r>
      <w:r w:rsidR="005D7A74"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32D079D5" w14:textId="20C47F68" w:rsidR="000B3AF7" w:rsidRPr="002E26D2" w:rsidRDefault="000D68C1" w:rsidP="003775DE">
      <w:pPr>
        <w:pStyle w:val="Heading3"/>
      </w:pPr>
      <w:bookmarkStart w:id="166" w:name="_Toc117153869"/>
      <w:r w:rsidRPr="002E26D2">
        <w:t>Confocal microscopy</w:t>
      </w:r>
      <w:bookmarkEnd w:id="166"/>
    </w:p>
    <w:p w14:paraId="02DE9FC6" w14:textId="2744122F" w:rsidR="00C918DD"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Confocal microscopy was performed using Leica TCS SP8 X FLIM confocal microscope equipped with an HC PL APO CS2 63×/1.40 oil objective, 405 nm diode laser, argon-gas laser and a supercontinuum excitation laser (Leica Microsystems, Wetzlar, Germany). For confocal imaging of live and fixed cells the excitation wavelengths and detection ranges were as follows: 488 nm and 500–550 nm for EGFP and Alexa488; 644 nm and 655–705 nm for MitoTracker™ Deep Red FM; and 458 nm and 470-520 nm for CFP. The hybrid (HyD) detectors were operated in the gated mode in order to suppress parasite reflection from the bottom glass surface of the cell-culture dish. Imaging was performed in a sequential scanning mode.</w:t>
      </w:r>
    </w:p>
    <w:p w14:paraId="797A4CD1" w14:textId="77777777" w:rsidR="00C918DD" w:rsidRDefault="00C918DD">
      <w:pPr>
        <w:rPr>
          <w:rFonts w:ascii="Times New Roman" w:hAnsi="Times New Roman" w:cs="Times New Roman"/>
          <w:sz w:val="24"/>
          <w:szCs w:val="24"/>
        </w:rPr>
      </w:pPr>
      <w:r>
        <w:rPr>
          <w:rFonts w:ascii="Times New Roman" w:hAnsi="Times New Roman" w:cs="Times New Roman"/>
          <w:sz w:val="24"/>
          <w:szCs w:val="24"/>
        </w:rPr>
        <w:br w:type="page"/>
      </w:r>
    </w:p>
    <w:p w14:paraId="31A415AB" w14:textId="0FAD1E76" w:rsidR="000B3AF7" w:rsidRPr="002E26D2" w:rsidRDefault="000B3AF7" w:rsidP="002E2D58">
      <w:pPr>
        <w:pStyle w:val="Heading4"/>
      </w:pPr>
      <w:bookmarkStart w:id="167" w:name="_Toc117153870"/>
      <w:r w:rsidRPr="002E26D2">
        <w:lastRenderedPageBreak/>
        <w:t>Live cell imaging</w:t>
      </w:r>
      <w:bookmarkEnd w:id="167"/>
    </w:p>
    <w:p w14:paraId="75F01E1E" w14:textId="74FF7589"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 xml:space="preserve">MDA-MB-231T cells were seeded in a 4-chamber glass bottom dish and transfected 24 h later with pCFPmito, pNME6-194-GFP or pEGFPN1-NME6-186-GFP using </w:t>
      </w:r>
      <w:r w:rsidR="0049039E" w:rsidRPr="002F0FF1">
        <w:rPr>
          <w:rFonts w:ascii="Times New Roman" w:hAnsi="Times New Roman" w:cs="Times New Roman"/>
          <w:sz w:val="24"/>
          <w:szCs w:val="24"/>
        </w:rPr>
        <w:t>T</w:t>
      </w:r>
      <w:r w:rsidRPr="002F0FF1">
        <w:rPr>
          <w:rFonts w:ascii="Times New Roman" w:hAnsi="Times New Roman" w:cs="Times New Roman"/>
          <w:sz w:val="24"/>
          <w:szCs w:val="24"/>
        </w:rPr>
        <w:t xml:space="preserve">urbofect </w:t>
      </w:r>
      <w:r w:rsidR="0049039E" w:rsidRPr="002F0FF1">
        <w:rPr>
          <w:rFonts w:ascii="Times New Roman" w:hAnsi="Times New Roman" w:cs="Times New Roman"/>
          <w:sz w:val="24"/>
          <w:szCs w:val="24"/>
        </w:rPr>
        <w:t xml:space="preserve">transfection reagent </w:t>
      </w:r>
      <w:r w:rsidRPr="002F0FF1">
        <w:rPr>
          <w:rFonts w:ascii="Times New Roman" w:hAnsi="Times New Roman" w:cs="Times New Roman"/>
          <w:sz w:val="24"/>
          <w:szCs w:val="24"/>
        </w:rPr>
        <w:t>(</w:t>
      </w:r>
      <w:r w:rsidR="00A53306">
        <w:rPr>
          <w:rFonts w:ascii="Times New Roman" w:hAnsi="Times New Roman" w:cs="Times New Roman"/>
          <w:sz w:val="24"/>
          <w:szCs w:val="24"/>
        </w:rPr>
        <w:t xml:space="preserve">section </w:t>
      </w:r>
      <w:r w:rsidR="005D7A74" w:rsidRPr="002F0FF1">
        <w:rPr>
          <w:rFonts w:ascii="Times New Roman" w:hAnsi="Times New Roman" w:cs="Times New Roman"/>
          <w:sz w:val="24"/>
          <w:szCs w:val="24"/>
        </w:rPr>
        <w:fldChar w:fldCharType="begin"/>
      </w:r>
      <w:r w:rsidR="005D7A74" w:rsidRPr="002F0FF1">
        <w:rPr>
          <w:rFonts w:ascii="Times New Roman" w:hAnsi="Times New Roman" w:cs="Times New Roman"/>
          <w:sz w:val="24"/>
          <w:szCs w:val="24"/>
        </w:rPr>
        <w:instrText xml:space="preserve"> REF _Ref105767753 \r \h </w:instrText>
      </w:r>
      <w:r w:rsidR="002E26D2" w:rsidRPr="002F0FF1">
        <w:rPr>
          <w:rFonts w:ascii="Times New Roman" w:hAnsi="Times New Roman" w:cs="Times New Roman"/>
          <w:sz w:val="24"/>
          <w:szCs w:val="24"/>
        </w:rPr>
        <w:instrText xml:space="preserve"> \* MERGEFORMAT </w:instrText>
      </w:r>
      <w:r w:rsidR="005D7A74" w:rsidRPr="002F0FF1">
        <w:rPr>
          <w:rFonts w:ascii="Times New Roman" w:hAnsi="Times New Roman" w:cs="Times New Roman"/>
          <w:sz w:val="24"/>
          <w:szCs w:val="24"/>
        </w:rPr>
      </w:r>
      <w:r w:rsidR="005D7A74"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3.2.2.5</w:t>
      </w:r>
      <w:r w:rsidR="005D7A74"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Forty-eight hours post transfection, cells were washed three times with PBS and stained with DMEMcomp supplemented with 5 nM of MitoTracker™ Deep Red FM for 20 min in incubator. Cells were washed </w:t>
      </w:r>
      <w:r w:rsidR="005115C5" w:rsidRPr="002F0FF1">
        <w:rPr>
          <w:rFonts w:ascii="Times New Roman" w:hAnsi="Times New Roman" w:cs="Times New Roman"/>
          <w:sz w:val="24"/>
          <w:szCs w:val="24"/>
        </w:rPr>
        <w:t xml:space="preserve">three </w:t>
      </w:r>
      <w:r w:rsidRPr="002F0FF1">
        <w:rPr>
          <w:rFonts w:ascii="Times New Roman" w:hAnsi="Times New Roman" w:cs="Times New Roman"/>
          <w:sz w:val="24"/>
          <w:szCs w:val="24"/>
        </w:rPr>
        <w:t>times in PBS before being cultured in Lebovitz's L-15 medi</w:t>
      </w:r>
      <w:r w:rsidR="0088464D" w:rsidRPr="002F0FF1">
        <w:rPr>
          <w:rFonts w:ascii="Times New Roman" w:hAnsi="Times New Roman" w:cs="Times New Roman"/>
          <w:sz w:val="24"/>
          <w:szCs w:val="24"/>
        </w:rPr>
        <w:t>um</w:t>
      </w:r>
      <w:r w:rsidRPr="002F0FF1">
        <w:rPr>
          <w:rFonts w:ascii="Times New Roman" w:hAnsi="Times New Roman" w:cs="Times New Roman"/>
          <w:sz w:val="24"/>
          <w:szCs w:val="24"/>
        </w:rPr>
        <w:t xml:space="preserve"> and immediately imaged </w:t>
      </w:r>
      <w:r w:rsidR="0049039E" w:rsidRPr="002F0FF1">
        <w:rPr>
          <w:rFonts w:ascii="Times New Roman" w:hAnsi="Times New Roman" w:cs="Times New Roman"/>
          <w:sz w:val="24"/>
          <w:szCs w:val="24"/>
        </w:rPr>
        <w:t>using</w:t>
      </w:r>
      <w:r w:rsidR="00853A92" w:rsidRPr="002F0FF1">
        <w:rPr>
          <w:rFonts w:ascii="Times New Roman" w:hAnsi="Times New Roman" w:cs="Times New Roman"/>
          <w:sz w:val="24"/>
          <w:szCs w:val="24"/>
        </w:rPr>
        <w:t xml:space="preserve"> </w:t>
      </w:r>
      <w:r w:rsidR="0049039E" w:rsidRPr="002F0FF1">
        <w:rPr>
          <w:rFonts w:ascii="Times New Roman" w:hAnsi="Times New Roman" w:cs="Times New Roman"/>
          <w:sz w:val="24"/>
          <w:szCs w:val="24"/>
        </w:rPr>
        <w:t xml:space="preserve">the </w:t>
      </w:r>
      <w:r w:rsidRPr="002F0FF1">
        <w:rPr>
          <w:rFonts w:ascii="Times New Roman" w:hAnsi="Times New Roman" w:cs="Times New Roman"/>
          <w:sz w:val="24"/>
          <w:szCs w:val="24"/>
        </w:rPr>
        <w:t>confocal microscop</w:t>
      </w:r>
      <w:r w:rsidR="0049039E" w:rsidRPr="002F0FF1">
        <w:rPr>
          <w:rFonts w:ascii="Times New Roman" w:hAnsi="Times New Roman" w:cs="Times New Roman"/>
          <w:sz w:val="24"/>
          <w:szCs w:val="24"/>
        </w:rPr>
        <w:t>e</w:t>
      </w:r>
      <w:r w:rsidRPr="002F0FF1">
        <w:rPr>
          <w:rFonts w:ascii="Times New Roman" w:hAnsi="Times New Roman" w:cs="Times New Roman"/>
          <w:sz w:val="24"/>
          <w:szCs w:val="24"/>
        </w:rPr>
        <w:t>. The stage-top environmental control system was used for live-cell imaging to maintain the temperature at</w:t>
      </w:r>
      <w:r w:rsidR="00E84BC0">
        <w:rPr>
          <w:rFonts w:ascii="Times New Roman" w:hAnsi="Times New Roman" w:cs="Times New Roman"/>
          <w:sz w:val="24"/>
          <w:szCs w:val="24"/>
        </w:rPr>
        <w:t xml:space="preserve"> </w:t>
      </w:r>
      <w:r w:rsidRPr="002F0FF1">
        <w:rPr>
          <w:rFonts w:ascii="Times New Roman" w:hAnsi="Times New Roman" w:cs="Times New Roman"/>
          <w:sz w:val="24"/>
          <w:szCs w:val="24"/>
        </w:rPr>
        <w:t>37 °C and Leibovitz’s L-15 medi</w:t>
      </w:r>
      <w:r w:rsidR="0088464D" w:rsidRPr="002F0FF1">
        <w:rPr>
          <w:rFonts w:ascii="Times New Roman" w:hAnsi="Times New Roman" w:cs="Times New Roman"/>
          <w:sz w:val="24"/>
          <w:szCs w:val="24"/>
        </w:rPr>
        <w:t>um</w:t>
      </w:r>
      <w:r w:rsidRPr="002F0FF1">
        <w:rPr>
          <w:rFonts w:ascii="Times New Roman" w:hAnsi="Times New Roman" w:cs="Times New Roman"/>
          <w:sz w:val="24"/>
          <w:szCs w:val="24"/>
        </w:rPr>
        <w:t xml:space="preserve"> was used to support cell growth in the environment without CO</w:t>
      </w:r>
      <w:r w:rsidRPr="002F0FF1">
        <w:rPr>
          <w:rFonts w:ascii="Times New Roman" w:hAnsi="Times New Roman" w:cs="Times New Roman"/>
          <w:sz w:val="24"/>
          <w:szCs w:val="24"/>
          <w:vertAlign w:val="subscript"/>
        </w:rPr>
        <w:t>2</w:t>
      </w:r>
      <w:r w:rsidRPr="002F0FF1">
        <w:rPr>
          <w:rFonts w:ascii="Times New Roman" w:hAnsi="Times New Roman" w:cs="Times New Roman"/>
          <w:sz w:val="24"/>
          <w:szCs w:val="24"/>
        </w:rPr>
        <w:t xml:space="preserve"> equilibration.</w:t>
      </w:r>
    </w:p>
    <w:p w14:paraId="17C05D9C" w14:textId="6AB85FB7" w:rsidR="000B3AF7" w:rsidRPr="002E26D2" w:rsidRDefault="00853A92" w:rsidP="002E2D58">
      <w:pPr>
        <w:pStyle w:val="Heading4"/>
      </w:pPr>
      <w:bookmarkStart w:id="168" w:name="_Toc117153871"/>
      <w:r>
        <w:t>Fluorescent immunocytochemistry</w:t>
      </w:r>
      <w:bookmarkEnd w:id="168"/>
    </w:p>
    <w:p w14:paraId="49D3F520" w14:textId="31DF644F"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Cells </w:t>
      </w:r>
      <w:r w:rsidRPr="002F0FF1">
        <w:rPr>
          <w:rFonts w:ascii="Times New Roman" w:hAnsi="Times New Roman" w:cs="Times New Roman"/>
          <w:sz w:val="24"/>
          <w:szCs w:val="24"/>
        </w:rPr>
        <w:t>were seeded in an 8 well chambers slide and transfected 24 h later with pCFPmito (</w:t>
      </w:r>
      <w:r w:rsidR="00C6521F" w:rsidRPr="002F0FF1">
        <w:rPr>
          <w:rFonts w:ascii="Times New Roman" w:hAnsi="Times New Roman" w:cs="Times New Roman"/>
          <w:sz w:val="24"/>
          <w:szCs w:val="24"/>
        </w:rPr>
        <w:t>section</w:t>
      </w:r>
      <w:r w:rsidR="00E56089" w:rsidRPr="002F0FF1">
        <w:rPr>
          <w:rFonts w:ascii="Times New Roman" w:hAnsi="Times New Roman" w:cs="Times New Roman"/>
          <w:sz w:val="24"/>
          <w:szCs w:val="24"/>
        </w:rPr>
        <w:t xml:space="preserve"> </w:t>
      </w:r>
      <w:r w:rsidR="005D7A74" w:rsidRPr="002F0FF1">
        <w:rPr>
          <w:rFonts w:ascii="Times New Roman" w:hAnsi="Times New Roman" w:cs="Times New Roman"/>
          <w:sz w:val="24"/>
          <w:szCs w:val="24"/>
        </w:rPr>
        <w:fldChar w:fldCharType="begin"/>
      </w:r>
      <w:r w:rsidR="005D7A74" w:rsidRPr="002F0FF1">
        <w:rPr>
          <w:rFonts w:ascii="Times New Roman" w:hAnsi="Times New Roman" w:cs="Times New Roman"/>
          <w:sz w:val="24"/>
          <w:szCs w:val="24"/>
        </w:rPr>
        <w:instrText xml:space="preserve"> REF _Ref105767753 \r \h </w:instrText>
      </w:r>
      <w:r w:rsidR="002E26D2" w:rsidRPr="002F0FF1">
        <w:rPr>
          <w:rFonts w:ascii="Times New Roman" w:hAnsi="Times New Roman" w:cs="Times New Roman"/>
          <w:sz w:val="24"/>
          <w:szCs w:val="24"/>
        </w:rPr>
        <w:instrText xml:space="preserve"> \* MERGEFORMAT </w:instrText>
      </w:r>
      <w:r w:rsidR="005D7A74" w:rsidRPr="002F0FF1">
        <w:rPr>
          <w:rFonts w:ascii="Times New Roman" w:hAnsi="Times New Roman" w:cs="Times New Roman"/>
          <w:sz w:val="24"/>
          <w:szCs w:val="24"/>
        </w:rPr>
      </w:r>
      <w:r w:rsidR="005D7A74"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3.2.2.5</w:t>
      </w:r>
      <w:r w:rsidR="005D7A74" w:rsidRPr="002F0FF1">
        <w:rPr>
          <w:rFonts w:ascii="Times New Roman" w:hAnsi="Times New Roman" w:cs="Times New Roman"/>
          <w:sz w:val="24"/>
          <w:szCs w:val="24"/>
        </w:rPr>
        <w:fldChar w:fldCharType="end"/>
      </w:r>
      <w:r w:rsidR="005D7A74" w:rsidRPr="002F0FF1">
        <w:rPr>
          <w:rFonts w:ascii="Times New Roman" w:hAnsi="Times New Roman" w:cs="Times New Roman"/>
          <w:sz w:val="24"/>
          <w:szCs w:val="24"/>
        </w:rPr>
        <w:t>)</w:t>
      </w:r>
      <w:r w:rsidRPr="002F0FF1">
        <w:rPr>
          <w:rFonts w:ascii="Times New Roman" w:hAnsi="Times New Roman" w:cs="Times New Roman"/>
          <w:sz w:val="24"/>
          <w:szCs w:val="24"/>
        </w:rPr>
        <w:t xml:space="preserve">. Twenty-four hours post transfection the cells were washed two times with ice-cold PBS. Cells were fixed by incubation with formaldehyde 2 % for 10 min at room temperature. The cells were washed three times with PBS, and permeabilization was performed with triton X-100 </w:t>
      </w:r>
      <w:r w:rsidRPr="002F0FF1">
        <w:rPr>
          <w:rFonts w:ascii="Times New Roman" w:hAnsi="Times New Roman" w:cs="Times New Roman"/>
          <w:iCs/>
          <w:sz w:val="24"/>
          <w:szCs w:val="24"/>
        </w:rPr>
        <w:t>0.1</w:t>
      </w:r>
      <w:r w:rsidRPr="002F0FF1">
        <w:rPr>
          <w:rFonts w:ascii="Times New Roman" w:hAnsi="Times New Roman" w:cs="Times New Roman"/>
          <w:sz w:val="24"/>
          <w:szCs w:val="24"/>
        </w:rPr>
        <w:t xml:space="preserve"> % solution for 10 min at room temperature. The cells were washed three times with PBS and blocked for 30 min at room temperature with IF blocking buffer. The cells were incubated with primary NME6 antibody diluted in IF blocking buffer overnight at 4 °C. The next day cells were washed three times with PBS and incubated with Alexa-Fluor488-anti-rabbit secondary antibody diluted in IF blocking buffer for 45 min at room temperature in obscurity. After washing in PBS, the mounting medium was applied, the coverslip was mounted and sealed and the slide was analyzed by confocal microscopy.</w:t>
      </w:r>
    </w:p>
    <w:p w14:paraId="4CD09AB9" w14:textId="3132D006" w:rsidR="000B3AF7" w:rsidRPr="002E26D2" w:rsidRDefault="000D68C1" w:rsidP="003775DE">
      <w:pPr>
        <w:pStyle w:val="Heading3"/>
      </w:pPr>
      <w:bookmarkStart w:id="169" w:name="_Toc117153872"/>
      <w:r w:rsidRPr="002E26D2">
        <w:t>Cellular functions</w:t>
      </w:r>
      <w:bookmarkEnd w:id="169"/>
    </w:p>
    <w:p w14:paraId="79CC7E3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 assess the potential influence of NME6 overexpression or downregulation on cellular functions, apoptosis, cell cycle and cellular respiration assays were performed using MDA-MB-231T and RKO cells, upon transient overexpression or silencing, and using MDA-MB-231T clones overexpressing NME6-186-FLAG and NME6-194-FLAG proteins.</w:t>
      </w:r>
    </w:p>
    <w:p w14:paraId="35135ACD" w14:textId="3088DEF0" w:rsidR="000B3AF7" w:rsidRPr="002E26D2" w:rsidRDefault="000B3AF7" w:rsidP="002E2D58">
      <w:pPr>
        <w:pStyle w:val="Heading4"/>
      </w:pPr>
      <w:bookmarkStart w:id="170" w:name="_Ref105769793"/>
      <w:bookmarkStart w:id="171" w:name="_Toc117153873"/>
      <w:r w:rsidRPr="002E26D2">
        <w:t>Apoptosis</w:t>
      </w:r>
      <w:bookmarkEnd w:id="170"/>
      <w:bookmarkEnd w:id="171"/>
    </w:p>
    <w:p w14:paraId="428F3B52" w14:textId="4848265F"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Apoptosis experiments were carried </w:t>
      </w:r>
      <w:r w:rsidR="001835E2">
        <w:rPr>
          <w:rFonts w:ascii="Times New Roman" w:hAnsi="Times New Roman" w:cs="Times New Roman"/>
          <w:sz w:val="24"/>
          <w:szCs w:val="24"/>
        </w:rPr>
        <w:t>out using</w:t>
      </w:r>
      <w:r w:rsidRPr="002E26D2">
        <w:rPr>
          <w:rFonts w:ascii="Times New Roman" w:hAnsi="Times New Roman" w:cs="Times New Roman"/>
          <w:sz w:val="24"/>
          <w:szCs w:val="24"/>
        </w:rPr>
        <w:t xml:space="preserve"> RKO cell</w:t>
      </w:r>
      <w:r w:rsidR="00696EA8">
        <w:rPr>
          <w:rFonts w:ascii="Times New Roman" w:hAnsi="Times New Roman" w:cs="Times New Roman"/>
          <w:sz w:val="24"/>
          <w:szCs w:val="24"/>
        </w:rPr>
        <w:t>s</w:t>
      </w:r>
      <w:r w:rsidRPr="002E26D2">
        <w:rPr>
          <w:rFonts w:ascii="Times New Roman" w:hAnsi="Times New Roman" w:cs="Times New Roman"/>
          <w:sz w:val="24"/>
          <w:szCs w:val="24"/>
        </w:rPr>
        <w:t xml:space="preserve">, due to </w:t>
      </w:r>
      <w:r w:rsidR="00496E1E">
        <w:rPr>
          <w:rFonts w:ascii="Times New Roman" w:hAnsi="Times New Roman" w:cs="Times New Roman"/>
          <w:sz w:val="24"/>
          <w:szCs w:val="24"/>
        </w:rPr>
        <w:t>its</w:t>
      </w:r>
      <w:r w:rsidRPr="002E26D2">
        <w:rPr>
          <w:rFonts w:ascii="Times New Roman" w:hAnsi="Times New Roman" w:cs="Times New Roman"/>
          <w:sz w:val="24"/>
          <w:szCs w:val="24"/>
        </w:rPr>
        <w:t xml:space="preserve"> </w:t>
      </w:r>
      <w:r w:rsidR="00496E1E">
        <w:rPr>
          <w:rFonts w:ascii="Times New Roman" w:hAnsi="Times New Roman" w:cs="Times New Roman"/>
          <w:sz w:val="24"/>
          <w:szCs w:val="24"/>
        </w:rPr>
        <w:t>p53 wild type</w:t>
      </w:r>
      <w:r w:rsidRPr="002E26D2">
        <w:rPr>
          <w:rFonts w:ascii="Times New Roman" w:hAnsi="Times New Roman" w:cs="Times New Roman"/>
          <w:sz w:val="24"/>
          <w:szCs w:val="24"/>
        </w:rPr>
        <w:t xml:space="preserve"> status. Cells were either transiently transfected to overexpress NME6-186-FLAG or NME6-194-FLAG </w:t>
      </w:r>
      <w:r w:rsidRPr="002E26D2">
        <w:rPr>
          <w:rFonts w:ascii="Times New Roman" w:hAnsi="Times New Roman" w:cs="Times New Roman"/>
          <w:sz w:val="24"/>
          <w:szCs w:val="24"/>
        </w:rPr>
        <w:lastRenderedPageBreak/>
        <w:t>(</w:t>
      </w:r>
      <w:r w:rsidR="00283CF6">
        <w:rPr>
          <w:rFonts w:ascii="Times New Roman" w:hAnsi="Times New Roman" w:cs="Times New Roman"/>
          <w:sz w:val="24"/>
          <w:szCs w:val="24"/>
        </w:rPr>
        <w:t xml:space="preserve">section </w:t>
      </w:r>
      <w:r w:rsidR="00463A19" w:rsidRPr="002E26D2">
        <w:rPr>
          <w:rFonts w:ascii="Times New Roman" w:hAnsi="Times New Roman" w:cs="Times New Roman"/>
          <w:sz w:val="24"/>
          <w:szCs w:val="24"/>
        </w:rPr>
        <w:fldChar w:fldCharType="begin"/>
      </w:r>
      <w:r w:rsidR="00463A19" w:rsidRPr="002E26D2">
        <w:rPr>
          <w:rFonts w:ascii="Times New Roman" w:hAnsi="Times New Roman" w:cs="Times New Roman"/>
          <w:sz w:val="24"/>
          <w:szCs w:val="24"/>
        </w:rPr>
        <w:instrText xml:space="preserve"> REF _Ref105767753 \r \h </w:instrText>
      </w:r>
      <w:r w:rsidR="002E26D2" w:rsidRPr="002E26D2">
        <w:rPr>
          <w:rFonts w:ascii="Times New Roman" w:hAnsi="Times New Roman" w:cs="Times New Roman"/>
          <w:sz w:val="24"/>
          <w:szCs w:val="24"/>
        </w:rPr>
        <w:instrText xml:space="preserve"> \* MERGEFORMAT </w:instrText>
      </w:r>
      <w:r w:rsidR="00463A19" w:rsidRPr="002E26D2">
        <w:rPr>
          <w:rFonts w:ascii="Times New Roman" w:hAnsi="Times New Roman" w:cs="Times New Roman"/>
          <w:sz w:val="24"/>
          <w:szCs w:val="24"/>
        </w:rPr>
      </w:r>
      <w:r w:rsidR="00463A19"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3.2.2.5</w:t>
      </w:r>
      <w:r w:rsidR="00463A19" w:rsidRPr="002E26D2">
        <w:rPr>
          <w:rFonts w:ascii="Times New Roman" w:hAnsi="Times New Roman" w:cs="Times New Roman"/>
          <w:sz w:val="24"/>
          <w:szCs w:val="24"/>
        </w:rPr>
        <w:fldChar w:fldCharType="end"/>
      </w:r>
      <w:r w:rsidRPr="002E26D2">
        <w:rPr>
          <w:rFonts w:ascii="Times New Roman" w:hAnsi="Times New Roman" w:cs="Times New Roman"/>
          <w:sz w:val="24"/>
          <w:szCs w:val="24"/>
        </w:rPr>
        <w:t>) and analyzed 48 h post transfection, or silenced for NME6 (</w:t>
      </w:r>
      <w:r w:rsidR="00283CF6">
        <w:rPr>
          <w:rFonts w:ascii="Times New Roman" w:hAnsi="Times New Roman" w:cs="Times New Roman"/>
          <w:sz w:val="24"/>
          <w:szCs w:val="24"/>
        </w:rPr>
        <w:t xml:space="preserve">section </w:t>
      </w:r>
      <w:r w:rsidR="00463A19" w:rsidRPr="002E26D2">
        <w:rPr>
          <w:rFonts w:ascii="Times New Roman" w:hAnsi="Times New Roman" w:cs="Times New Roman"/>
          <w:sz w:val="24"/>
          <w:szCs w:val="24"/>
        </w:rPr>
        <w:fldChar w:fldCharType="begin"/>
      </w:r>
      <w:r w:rsidR="00463A19" w:rsidRPr="002E26D2">
        <w:rPr>
          <w:rFonts w:ascii="Times New Roman" w:hAnsi="Times New Roman" w:cs="Times New Roman"/>
          <w:sz w:val="24"/>
          <w:szCs w:val="24"/>
        </w:rPr>
        <w:instrText xml:space="preserve"> REF _Ref105768720 \r \h </w:instrText>
      </w:r>
      <w:r w:rsidR="002E26D2" w:rsidRPr="002E26D2">
        <w:rPr>
          <w:rFonts w:ascii="Times New Roman" w:hAnsi="Times New Roman" w:cs="Times New Roman"/>
          <w:sz w:val="24"/>
          <w:szCs w:val="24"/>
        </w:rPr>
        <w:instrText xml:space="preserve"> \* MERGEFORMAT </w:instrText>
      </w:r>
      <w:r w:rsidR="00463A19" w:rsidRPr="002E26D2">
        <w:rPr>
          <w:rFonts w:ascii="Times New Roman" w:hAnsi="Times New Roman" w:cs="Times New Roman"/>
          <w:sz w:val="24"/>
          <w:szCs w:val="24"/>
        </w:rPr>
      </w:r>
      <w:r w:rsidR="00463A19"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3.2.2.6</w:t>
      </w:r>
      <w:r w:rsidR="00463A19"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and analyzed 72 h post transfection. Eighteen hours prior to the collection of cells, the positive control for </w:t>
      </w:r>
      <w:r w:rsidRPr="002F0FF1">
        <w:rPr>
          <w:rFonts w:ascii="Times New Roman" w:hAnsi="Times New Roman" w:cs="Times New Roman"/>
          <w:sz w:val="24"/>
          <w:szCs w:val="24"/>
        </w:rPr>
        <w:t>apoptosis was supplemented with Camptohecin (2</w:t>
      </w:r>
      <w:r w:rsidR="00283CF6" w:rsidRPr="002F0FF1">
        <w:rPr>
          <w:rFonts w:ascii="Times New Roman" w:hAnsi="Times New Roman" w:cs="Times New Roman"/>
          <w:sz w:val="24"/>
          <w:szCs w:val="24"/>
        </w:rPr>
        <w:t xml:space="preserve"> </w:t>
      </w:r>
      <w:r w:rsidRPr="002F0FF1">
        <w:rPr>
          <w:rFonts w:ascii="Times New Roman" w:hAnsi="Times New Roman" w:cs="Times New Roman"/>
          <w:sz w:val="24"/>
          <w:szCs w:val="24"/>
        </w:rPr>
        <w:t>µM final) directly in the DMEMcomp, without changing the medi</w:t>
      </w:r>
      <w:r w:rsidR="00EF69A9" w:rsidRPr="002F0FF1">
        <w:rPr>
          <w:rFonts w:ascii="Times New Roman" w:hAnsi="Times New Roman" w:cs="Times New Roman"/>
          <w:sz w:val="24"/>
          <w:szCs w:val="24"/>
        </w:rPr>
        <w:t>um</w:t>
      </w:r>
      <w:r w:rsidRPr="002F0FF1">
        <w:rPr>
          <w:rFonts w:ascii="Times New Roman" w:hAnsi="Times New Roman" w:cs="Times New Roman"/>
          <w:sz w:val="24"/>
          <w:szCs w:val="24"/>
        </w:rPr>
        <w:t xml:space="preserve">, in order to induce apoptosis. On the day of </w:t>
      </w:r>
      <w:r w:rsidR="00EF69A9" w:rsidRPr="002F0FF1">
        <w:rPr>
          <w:rFonts w:ascii="Times New Roman" w:hAnsi="Times New Roman" w:cs="Times New Roman"/>
          <w:sz w:val="24"/>
          <w:szCs w:val="24"/>
        </w:rPr>
        <w:t xml:space="preserve">the </w:t>
      </w:r>
      <w:r w:rsidRPr="002F0FF1">
        <w:rPr>
          <w:rFonts w:ascii="Times New Roman" w:hAnsi="Times New Roman" w:cs="Times New Roman"/>
          <w:sz w:val="24"/>
          <w:szCs w:val="24"/>
        </w:rPr>
        <w:t xml:space="preserve">experiment, cells were collected </w:t>
      </w:r>
      <w:r w:rsidR="005D095C" w:rsidRPr="002F0FF1">
        <w:rPr>
          <w:rFonts w:ascii="Times New Roman" w:hAnsi="Times New Roman" w:cs="Times New Roman"/>
          <w:sz w:val="24"/>
          <w:szCs w:val="24"/>
        </w:rPr>
        <w:t>as described in</w:t>
      </w:r>
      <w:r w:rsidRPr="002F0FF1">
        <w:rPr>
          <w:rFonts w:ascii="Times New Roman" w:hAnsi="Times New Roman" w:cs="Times New Roman"/>
          <w:sz w:val="24"/>
          <w:szCs w:val="24"/>
        </w:rPr>
        <w:t xml:space="preserve"> </w:t>
      </w:r>
      <w:r w:rsidR="005D095C" w:rsidRPr="002F0FF1">
        <w:rPr>
          <w:rFonts w:ascii="Times New Roman" w:hAnsi="Times New Roman" w:cs="Times New Roman"/>
          <w:sz w:val="24"/>
          <w:szCs w:val="24"/>
        </w:rPr>
        <w:t xml:space="preserve">section </w:t>
      </w:r>
      <w:r w:rsidR="00463A19" w:rsidRPr="002F0FF1">
        <w:rPr>
          <w:rFonts w:ascii="Times New Roman" w:hAnsi="Times New Roman" w:cs="Times New Roman"/>
          <w:sz w:val="24"/>
          <w:szCs w:val="24"/>
        </w:rPr>
        <w:fldChar w:fldCharType="begin"/>
      </w:r>
      <w:r w:rsidR="00463A19" w:rsidRPr="002F0FF1">
        <w:rPr>
          <w:rFonts w:ascii="Times New Roman" w:hAnsi="Times New Roman" w:cs="Times New Roman"/>
          <w:sz w:val="24"/>
          <w:szCs w:val="24"/>
        </w:rPr>
        <w:instrText xml:space="preserve"> REF _Ref105767648 \r \h </w:instrText>
      </w:r>
      <w:r w:rsidR="002E26D2" w:rsidRPr="002F0FF1">
        <w:rPr>
          <w:rFonts w:ascii="Times New Roman" w:hAnsi="Times New Roman" w:cs="Times New Roman"/>
          <w:sz w:val="24"/>
          <w:szCs w:val="24"/>
        </w:rPr>
        <w:instrText xml:space="preserve"> \* MERGEFORMAT </w:instrText>
      </w:r>
      <w:r w:rsidR="00463A19" w:rsidRPr="002F0FF1">
        <w:rPr>
          <w:rFonts w:ascii="Times New Roman" w:hAnsi="Times New Roman" w:cs="Times New Roman"/>
          <w:sz w:val="24"/>
          <w:szCs w:val="24"/>
        </w:rPr>
      </w:r>
      <w:r w:rsidR="00463A19"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463A19" w:rsidRPr="002F0FF1">
        <w:rPr>
          <w:rFonts w:ascii="Times New Roman" w:hAnsi="Times New Roman" w:cs="Times New Roman"/>
          <w:sz w:val="24"/>
          <w:szCs w:val="24"/>
        </w:rPr>
        <w:fldChar w:fldCharType="end"/>
      </w:r>
      <w:r w:rsidRPr="002F0FF1">
        <w:rPr>
          <w:rFonts w:ascii="Times New Roman" w:hAnsi="Times New Roman" w:cs="Times New Roman"/>
          <w:sz w:val="24"/>
          <w:szCs w:val="24"/>
        </w:rPr>
        <w:t>, paying attention to collect both, the attached and the floating cells. The pellet was resuspended in PBS and 10</w:t>
      </w:r>
      <w:r w:rsidRPr="002F0FF1">
        <w:rPr>
          <w:rFonts w:ascii="Times New Roman" w:hAnsi="Times New Roman" w:cs="Times New Roman"/>
          <w:sz w:val="24"/>
          <w:szCs w:val="24"/>
          <w:vertAlign w:val="superscript"/>
        </w:rPr>
        <w:t>5</w:t>
      </w:r>
      <w:r w:rsidRPr="002F0FF1">
        <w:rPr>
          <w:rFonts w:ascii="Times New Roman" w:hAnsi="Times New Roman" w:cs="Times New Roman"/>
          <w:sz w:val="24"/>
          <w:szCs w:val="24"/>
        </w:rPr>
        <w:t xml:space="preserve"> cells were stained using the Annexin-V-FLUOS Staining Kit according to the manufacturer’s instruction. Analyses were performed using BD FACSCalibur™ Flow Cytometer and the data were analyzed by FlowJo software. Experiment</w:t>
      </w:r>
      <w:r w:rsidR="00EF69A9" w:rsidRPr="002F0FF1">
        <w:rPr>
          <w:rFonts w:ascii="Times New Roman" w:hAnsi="Times New Roman" w:cs="Times New Roman"/>
          <w:sz w:val="24"/>
          <w:szCs w:val="24"/>
        </w:rPr>
        <w:t>s</w:t>
      </w:r>
      <w:r w:rsidRPr="002F0FF1">
        <w:rPr>
          <w:rFonts w:ascii="Times New Roman" w:hAnsi="Times New Roman" w:cs="Times New Roman"/>
          <w:sz w:val="24"/>
          <w:szCs w:val="24"/>
        </w:rPr>
        <w:t xml:space="preserve"> were realized in tri</w:t>
      </w:r>
      <w:r w:rsidRPr="002E26D2">
        <w:rPr>
          <w:rFonts w:ascii="Times New Roman" w:hAnsi="Times New Roman" w:cs="Times New Roman"/>
          <w:sz w:val="24"/>
          <w:szCs w:val="24"/>
        </w:rPr>
        <w:t>plicate.</w:t>
      </w:r>
    </w:p>
    <w:p w14:paraId="0BE39242" w14:textId="1C74478D" w:rsidR="000B3AF7" w:rsidRPr="002E26D2" w:rsidRDefault="000B3AF7" w:rsidP="002E2D58">
      <w:pPr>
        <w:pStyle w:val="Heading4"/>
      </w:pPr>
      <w:bookmarkStart w:id="172" w:name="_Ref105769861"/>
      <w:bookmarkStart w:id="173" w:name="_Toc117153874"/>
      <w:r w:rsidRPr="002E26D2">
        <w:t>Cell cycle</w:t>
      </w:r>
      <w:bookmarkEnd w:id="172"/>
      <w:bookmarkEnd w:id="173"/>
    </w:p>
    <w:p w14:paraId="346E9CCF" w14:textId="3ACC959E"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 xml:space="preserve">MDA-MB-231T WT cells, three empty clones (KI-CTRL; Neg 5, 6 and 7), three NME6-186-FLAG KI clones (KI-186; 186-7, 18 and 26) and three NME6-194-FLAG KI clones (KI-194; 194-8, 13 and 17) were seeded in 6-well plates to reach 80 % confluency on the day of the experiment. The cells were either allowed to grow for three days (KI experiment) or were silenced for </w:t>
      </w:r>
      <w:r w:rsidR="00EF69A9" w:rsidRPr="002F0FF1">
        <w:rPr>
          <w:rFonts w:ascii="Times New Roman" w:hAnsi="Times New Roman" w:cs="Times New Roman"/>
          <w:sz w:val="24"/>
          <w:szCs w:val="24"/>
        </w:rPr>
        <w:t>NME</w:t>
      </w:r>
      <w:r w:rsidRPr="002F0FF1">
        <w:rPr>
          <w:rFonts w:ascii="Times New Roman" w:hAnsi="Times New Roman" w:cs="Times New Roman"/>
          <w:sz w:val="24"/>
          <w:szCs w:val="24"/>
        </w:rPr>
        <w:t xml:space="preserve">6 expression </w:t>
      </w:r>
      <w:r w:rsidR="00245A91" w:rsidRPr="002F0FF1">
        <w:rPr>
          <w:rFonts w:ascii="Times New Roman" w:hAnsi="Times New Roman" w:cs="Times New Roman"/>
          <w:sz w:val="24"/>
          <w:szCs w:val="24"/>
        </w:rPr>
        <w:t xml:space="preserve">as described in </w:t>
      </w:r>
      <w:r w:rsidR="00A82224" w:rsidRPr="002F0FF1">
        <w:rPr>
          <w:rFonts w:ascii="Times New Roman" w:hAnsi="Times New Roman" w:cs="Times New Roman"/>
          <w:sz w:val="24"/>
          <w:szCs w:val="24"/>
        </w:rPr>
        <w:t>section</w:t>
      </w:r>
      <w:r w:rsidR="00E9583A" w:rsidRPr="002F0FF1">
        <w:rPr>
          <w:rFonts w:ascii="Times New Roman" w:hAnsi="Times New Roman" w:cs="Times New Roman"/>
          <w:sz w:val="24"/>
          <w:szCs w:val="24"/>
        </w:rPr>
        <w:t xml:space="preserve"> </w:t>
      </w:r>
      <w:r w:rsidR="00463A19" w:rsidRPr="002F0FF1">
        <w:rPr>
          <w:rFonts w:ascii="Times New Roman" w:hAnsi="Times New Roman" w:cs="Times New Roman"/>
          <w:sz w:val="24"/>
          <w:szCs w:val="24"/>
        </w:rPr>
        <w:fldChar w:fldCharType="begin"/>
      </w:r>
      <w:r w:rsidR="00463A19" w:rsidRPr="002F0FF1">
        <w:rPr>
          <w:rFonts w:ascii="Times New Roman" w:hAnsi="Times New Roman" w:cs="Times New Roman"/>
          <w:sz w:val="24"/>
          <w:szCs w:val="24"/>
        </w:rPr>
        <w:instrText xml:space="preserve"> REF _Ref105768720 \r \h </w:instrText>
      </w:r>
      <w:r w:rsidR="002E26D2" w:rsidRPr="002F0FF1">
        <w:rPr>
          <w:rFonts w:ascii="Times New Roman" w:hAnsi="Times New Roman" w:cs="Times New Roman"/>
          <w:sz w:val="24"/>
          <w:szCs w:val="24"/>
        </w:rPr>
        <w:instrText xml:space="preserve"> \* MERGEFORMAT </w:instrText>
      </w:r>
      <w:r w:rsidR="00463A19" w:rsidRPr="002F0FF1">
        <w:rPr>
          <w:rFonts w:ascii="Times New Roman" w:hAnsi="Times New Roman" w:cs="Times New Roman"/>
          <w:sz w:val="24"/>
          <w:szCs w:val="24"/>
        </w:rPr>
      </w:r>
      <w:r w:rsidR="00463A19"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3.2.2.6</w:t>
      </w:r>
      <w:r w:rsidR="00463A19"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and analyzed 72 h after silencing (silencing experiment). On the day of the experiment, cells were collected </w:t>
      </w:r>
      <w:r w:rsidR="00A553FC" w:rsidRPr="002F0FF1">
        <w:rPr>
          <w:rFonts w:ascii="Times New Roman" w:hAnsi="Times New Roman" w:cs="Times New Roman"/>
          <w:sz w:val="24"/>
          <w:szCs w:val="24"/>
        </w:rPr>
        <w:t>as described in section</w:t>
      </w:r>
      <w:r w:rsidRPr="002F0FF1">
        <w:rPr>
          <w:rFonts w:ascii="Times New Roman" w:hAnsi="Times New Roman" w:cs="Times New Roman"/>
          <w:sz w:val="24"/>
          <w:szCs w:val="24"/>
        </w:rPr>
        <w:t xml:space="preserve"> </w:t>
      </w:r>
      <w:r w:rsidR="00463A19" w:rsidRPr="002F0FF1">
        <w:rPr>
          <w:rFonts w:ascii="Times New Roman" w:hAnsi="Times New Roman" w:cs="Times New Roman"/>
          <w:sz w:val="24"/>
          <w:szCs w:val="24"/>
        </w:rPr>
        <w:fldChar w:fldCharType="begin"/>
      </w:r>
      <w:r w:rsidR="00463A19" w:rsidRPr="002F0FF1">
        <w:rPr>
          <w:rFonts w:ascii="Times New Roman" w:hAnsi="Times New Roman" w:cs="Times New Roman"/>
          <w:sz w:val="24"/>
          <w:szCs w:val="24"/>
        </w:rPr>
        <w:instrText xml:space="preserve"> REF _Ref105767648 \r \h </w:instrText>
      </w:r>
      <w:r w:rsidR="002E26D2" w:rsidRPr="002F0FF1">
        <w:rPr>
          <w:rFonts w:ascii="Times New Roman" w:hAnsi="Times New Roman" w:cs="Times New Roman"/>
          <w:sz w:val="24"/>
          <w:szCs w:val="24"/>
        </w:rPr>
        <w:instrText xml:space="preserve"> \* MERGEFORMAT </w:instrText>
      </w:r>
      <w:r w:rsidR="00463A19" w:rsidRPr="002F0FF1">
        <w:rPr>
          <w:rFonts w:ascii="Times New Roman" w:hAnsi="Times New Roman" w:cs="Times New Roman"/>
          <w:sz w:val="24"/>
          <w:szCs w:val="24"/>
        </w:rPr>
      </w:r>
      <w:r w:rsidR="00463A19"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463A19" w:rsidRPr="002F0FF1">
        <w:rPr>
          <w:rFonts w:ascii="Times New Roman" w:hAnsi="Times New Roman" w:cs="Times New Roman"/>
          <w:sz w:val="24"/>
          <w:szCs w:val="24"/>
        </w:rPr>
        <w:fldChar w:fldCharType="end"/>
      </w:r>
      <w:r w:rsidRPr="002F0FF1">
        <w:rPr>
          <w:rFonts w:ascii="Times New Roman" w:hAnsi="Times New Roman" w:cs="Times New Roman"/>
          <w:sz w:val="24"/>
          <w:szCs w:val="24"/>
        </w:rPr>
        <w:t xml:space="preserve">. Pellet was washed in 1 mL PBS, fixed in 70 % ethanol and stored overnight at 4 °C. The next day, cells were resuspended in PBS supplemented with </w:t>
      </w:r>
      <w:r w:rsidR="00D8112A" w:rsidRPr="002F0FF1">
        <w:rPr>
          <w:rFonts w:ascii="Times New Roman" w:hAnsi="Times New Roman" w:cs="Times New Roman"/>
          <w:sz w:val="24"/>
          <w:szCs w:val="24"/>
        </w:rPr>
        <w:t xml:space="preserve">0.1 µg/mL </w:t>
      </w:r>
      <w:r w:rsidRPr="002F0FF1">
        <w:rPr>
          <w:rFonts w:ascii="Times New Roman" w:hAnsi="Times New Roman" w:cs="Times New Roman"/>
          <w:sz w:val="24"/>
          <w:szCs w:val="24"/>
        </w:rPr>
        <w:t>RNase . Cells were stained by adding propidium iodide to a final concentration of 40 µg/mL, for 30 min at 37 °C in the dark. Analysis w</w:t>
      </w:r>
      <w:r w:rsidR="00EF69A9" w:rsidRPr="002F0FF1">
        <w:rPr>
          <w:rFonts w:ascii="Times New Roman" w:hAnsi="Times New Roman" w:cs="Times New Roman"/>
          <w:sz w:val="24"/>
          <w:szCs w:val="24"/>
        </w:rPr>
        <w:t>as</w:t>
      </w:r>
      <w:r w:rsidRPr="002F0FF1">
        <w:rPr>
          <w:rFonts w:ascii="Times New Roman" w:hAnsi="Times New Roman" w:cs="Times New Roman"/>
          <w:sz w:val="24"/>
          <w:szCs w:val="24"/>
        </w:rPr>
        <w:t xml:space="preserve"> performed using BD FACSCalibur™ Flow Cytometer and the data were analyzed by FlowJo software. Experiments were realized in triplicate. The data for each related clones were p</w:t>
      </w:r>
      <w:r w:rsidR="00282CD1" w:rsidRPr="002F0FF1">
        <w:rPr>
          <w:rFonts w:ascii="Times New Roman" w:hAnsi="Times New Roman" w:cs="Times New Roman"/>
          <w:sz w:val="24"/>
          <w:szCs w:val="24"/>
        </w:rPr>
        <w:t>ooled</w:t>
      </w:r>
      <w:r w:rsidRPr="002F0FF1">
        <w:rPr>
          <w:rFonts w:ascii="Times New Roman" w:hAnsi="Times New Roman" w:cs="Times New Roman"/>
          <w:sz w:val="24"/>
          <w:szCs w:val="24"/>
        </w:rPr>
        <w:t xml:space="preserve"> before statistical analysis. </w:t>
      </w:r>
    </w:p>
    <w:p w14:paraId="128278D5" w14:textId="2394CDAD" w:rsidR="000B3AF7" w:rsidRPr="002E26D2" w:rsidRDefault="000B3AF7" w:rsidP="002E2D58">
      <w:pPr>
        <w:pStyle w:val="Heading4"/>
      </w:pPr>
      <w:bookmarkStart w:id="174" w:name="_Ref105769914"/>
      <w:bookmarkStart w:id="175" w:name="_Toc117153875"/>
      <w:r w:rsidRPr="002E26D2">
        <w:t>Cellular respiration</w:t>
      </w:r>
      <w:bookmarkEnd w:id="174"/>
      <w:bookmarkEnd w:id="175"/>
    </w:p>
    <w:p w14:paraId="32624FBB" w14:textId="39C7DE2D" w:rsidR="000B3AF7" w:rsidRPr="002F0FF1" w:rsidRDefault="000B3AF7" w:rsidP="004927B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 xml:space="preserve">MDA-MB-321T </w:t>
      </w:r>
      <w:r w:rsidR="0059203C" w:rsidRPr="002F0FF1">
        <w:rPr>
          <w:rFonts w:ascii="Times New Roman" w:hAnsi="Times New Roman" w:cs="Times New Roman"/>
          <w:sz w:val="24"/>
          <w:szCs w:val="24"/>
        </w:rPr>
        <w:t xml:space="preserve">WT </w:t>
      </w:r>
      <w:r w:rsidRPr="002F0FF1">
        <w:rPr>
          <w:rFonts w:ascii="Times New Roman" w:hAnsi="Times New Roman" w:cs="Times New Roman"/>
          <w:sz w:val="24"/>
          <w:szCs w:val="24"/>
        </w:rPr>
        <w:t>cells, KI clones NME6-186-FLAG and NME6-194-FLAG or NME6-silenced cells (</w:t>
      </w:r>
      <w:r w:rsidR="00E34BEE" w:rsidRPr="002F0FF1">
        <w:rPr>
          <w:rFonts w:ascii="Times New Roman" w:hAnsi="Times New Roman" w:cs="Times New Roman"/>
          <w:sz w:val="24"/>
          <w:szCs w:val="24"/>
        </w:rPr>
        <w:t>section</w:t>
      </w:r>
      <w:r w:rsidR="00245A91" w:rsidRPr="002F0FF1">
        <w:rPr>
          <w:rFonts w:ascii="Times New Roman" w:hAnsi="Times New Roman" w:cs="Times New Roman"/>
          <w:sz w:val="24"/>
          <w:szCs w:val="24"/>
        </w:rPr>
        <w:t xml:space="preserve"> </w:t>
      </w:r>
      <w:r w:rsidR="00463A19" w:rsidRPr="002F0FF1">
        <w:rPr>
          <w:rFonts w:ascii="Times New Roman" w:hAnsi="Times New Roman" w:cs="Times New Roman"/>
          <w:sz w:val="24"/>
          <w:szCs w:val="24"/>
        </w:rPr>
        <w:fldChar w:fldCharType="begin"/>
      </w:r>
      <w:r w:rsidR="00463A19" w:rsidRPr="002F0FF1">
        <w:rPr>
          <w:rFonts w:ascii="Times New Roman" w:hAnsi="Times New Roman" w:cs="Times New Roman"/>
          <w:sz w:val="24"/>
          <w:szCs w:val="24"/>
        </w:rPr>
        <w:instrText xml:space="preserve"> REF _Ref105768720 \r \h </w:instrText>
      </w:r>
      <w:r w:rsidR="002E26D2" w:rsidRPr="002F0FF1">
        <w:rPr>
          <w:rFonts w:ascii="Times New Roman" w:hAnsi="Times New Roman" w:cs="Times New Roman"/>
          <w:sz w:val="24"/>
          <w:szCs w:val="24"/>
        </w:rPr>
        <w:instrText xml:space="preserve"> \* MERGEFORMAT </w:instrText>
      </w:r>
      <w:r w:rsidR="00463A19" w:rsidRPr="002F0FF1">
        <w:rPr>
          <w:rFonts w:ascii="Times New Roman" w:hAnsi="Times New Roman" w:cs="Times New Roman"/>
          <w:sz w:val="24"/>
          <w:szCs w:val="24"/>
        </w:rPr>
      </w:r>
      <w:r w:rsidR="00463A19"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3.2.2.6</w:t>
      </w:r>
      <w:r w:rsidR="00463A19" w:rsidRPr="002F0FF1">
        <w:rPr>
          <w:rFonts w:ascii="Times New Roman" w:hAnsi="Times New Roman" w:cs="Times New Roman"/>
          <w:sz w:val="24"/>
          <w:szCs w:val="24"/>
        </w:rPr>
        <w:fldChar w:fldCharType="end"/>
      </w:r>
      <w:r w:rsidRPr="002F0FF1">
        <w:rPr>
          <w:rFonts w:ascii="Times New Roman" w:hAnsi="Times New Roman" w:cs="Times New Roman"/>
          <w:sz w:val="24"/>
          <w:szCs w:val="24"/>
        </w:rPr>
        <w:t>) were used in this experiment. Cell</w:t>
      </w:r>
      <w:r w:rsidR="00EF69A9" w:rsidRPr="002F0FF1">
        <w:rPr>
          <w:rFonts w:ascii="Times New Roman" w:hAnsi="Times New Roman" w:cs="Times New Roman"/>
          <w:sz w:val="24"/>
          <w:szCs w:val="24"/>
        </w:rPr>
        <w:t>s</w:t>
      </w:r>
      <w:r w:rsidRPr="002F0FF1">
        <w:rPr>
          <w:rFonts w:ascii="Times New Roman" w:hAnsi="Times New Roman" w:cs="Times New Roman"/>
          <w:sz w:val="24"/>
          <w:szCs w:val="24"/>
        </w:rPr>
        <w:t xml:space="preserve"> were collected (</w:t>
      </w:r>
      <w:r w:rsidR="000F6A13">
        <w:rPr>
          <w:rFonts w:ascii="Times New Roman" w:hAnsi="Times New Roman" w:cs="Times New Roman"/>
          <w:sz w:val="24"/>
          <w:szCs w:val="24"/>
        </w:rPr>
        <w:t xml:space="preserve">section </w:t>
      </w:r>
      <w:r w:rsidR="00463A19" w:rsidRPr="002F0FF1">
        <w:rPr>
          <w:rFonts w:ascii="Times New Roman" w:hAnsi="Times New Roman" w:cs="Times New Roman"/>
          <w:sz w:val="24"/>
          <w:szCs w:val="24"/>
        </w:rPr>
        <w:fldChar w:fldCharType="begin"/>
      </w:r>
      <w:r w:rsidR="00463A19" w:rsidRPr="002F0FF1">
        <w:rPr>
          <w:rFonts w:ascii="Times New Roman" w:hAnsi="Times New Roman" w:cs="Times New Roman"/>
          <w:sz w:val="24"/>
          <w:szCs w:val="24"/>
        </w:rPr>
        <w:instrText xml:space="preserve"> REF _Ref105767648 \r \h </w:instrText>
      </w:r>
      <w:r w:rsidR="002E26D2" w:rsidRPr="002F0FF1">
        <w:rPr>
          <w:rFonts w:ascii="Times New Roman" w:hAnsi="Times New Roman" w:cs="Times New Roman"/>
          <w:sz w:val="24"/>
          <w:szCs w:val="24"/>
        </w:rPr>
        <w:instrText xml:space="preserve"> \* MERGEFORMAT </w:instrText>
      </w:r>
      <w:r w:rsidR="00463A19" w:rsidRPr="002F0FF1">
        <w:rPr>
          <w:rFonts w:ascii="Times New Roman" w:hAnsi="Times New Roman" w:cs="Times New Roman"/>
          <w:sz w:val="24"/>
          <w:szCs w:val="24"/>
        </w:rPr>
      </w:r>
      <w:r w:rsidR="00463A19" w:rsidRPr="002F0FF1">
        <w:rPr>
          <w:rFonts w:ascii="Times New Roman" w:hAnsi="Times New Roman" w:cs="Times New Roman"/>
          <w:sz w:val="24"/>
          <w:szCs w:val="24"/>
        </w:rPr>
        <w:fldChar w:fldCharType="separate"/>
      </w:r>
      <w:r w:rsidR="00790F77">
        <w:rPr>
          <w:rFonts w:ascii="Times New Roman" w:hAnsi="Times New Roman" w:cs="Times New Roman"/>
          <w:sz w:val="24"/>
          <w:szCs w:val="24"/>
        </w:rPr>
        <w:t>3.2.2.2.2</w:t>
      </w:r>
      <w:r w:rsidR="00463A19" w:rsidRPr="002F0FF1">
        <w:rPr>
          <w:rFonts w:ascii="Times New Roman" w:hAnsi="Times New Roman" w:cs="Times New Roman"/>
          <w:sz w:val="24"/>
          <w:szCs w:val="24"/>
        </w:rPr>
        <w:fldChar w:fldCharType="end"/>
      </w:r>
      <w:r w:rsidRPr="002F0FF1">
        <w:rPr>
          <w:rFonts w:ascii="Times New Roman" w:hAnsi="Times New Roman" w:cs="Times New Roman"/>
          <w:sz w:val="24"/>
          <w:szCs w:val="24"/>
        </w:rPr>
        <w:t>), resuspended at 100×10</w:t>
      </w:r>
      <w:r w:rsidRPr="002F0FF1">
        <w:rPr>
          <w:rFonts w:ascii="Times New Roman" w:hAnsi="Times New Roman" w:cs="Times New Roman"/>
          <w:sz w:val="24"/>
          <w:szCs w:val="24"/>
          <w:vertAlign w:val="superscript"/>
        </w:rPr>
        <w:t>6</w:t>
      </w:r>
      <w:r w:rsidRPr="002F0FF1">
        <w:rPr>
          <w:rFonts w:ascii="Times New Roman" w:hAnsi="Times New Roman" w:cs="Times New Roman"/>
          <w:sz w:val="24"/>
          <w:szCs w:val="24"/>
        </w:rPr>
        <w:t xml:space="preserve"> cells/mL in DMEMcomp and kept on ice. The thermostatically controlled Clark electrode oxygraph was prewarmed at 37 °C. A 50 µL aliquot (5</w:t>
      </w:r>
      <w:r w:rsidR="0059203C" w:rsidRPr="002F0FF1">
        <w:rPr>
          <w:rFonts w:ascii="Times New Roman" w:hAnsi="Times New Roman" w:cs="Times New Roman"/>
          <w:sz w:val="24"/>
          <w:szCs w:val="24"/>
        </w:rPr>
        <w:t>×</w:t>
      </w:r>
      <w:r w:rsidRPr="002F0FF1">
        <w:rPr>
          <w:rFonts w:ascii="Times New Roman" w:hAnsi="Times New Roman" w:cs="Times New Roman"/>
          <w:sz w:val="24"/>
          <w:szCs w:val="24"/>
        </w:rPr>
        <w:t>10</w:t>
      </w:r>
      <w:r w:rsidRPr="002F0FF1">
        <w:rPr>
          <w:rFonts w:ascii="Times New Roman" w:hAnsi="Times New Roman" w:cs="Times New Roman"/>
          <w:sz w:val="24"/>
          <w:szCs w:val="24"/>
          <w:vertAlign w:val="superscript"/>
        </w:rPr>
        <w:t>6</w:t>
      </w:r>
      <w:r w:rsidRPr="002F0FF1">
        <w:rPr>
          <w:rFonts w:ascii="Times New Roman" w:hAnsi="Times New Roman" w:cs="Times New Roman"/>
          <w:sz w:val="24"/>
          <w:szCs w:val="24"/>
        </w:rPr>
        <w:t xml:space="preserve"> cells) was added in the electrode chamber containing 450 µL KET buffer supplemented with inorganic phosphate (5 mM). Digitonin (50 µg/mL) was added and the plasma membrane permeabilization was allowed for 2 min. Oxygen consumption was measured after activation of respiratory complex I by addition of glutamate (5 mM) and malate (2.5 mM), or after activation of complex II by addition of succinate (5 mM) and rotenone (1 µM) and labelled as </w:t>
      </w:r>
      <w:r w:rsidRPr="002F0FF1">
        <w:rPr>
          <w:rFonts w:ascii="Times New Roman" w:hAnsi="Times New Roman" w:cs="Times New Roman"/>
          <w:sz w:val="24"/>
          <w:szCs w:val="24"/>
        </w:rPr>
        <w:lastRenderedPageBreak/>
        <w:t>the LEAK state. After LEAK measurement, ADP was added (0.5 mM) and the oxygen consumption measured was labelled as OXPHOS state. At the end, Cytochrome C was added (10 µM) and the oxygen consumption was measured to assess the integrity of mitochondrial membranes. Respiration results are expressed as nmol O</w:t>
      </w:r>
      <w:r w:rsidRPr="002F0FF1">
        <w:rPr>
          <w:rFonts w:ascii="Times New Roman" w:hAnsi="Times New Roman" w:cs="Times New Roman"/>
          <w:sz w:val="24"/>
          <w:szCs w:val="24"/>
          <w:vertAlign w:val="subscript"/>
        </w:rPr>
        <w:t>2</w:t>
      </w:r>
      <w:r w:rsidRPr="002F0FF1">
        <w:rPr>
          <w:rFonts w:ascii="Times New Roman" w:hAnsi="Times New Roman" w:cs="Times New Roman"/>
          <w:sz w:val="24"/>
          <w:szCs w:val="24"/>
        </w:rPr>
        <w:t xml:space="preserve"> consumed per minute and per 5×10</w:t>
      </w:r>
      <w:r w:rsidRPr="002F0FF1">
        <w:rPr>
          <w:rFonts w:ascii="Times New Roman" w:hAnsi="Times New Roman" w:cs="Times New Roman"/>
          <w:sz w:val="24"/>
          <w:szCs w:val="24"/>
          <w:vertAlign w:val="superscript"/>
        </w:rPr>
        <w:t>6</w:t>
      </w:r>
      <w:r w:rsidRPr="002F0FF1">
        <w:rPr>
          <w:rFonts w:ascii="Times New Roman" w:hAnsi="Times New Roman" w:cs="Times New Roman"/>
          <w:sz w:val="24"/>
          <w:szCs w:val="24"/>
        </w:rPr>
        <w:t xml:space="preserve"> cells. A ratio OXPHOS/LEAK was calculated to help the interpretation of the results. Experiment</w:t>
      </w:r>
      <w:r w:rsidR="00E849FA" w:rsidRPr="002F0FF1">
        <w:rPr>
          <w:rFonts w:ascii="Times New Roman" w:hAnsi="Times New Roman" w:cs="Times New Roman"/>
          <w:sz w:val="24"/>
          <w:szCs w:val="24"/>
        </w:rPr>
        <w:t>s</w:t>
      </w:r>
      <w:r w:rsidRPr="002F0FF1">
        <w:rPr>
          <w:rFonts w:ascii="Times New Roman" w:hAnsi="Times New Roman" w:cs="Times New Roman"/>
          <w:sz w:val="24"/>
          <w:szCs w:val="24"/>
        </w:rPr>
        <w:t xml:space="preserve"> were realized in triplicate.</w:t>
      </w:r>
    </w:p>
    <w:p w14:paraId="1F27A187" w14:textId="193661B6" w:rsidR="000B3AF7" w:rsidRPr="002E26D2" w:rsidRDefault="000D68C1" w:rsidP="003775DE">
      <w:pPr>
        <w:pStyle w:val="Heading3"/>
      </w:pPr>
      <w:bookmarkStart w:id="176" w:name="_Toc117153876"/>
      <w:r w:rsidRPr="002E26D2">
        <w:t>Statistical analysis</w:t>
      </w:r>
      <w:bookmarkEnd w:id="176"/>
    </w:p>
    <w:p w14:paraId="4E6C6932" w14:textId="48FB1782" w:rsidR="001E0EAE" w:rsidRPr="002F0FF1" w:rsidRDefault="000B3AF7" w:rsidP="009D1F6B">
      <w:pPr>
        <w:spacing w:line="360" w:lineRule="auto"/>
        <w:jc w:val="both"/>
        <w:rPr>
          <w:rFonts w:ascii="Times New Roman" w:hAnsi="Times New Roman" w:cs="Times New Roman"/>
          <w:sz w:val="24"/>
          <w:szCs w:val="24"/>
        </w:rPr>
      </w:pPr>
      <w:r w:rsidRPr="002F0FF1">
        <w:rPr>
          <w:rFonts w:ascii="Times New Roman" w:hAnsi="Times New Roman" w:cs="Times New Roman"/>
          <w:sz w:val="24"/>
          <w:szCs w:val="24"/>
        </w:rPr>
        <w:t xml:space="preserve">Statistical analysis was performed using GraphPad Prism (V8.3.0). Experiments supporting statistical analysis were repeated at least three time. </w:t>
      </w:r>
      <w:r w:rsidR="0059203C" w:rsidRPr="002F0FF1">
        <w:rPr>
          <w:rFonts w:ascii="Times New Roman" w:hAnsi="Times New Roman" w:cs="Times New Roman"/>
          <w:sz w:val="24"/>
          <w:szCs w:val="24"/>
        </w:rPr>
        <w:t xml:space="preserve">The statistical test used is indicated in the </w:t>
      </w:r>
      <w:r w:rsidR="00042F8E" w:rsidRPr="002F0FF1">
        <w:rPr>
          <w:rFonts w:ascii="Times New Roman" w:hAnsi="Times New Roman" w:cs="Times New Roman"/>
          <w:sz w:val="24"/>
          <w:szCs w:val="24"/>
        </w:rPr>
        <w:t>description</w:t>
      </w:r>
      <w:r w:rsidR="0059203C" w:rsidRPr="002F0FF1">
        <w:rPr>
          <w:rFonts w:ascii="Times New Roman" w:hAnsi="Times New Roman" w:cs="Times New Roman"/>
          <w:sz w:val="24"/>
          <w:szCs w:val="24"/>
        </w:rPr>
        <w:t xml:space="preserve"> of each figure supporting statistical analysis. </w:t>
      </w:r>
      <w:r w:rsidRPr="002F0FF1">
        <w:rPr>
          <w:rFonts w:ascii="Times New Roman" w:hAnsi="Times New Roman" w:cs="Times New Roman"/>
          <w:sz w:val="24"/>
          <w:szCs w:val="24"/>
        </w:rPr>
        <w:t>Results’ significance is represented by stars according to the standards in molecular biology field, as follow: * p&lt;0.05, ** p&lt;0.01, *** p&lt;0.001, **** p&lt;0.0001.</w:t>
      </w:r>
    </w:p>
    <w:p w14:paraId="63C1A294" w14:textId="77777777" w:rsidR="001E0EAE" w:rsidRDefault="001E0EAE">
      <w:pPr>
        <w:rPr>
          <w:rFonts w:ascii="Times New Roman" w:hAnsi="Times New Roman" w:cs="Times New Roman"/>
          <w:sz w:val="24"/>
          <w:szCs w:val="24"/>
        </w:rPr>
      </w:pPr>
      <w:r>
        <w:rPr>
          <w:rFonts w:ascii="Times New Roman" w:hAnsi="Times New Roman" w:cs="Times New Roman"/>
          <w:sz w:val="24"/>
          <w:szCs w:val="24"/>
        </w:rPr>
        <w:br w:type="page"/>
      </w:r>
    </w:p>
    <w:p w14:paraId="1B392CED" w14:textId="75EA0BBC" w:rsidR="000B3AF7" w:rsidRPr="005953EB" w:rsidRDefault="00314B90" w:rsidP="004927BB">
      <w:pPr>
        <w:pStyle w:val="Heading1"/>
        <w:spacing w:line="360" w:lineRule="auto"/>
        <w:rPr>
          <w:rFonts w:cs="Times New Roman"/>
          <w:szCs w:val="32"/>
        </w:rPr>
      </w:pPr>
      <w:bookmarkStart w:id="177" w:name="_Toc117153877"/>
      <w:r w:rsidRPr="005953EB">
        <w:rPr>
          <w:rFonts w:cs="Times New Roman"/>
          <w:szCs w:val="32"/>
        </w:rPr>
        <w:lastRenderedPageBreak/>
        <w:t>RESULTS</w:t>
      </w:r>
      <w:bookmarkEnd w:id="177"/>
    </w:p>
    <w:p w14:paraId="4945D571" w14:textId="2E337F42" w:rsidR="000B3AF7" w:rsidRPr="00F836CB" w:rsidRDefault="000B3AF7" w:rsidP="004927BB">
      <w:pPr>
        <w:pStyle w:val="Heading2"/>
        <w:spacing w:line="360" w:lineRule="auto"/>
        <w:rPr>
          <w:rFonts w:cs="Times New Roman"/>
          <w:szCs w:val="28"/>
        </w:rPr>
      </w:pPr>
      <w:bookmarkStart w:id="178" w:name="_Toc117153878"/>
      <w:r w:rsidRPr="00F836CB">
        <w:rPr>
          <w:rFonts w:cs="Times New Roman"/>
          <w:szCs w:val="28"/>
        </w:rPr>
        <w:t>Preparation</w:t>
      </w:r>
      <w:bookmarkEnd w:id="178"/>
    </w:p>
    <w:p w14:paraId="5F533DB1" w14:textId="5AB8599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In this study, we aimed to get a clearer picture of human NME6 protein, regarding the cellular localization, quaternary structure, biochemical properties and cellular functions. For that purpose, a major part of the work was to prepare specific material needed for our investigation. This included the cloning and production of specific plasmids (</w:t>
      </w:r>
      <w:r w:rsidR="00E72D5F">
        <w:rPr>
          <w:rFonts w:ascii="Times New Roman" w:hAnsi="Times New Roman" w:cs="Times New Roman"/>
          <w:sz w:val="24"/>
          <w:szCs w:val="24"/>
        </w:rPr>
        <w:fldChar w:fldCharType="begin"/>
      </w:r>
      <w:r w:rsidR="00E72D5F">
        <w:rPr>
          <w:rFonts w:ascii="Times New Roman" w:hAnsi="Times New Roman" w:cs="Times New Roman"/>
          <w:sz w:val="24"/>
          <w:szCs w:val="24"/>
        </w:rPr>
        <w:instrText xml:space="preserve"> REF _Ref107320460 \h </w:instrText>
      </w:r>
      <w:r w:rsidR="00E72D5F">
        <w:rPr>
          <w:rFonts w:ascii="Times New Roman" w:hAnsi="Times New Roman" w:cs="Times New Roman"/>
          <w:sz w:val="24"/>
          <w:szCs w:val="24"/>
        </w:rPr>
      </w:r>
      <w:r w:rsidR="00E72D5F">
        <w:rPr>
          <w:rFonts w:ascii="Times New Roman" w:hAnsi="Times New Roman" w:cs="Times New Roman"/>
          <w:sz w:val="24"/>
          <w:szCs w:val="24"/>
        </w:rPr>
        <w:fldChar w:fldCharType="separate"/>
      </w:r>
      <w:r w:rsidR="00790F77" w:rsidRPr="00F734BC">
        <w:rPr>
          <w:rFonts w:ascii="Times New Roman" w:hAnsi="Times New Roman" w:cs="Times New Roman"/>
          <w:sz w:val="24"/>
          <w:szCs w:val="24"/>
        </w:rPr>
        <w:t xml:space="preserve">Table </w:t>
      </w:r>
      <w:r w:rsidR="00790F77">
        <w:rPr>
          <w:rFonts w:ascii="Times New Roman" w:hAnsi="Times New Roman" w:cs="Times New Roman"/>
          <w:noProof/>
          <w:sz w:val="24"/>
          <w:szCs w:val="24"/>
        </w:rPr>
        <w:t>11</w:t>
      </w:r>
      <w:r w:rsidR="00E72D5F">
        <w:rPr>
          <w:rFonts w:ascii="Times New Roman" w:hAnsi="Times New Roman" w:cs="Times New Roman"/>
          <w:sz w:val="24"/>
          <w:szCs w:val="24"/>
        </w:rPr>
        <w:fldChar w:fldCharType="end"/>
      </w:r>
      <w:r w:rsidRPr="002E26D2">
        <w:rPr>
          <w:rFonts w:ascii="Times New Roman" w:hAnsi="Times New Roman" w:cs="Times New Roman"/>
          <w:sz w:val="24"/>
          <w:szCs w:val="24"/>
        </w:rPr>
        <w:t xml:space="preserve">), used hereafter to produce monoclonal stable MDA-MB-231T cell lines that exhibit overexpressed (KI) or downregulated (KO) NME6 expression, as well as purified recombinant NME6 proteins. </w:t>
      </w:r>
    </w:p>
    <w:p w14:paraId="177298BA" w14:textId="5B9B0F9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KI clones were produced by random integration of either pcDNA3.1-NME6-186-FLAG or pcDNA3.1-NME6-194-FLAG plasmids within the nuclear DNA. The KO clones were produced by CRIPSR-Cas9 technique, allowing the targeted integration of a specific sequence within the NME6 gene, thus disrupting it and allowing </w:t>
      </w:r>
      <w:r w:rsidR="00B12245">
        <w:rPr>
          <w:rFonts w:ascii="Times New Roman" w:hAnsi="Times New Roman" w:cs="Times New Roman"/>
          <w:sz w:val="24"/>
          <w:szCs w:val="24"/>
        </w:rPr>
        <w:t xml:space="preserve">G418 </w:t>
      </w:r>
      <w:r w:rsidRPr="002E26D2">
        <w:rPr>
          <w:rFonts w:ascii="Times New Roman" w:hAnsi="Times New Roman" w:cs="Times New Roman"/>
          <w:sz w:val="24"/>
          <w:szCs w:val="24"/>
        </w:rPr>
        <w:t>antibiotic resistance.</w:t>
      </w:r>
    </w:p>
    <w:p w14:paraId="2259E0DA" w14:textId="68B8D12E"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Worthy to note, the MDA-MB-231T cell line was used as a major model in the study. Preliminary results showed a similar expression pattern in a wide range of human cell line tested (section</w:t>
      </w:r>
      <w:r w:rsidR="00463A19" w:rsidRPr="002E26D2">
        <w:rPr>
          <w:rFonts w:ascii="Times New Roman" w:hAnsi="Times New Roman" w:cs="Times New Roman"/>
          <w:sz w:val="24"/>
          <w:szCs w:val="24"/>
        </w:rPr>
        <w:t xml:space="preserve"> </w:t>
      </w:r>
      <w:r w:rsidR="00463A19" w:rsidRPr="002E26D2">
        <w:rPr>
          <w:rFonts w:ascii="Times New Roman" w:hAnsi="Times New Roman" w:cs="Times New Roman"/>
          <w:sz w:val="24"/>
          <w:szCs w:val="24"/>
        </w:rPr>
        <w:fldChar w:fldCharType="begin"/>
      </w:r>
      <w:r w:rsidR="00463A19" w:rsidRPr="002E26D2">
        <w:rPr>
          <w:rFonts w:ascii="Times New Roman" w:hAnsi="Times New Roman" w:cs="Times New Roman"/>
          <w:sz w:val="24"/>
          <w:szCs w:val="24"/>
        </w:rPr>
        <w:instrText xml:space="preserve"> REF _Ref105768901 \r \h </w:instrText>
      </w:r>
      <w:r w:rsidR="002E26D2" w:rsidRPr="002E26D2">
        <w:rPr>
          <w:rFonts w:ascii="Times New Roman" w:hAnsi="Times New Roman" w:cs="Times New Roman"/>
          <w:sz w:val="24"/>
          <w:szCs w:val="24"/>
        </w:rPr>
        <w:instrText xml:space="preserve"> \* MERGEFORMAT </w:instrText>
      </w:r>
      <w:r w:rsidR="00463A19" w:rsidRPr="002E26D2">
        <w:rPr>
          <w:rFonts w:ascii="Times New Roman" w:hAnsi="Times New Roman" w:cs="Times New Roman"/>
          <w:sz w:val="24"/>
          <w:szCs w:val="24"/>
        </w:rPr>
      </w:r>
      <w:r w:rsidR="00463A19"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4.2.1</w:t>
      </w:r>
      <w:r w:rsidR="00463A19"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Thus we chose to use MDA-MB-231T, a triple negative breast cancer cell line already extensively used and described as a model system in the NME field </w:t>
      </w:r>
      <w:r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{"citationItems":[{"id":"ITEM-1","itemData":{"DOI":"10.1093/jnci/dji111","ISSN":"1460-2105","PMID":"15870434","abstract":"Background: Reestablishment of metastasis suppressor gene expression may constitute a therapeutic strategy for high-risk breast cancer patients. We previously showed that medroxyprogesterone acetate (MPA), a progestin that has been tested as treatment for advanced breast cancer, elevates expression of the Nm23-H1 metastasis suppressor gene in hormone receptor–negative metastatic human breast carcinoma cell lines in vitro via a glucocorticoid receptor–based mechanism. Here, we tested whether MPA treatment inhibits metastatic colonization of a hormone receptor–negative breast cancer cell line in vivo. Methods: We tested the soft-agar colony-forming efficiency of untransfected MDA-MB-231T human breast carcinoma cells and MDA-MB-231T cells transfected with antisense Nm23-H1 in the presence and absence of MPA. Pharmacokinetic studies were used to establish dose and injection schedules that led to MPA serum levels in mice similar to those achievable in humans. For in vivo studies, nude mice were injected intravenously with MDA-MB-231T cells. After 4 weeks, mice were randomized to control or MPA arms. Endpoints included incidence, number, and size of gross pulmonary metastases; Nm23-H1 protein expression in gross metastases; and side effects. All statistical tests were two-sided. Results: MPA reduced colony formation of MDA-MB-231T cells by 40%–50% but had no effect on colony formation of Nm23-H1 antisense transfectants. Metastases developed in 100% (95% confidence interval [CI] = 78% to 100% and 77% to 100%, respectively) of control mice injected with MDA-MB-231T cells. In two independent experiments, only 73% (95% CI = 45% to 92%) and 64% (95% CI = 35% to 87%) of mice injected with 2 mg of MPA developed metastases. Mice injected with 2 mg of MPA showed reductions in the mean numbers, per mouse, of all metastases and of large (&gt;3 mm) metastases ( P = .04 and .013, respectively). Nm23-H1 was expressed at high levels in 43% of pulmonary metastases in MPA-treated mice but only 13% of metastases in untreated mice. Mice receiving at least 1-mg doses of MPA gained more weight than control-treated mice but exhibited no bone density alterations or abnormal mammary fat pad histology. Conclusion: Our preclinical results show that MPA appears to elevate Nm23-H1 metastasis suppressor gene expression, thereby reducing metastatic colonization. The data suggest a new use for an old agent in a molecularly defined subset of breast cancer patients.","author":[{"dropping-particle":"","family":"Palmieri","given":"Diane","non-dropping-particle":"","parse-names":false,"suffix":""},{"dropping-particle":"","family":"Halverson","given":"Douglas O.","non-dropping-particle":"","parse-names":false,"suffix":""},{"dropping-particle":"","family":"Ouatas","given":"Taoufik","non-dropping-particle":"","parse-names":false,"suffix":""},{"dropping-particle":"","family":"Horak","given":"Christine E.","non-dropping-particle":"","parse-names":false,"suffix":""},{"dropping-particle":"","family":"Salerno","given":"Massimiliano","non-dropping-particle":"","parse-names":false,"suffix":""},{"dropping-particle":"","family":"Johnson","given":"Jennifer","non-dropping-particle":"","parse-names":false,"suffix":""},{"dropping-particle":"","family":"Figg","given":"W. Douglas","non-dropping-particle":"","parse-names":false,"suffix":""},{"dropping-particle":"","family":"Hollingshead","given":"Melinda","non-dropping-particle":"","parse-names":false,"suffix":""},{"dropping-particle":"","family":"Hursting","given":"Stephen","non-dropping-particle":"","parse-names":false,"suffix":""},{"dropping-particle":"","family":"Berrigan","given":"David","non-dropping-particle":"","parse-names":false,"suffix":""},{"dropping-particle":"","family":"Steinberg","given":"Seth M.","non-dropping-particle":"","parse-names":false,"suffix":""},{"dropping-particle":"","family":"Merino","given":"Maria J.","non-dropping-particle":"","parse-names":false,"suffix":""},{"dropping-particle":"","family":"Steeg","given":"Patricia S.","non-dropping-particle":"","parse-names":false,"suffix":""}],"container-title":"JNCI: Journal of the National Cancer Institute","id":"ITEM-1","issue":"9","issued":{"date-parts":[["2005","5","4"]]},"page":"632-642","publisher":"J Natl Cancer Inst","title":"Medroxyprogesterone Acetate Elevation of Nm23-H1 Metastasis Suppressor Expression in Hormone Receptor–Negative Breast Cancer","type":"article-journal","volume":"97"},"uris":["http://www.mendeley.com/documents/?uuid=a268262b-80fd-3934-8144-ba14a5a3cba4"]},{"id":"ITEM-2","itemData":{"DOI":"10.1158/0008-5472.CAN-19-0492","ISSN":"0008-5472","PMID":"31311812","abstract":"NM23 (NME) is a metastasis suppressor that significantly reduces metastasis without affecting primary tumor size, however, the precise molecular mechanisms are not completely understood. We examined the role of dynamin (DNM2), a GTPase regulating membrane scission of vesicles in endocytosis, in NME1 and NME2 regulation of tumor cell motility and metastasis. Overexpression of NMEs in MDA-MB-231T and MDA-MB-435 cancer cell lines increased endocytosis of transferrin and EGF receptors (TfR and EGFR) concurrent with motility and migration suppression. The internalized vesicles, costained with Rab5, had AP2 depleted from the cell surface and exhibited increased Rab5-GTP levels, consistent with endocytosis. Dynamin inhibitors Iminodyn-22 and Dynole-34-2, or shRNA-mediated downregulation of DNM2, impaired NME's ability to augment endocytosis or suppress tumor cell motility. In a lung metastasis assay, NME1 overexpression failed to significantly suppress metastasis in the DNM2 knockdown MDA-MB-231T cells. Using the EGF–EGFR signaling axis as a model in MDA-MB-231T cells, NME1 decreased pEGFR and pAkt expression in a DNM2-dependent manner, indicating the relevance of this interaction for downstream signaling. NME–DNM2 interaction was confirmed in two-way coimmunoprecipitations. Transfection of a NME1 site–directed mutant lacking histidine protein kinase activity but retaining nucleoside diphosphate kinase (NDPK) activity showed that the NDPK activity of NME was insufficient to promote endocytosis or inhibit EGFR signaling. We show that addition of NME1 or NME2 to DNM2 facilitates DNM2 oligomerization and increases GTPase activity, both required for vesicle scission. NME–DNM2 interaction may contribute to metastasis suppression by altering tumor endocytic and motility phenotypes. Significance: NME1 suppresses metastasis via changes in tumor endocytosis and motility, mediated by dynamin (DNM2) GTPase activity.","author":[{"dropping-particle":"","family":"Khan","given":"Imran","non-dropping-particle":"","parse-names":false,"suffix":""},{"dropping-particle":"","family":"Gril","given":"Brunilde","non-dropping-particle":"","parse-names":false,"suffix":""},{"dropping-particle":"","family":"Steeg","given":"Patricia S.","non-dropping-particle":"","parse-names":false,"suffix":""}],"container-title":"Cancer Research","id":"ITEM-2","issue":"18","issued":{"date-parts":[["2019","9","15"]]},"page":"4689-4702","publisher":"American Association for Cancer Research Inc.","title":"Metastasis Suppressors NME1 and NME2 Promote Dynamin 2 Oligomerization and Regulate Tumor Cell Endocytosis, Motility, and Metastasis","type":"article-journal","volume":"79"},"uris":["http://www.mendeley.com/documents/?uuid=a2261287-0ba9-37ab-8a02-dd395f65c745"]},{"id":"ITEM-3","itemData":{"DOI":"10.1158/0008-5472.CAN-13-0368","ISSN":"0008-5472","PMID":"23940300","abstract":"Nm23-H1 has been identified as a metastasis suppressor gene, but its protein interactions have yet to be understood with any mechanistic clarity. In this study, we evaluated the proteomic spectrum of interactions made by Nm23-H1 in 4T1 murine breast cancer cells derived from tissue culture, primary mammary tumors, and pulmonary metastases. By this approach, we identified the actin-severing protein Gelsolin as binding partner for Nm23-H1, verifying their interaction by coimmunoprecipitation in 4T1 cells as well as in human MCF7, MDA-MB-231T, and MDA-MB-435 breast cancer cells. In Gelsolin-transfected cells, coexpression of Nm23-H1 abrogated the actin-severing activity of Gelsolin. Conversely, actin severing by Gelsolin was abrogated by RNA interference–mediated silencing of endogenous Nm23-H1. Tumor cell motility was negatively affected in parallel with Gelsolin activity, suggesting that Nm23-H1 binding inactivated the actin-depolymerizing function of Gelsolin to inhibit cell motility. Using indirect immunoflourescence to monitor complexes formed by Gelsolin and Nm23-H1 in living cells, we observed their colocalization in a perinuclear cytoplasmic compartment that was associated with the presence of disrupted actin stress fibers. In vivo analyses revealed that Gelsolin overexpression increased the metastasis of orthotopically implanted 4T1 or tail vein–injected MDA-MB-231T cells (P = 0.001 and 0.04, respectively), along with the proportion of mice with diffuse liver metastases, an effect ablated by coexpression of Nm23-H1. We observed no variation in proliferation among lung metastases. Our findings suggest a new actin-based mechanism that can suppress tumor metastasis. Cancer Res; 73(19); 5949–62. ©2013 AACR.","author":[{"dropping-particle":"","family":"Marino","given":"Natascia","non-dropping-particle":"","parse-names":false,"suffix":""},{"dropping-particle":"","family":"Marshall","given":"Jean-Claude","non-dropping-particle":"","parse-names":false,"suffix":""},{"dropping-particle":"","family":"Collins","given":"Joshua W.","non-dropping-particle":"","parse-names":false,"suffix":""},{"dropping-particle":"","family":"Zhou","given":"Ming","non-dropping-particle":"","parse-names":false,"suffix":""},{"dropping-particle":"","family":"Qian","given":"Yongzhen","non-dropping-particle":"","parse-names":false,"suffix":""},{"dropping-particle":"","family":"Veenstra","given":"Timothy","non-dropping-particle":"","parse-names":false,"suffix":""},{"dropping-particle":"","family":"Steeg","given":"Patricia S.","non-dropping-particle":"","parse-names":false,"suffix":""}],"container-title":"Cancer Research","id":"ITEM-3","issue":"19","issued":{"date-parts":[["2013","10","1"]]},"page":"5949-5962","title":"Nm23-H1 Binds to Gelsolin and Inactivates Its Actin-Severing Capacity to Promote Tumor Cell Motility and Metastasis","type":"article-journal","volume":"73"},"uris":["http://www.mendeley.com/documents/?uuid=2c31af41-9e05-3521-881e-a5544b01897e"]},{"id":"ITEM-4","itemData":{"DOI":"10.1186/s12915-021-01155-5","ISSN":"1741-7007","PMID":"34674701","abstract":"Background: Mitochondrial nucleoside diphosphate kinase (NDPK-D, NME4, NM23-H4) is a multifunctional enzyme mainly localized in the intermembrane space, bound to the inner membrane. Results: We constructed loss-of-function mutants of NDPK-D, lacking either NDP kinase activity or membrane interaction and expressed mutants or wild-type protein in cancer cells. In a complementary approach, we performed depletion of NDPK-D by RNA interference. Both loss-of-function mutations and NDPK-D depletion promoted epithelial-mesenchymal transition and increased migratory and invasive potential. Immunocompromised mice developed more metastases when injected with cells expressing mutant NDPK-D as compared to wild-type. This metastatic reprogramming is a consequence of mitochondrial alterations, including fragmentation and loss of mitochondria, a metabolic switch from respiration to glycolysis, increased ROS generation, and further metabolic changes in mitochondria, all of which can trigger pro-metastatic protein expression and signaling cascades. In human cancer, NME4 expression is negatively associated with markers of epithelial-mesenchymal transition and tumor aggressiveness and a good prognosis factor for beneficial clinical outcome. Conclusions: These data demonstrate NME4 as a novel metastasis suppressor gene, the first localizing to mitochondria, pointing to a role of mitochondria in metastatic dissemination.","author":[{"dropping-particle":"","family":"Lacombe","given":"Marie-Lise","non-dropping-particle":"","parse-names":false,"suffix":""},{"dropping-particle":"","family":"Lamarche","given":"Frederic","non-dropping-particle":"","parse-names":false,"suffix":""},{"dropping-particle":"","family":"Wever","given":"Olivier","non-dropping-particle":"De","parse-names":false,"suffix":""},{"dropping-particle":"","family":"Padilla-Benavides","given":"Teresita","non-dropping-particle":"","parse-names":false,"suffix":""},{"dropping-particle":"","family":"Carlson","given":"Alyssa","non-dropping-particle":"","parse-names":false,"suffix":""},{"dropping-particle":"","family":"Khan","given":"Imran","non-dropping-particle":"","parse-names":false,"suffix":""},{"dropping-particle":"","family":"Huna","given":"Anda","non-dropping-particle":"","parse-names":false,"suffix":""},{"dropping-particle":"","family":"Vacher","given":"Sophie","non-dropping-particle":"","parse-names":false,"suffix":""},{"dropping-particle":"","family":"Calmel","given":"Claire","non-dropping-particle":"","parse-names":false,"suffix":""},{"dropping-particle":"","family":"Desbourdes","given":"Céline","non-dropping-particle":"","parse-names":false,"suffix":""},{"dropping-particle":"","family":"Cottet-Rousselle","given":"Cécile","non-dropping-particle":"","parse-names":false,"suffix":""},{"dropping-particle":"","family":"Hininger-Favier","given":"Isabelle","non-dropping-particle":"","parse-names":false,"suffix":""},{"dropping-particle":"","family":"Attia","given":"Stéphane","non-dropping-particle":"","parse-names":false,"suffix":""},{"dropping-particle":"","family":"Nawrocki-Raby","given":"Béatrice","non-dropping-particle":"","parse-names":false,"suffix":""},{"dropping-particle":"","family":"Raingeaud","given":"Joël","non-dropping-particle":"","parse-names":false,"suffix":""},{"dropping-particle":"","family":"Machon","given":"Christelle","non-dropping-particle":"","parse-names":false,"suffix":""},{"dropping-particle":"","family":"Guitton","given":"Jérôme","non-dropping-particle":"","parse-names":false,"suffix":""},{"dropping-particle":"","family":"Gall","given":"Morgane","non-dropping-particle":"Le","parse-names":false,"suffix":""},{"dropping-particle":"","family":"Clary","given":"Guilhem","non-dropping-particle":"","parse-names":false,"suffix":""},{"dropping-particle":"","family":"Broussard","given":"Cedric","non-dropping-particle":"","parse-names":false,"suffix":""},{"dropping-particle":"","family":"Chafey","given":"Philippe","non-dropping-particle":"","parse-names":false,"suffix":""},{"dropping-particle":"","family":"Thérond","given":"Patrice","non-dropping-particle":"","parse-names":false,"suffix":""},{"dropping-particle":"","family":"Bernard","given":"David","non-dropping-particle":"","parse-names":false,"suffix":""},{"dropping-particle":"","family":"Fontaine","given":"Eric","non-dropping-particle":"","parse-names":false,"suffix":""},{"dropping-particle":"","family":"Tokarska-Schlattner","given":"Malgorzata","non-dropping-particle":"","parse-names":false,"suffix":""},{"dropping-particle":"","family":"Steeg","given":"Patricia","non-dropping-particle":"","parse-names":false,"suffix":""},{"dropping-particle":"","family":"Bièche","given":"Ivan","non-dropping-particle":"","parse-names":false,"suffix":""},{"dropping-particle":"","family":"Schlattner","given":"Uwe","non-dropping-particle":"","parse-names":false,"suffix":""},{"dropping-particle":"","family":"Boissan","given":"Mathieu","non-dropping-particle":"","parse-names":false,"suffix":""}],"container-title":"BMC Biology","id":"ITEM-4","issue":"1","issued":{"date-parts":[["2021","12","21"]]},"page":"228","publisher":"BioMed Central","title":"The mitochondrially-localized nucleoside diphosphate kinase D (NME4) is a novel metastasis suppressor","type":"article-journal","volume":"19"},"uris":["http://www.mendeley.com/documents/?uuid=e809cd37-2f5d-4217-a775-cb788b046c5f"]}],"mendeley":{"formattedCitation":"[97,133–135]","plainTextFormattedCitation":"[97,133–135]","previouslyFormattedCitation":"[97,133–135]"},"properties":{"noteIndex":0},"schema":"https://github.com/citation-style-language/schema/raw/master/csl-citation.json"}</w:instrText>
      </w:r>
      <w:r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[97,133–135]</w:t>
      </w:r>
      <w:r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2D3B337B" w14:textId="506B61FC" w:rsidR="000B3AF7" w:rsidRPr="002E26D2" w:rsidRDefault="000B3AF7" w:rsidP="003775DE">
      <w:pPr>
        <w:pStyle w:val="Heading3"/>
      </w:pPr>
      <w:bookmarkStart w:id="179" w:name="_Ref105769163"/>
      <w:bookmarkStart w:id="180" w:name="_Toc117153879"/>
      <w:r w:rsidRPr="002E26D2">
        <w:t>Production of NME6-KI stable clones</w:t>
      </w:r>
      <w:bookmarkEnd w:id="179"/>
      <w:bookmarkEnd w:id="180"/>
    </w:p>
    <w:p w14:paraId="5332BDD7" w14:textId="2BF87B88"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The production was performed according to the protocol</w:t>
      </w:r>
      <w:r w:rsidR="008B3A71">
        <w:rPr>
          <w:rFonts w:ascii="Times New Roman" w:hAnsi="Times New Roman" w:cs="Times New Roman"/>
          <w:sz w:val="24"/>
          <w:szCs w:val="24"/>
        </w:rPr>
        <w:t xml:space="preserve"> from section </w:t>
      </w:r>
      <w:r w:rsidR="00463A19" w:rsidRPr="002E26D2">
        <w:rPr>
          <w:rFonts w:ascii="Times New Roman" w:hAnsi="Times New Roman" w:cs="Times New Roman"/>
          <w:sz w:val="24"/>
          <w:szCs w:val="24"/>
        </w:rPr>
        <w:fldChar w:fldCharType="begin"/>
      </w:r>
      <w:r w:rsidR="00463A19" w:rsidRPr="002E26D2">
        <w:rPr>
          <w:rFonts w:ascii="Times New Roman" w:hAnsi="Times New Roman" w:cs="Times New Roman"/>
          <w:sz w:val="24"/>
          <w:szCs w:val="24"/>
        </w:rPr>
        <w:instrText xml:space="preserve"> REF _Ref105767943 \r \h </w:instrText>
      </w:r>
      <w:r w:rsidR="002E26D2" w:rsidRPr="002E26D2">
        <w:rPr>
          <w:rFonts w:ascii="Times New Roman" w:hAnsi="Times New Roman" w:cs="Times New Roman"/>
          <w:sz w:val="24"/>
          <w:szCs w:val="24"/>
        </w:rPr>
        <w:instrText xml:space="preserve"> \* MERGEFORMAT </w:instrText>
      </w:r>
      <w:r w:rsidR="00463A19" w:rsidRPr="002E26D2">
        <w:rPr>
          <w:rFonts w:ascii="Times New Roman" w:hAnsi="Times New Roman" w:cs="Times New Roman"/>
          <w:sz w:val="24"/>
          <w:szCs w:val="24"/>
        </w:rPr>
      </w:r>
      <w:r w:rsidR="00463A19"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3.2.2.7.1</w:t>
      </w:r>
      <w:r w:rsidR="00463A19" w:rsidRPr="002E26D2">
        <w:rPr>
          <w:rFonts w:ascii="Times New Roman" w:hAnsi="Times New Roman" w:cs="Times New Roman"/>
          <w:sz w:val="24"/>
          <w:szCs w:val="24"/>
        </w:rPr>
        <w:fldChar w:fldCharType="end"/>
      </w:r>
      <w:r w:rsidRPr="002E26D2">
        <w:rPr>
          <w:rFonts w:ascii="Times New Roman" w:hAnsi="Times New Roman" w:cs="Times New Roman"/>
          <w:sz w:val="24"/>
          <w:szCs w:val="24"/>
        </w:rPr>
        <w:t>. Viable clones were validated by Western blot using FLAG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_Ref106009416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18</w:t>
      </w:r>
      <w:r w:rsidR="00C1558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and NME6 antibodies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_Ref106009421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19</w:t>
      </w:r>
      <w:r w:rsidR="00C1558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We were able to produce both NME6-186-FLAG and NME6-194-FLAG KI stable clones that we could divide in </w:t>
      </w:r>
      <w:r w:rsidR="00F27843">
        <w:rPr>
          <w:rFonts w:ascii="Times New Roman" w:hAnsi="Times New Roman" w:cs="Times New Roman"/>
          <w:sz w:val="24"/>
          <w:szCs w:val="24"/>
        </w:rPr>
        <w:t>two</w:t>
      </w:r>
      <w:r w:rsidR="00F27843" w:rsidRPr="002E26D2">
        <w:rPr>
          <w:rFonts w:ascii="Times New Roman" w:hAnsi="Times New Roman" w:cs="Times New Roman"/>
          <w:sz w:val="24"/>
          <w:szCs w:val="24"/>
        </w:rPr>
        <w:t xml:space="preserve"> </w:t>
      </w:r>
      <w:r w:rsidRPr="002E26D2">
        <w:rPr>
          <w:rFonts w:ascii="Times New Roman" w:hAnsi="Times New Roman" w:cs="Times New Roman"/>
          <w:sz w:val="24"/>
          <w:szCs w:val="24"/>
        </w:rPr>
        <w:t xml:space="preserve">categories based on the exogenous NME6-FLAG expression. The “low” clones expressed about 10 time more NME6-FLAG compared to the endogenous NME6 in </w:t>
      </w:r>
      <w:r w:rsidR="006F5DC4">
        <w:rPr>
          <w:rFonts w:ascii="Times New Roman" w:hAnsi="Times New Roman" w:cs="Times New Roman"/>
          <w:sz w:val="24"/>
          <w:szCs w:val="24"/>
        </w:rPr>
        <w:t xml:space="preserve">WT </w:t>
      </w:r>
      <w:r w:rsidRPr="002E26D2">
        <w:rPr>
          <w:rFonts w:ascii="Times New Roman" w:hAnsi="Times New Roman" w:cs="Times New Roman"/>
          <w:sz w:val="24"/>
          <w:szCs w:val="24"/>
        </w:rPr>
        <w:t xml:space="preserve">control cells. The “high” clones expressed about 20 time more NME6-FLAG compared to the endogenous NME6 in </w:t>
      </w:r>
      <w:r w:rsidR="006F5DC4">
        <w:rPr>
          <w:rFonts w:ascii="Times New Roman" w:hAnsi="Times New Roman" w:cs="Times New Roman"/>
          <w:sz w:val="24"/>
          <w:szCs w:val="24"/>
        </w:rPr>
        <w:t>WT control</w:t>
      </w:r>
      <w:r w:rsidRPr="002E26D2">
        <w:rPr>
          <w:rFonts w:ascii="Times New Roman" w:hAnsi="Times New Roman" w:cs="Times New Roman"/>
          <w:sz w:val="24"/>
          <w:szCs w:val="24"/>
        </w:rPr>
        <w:t xml:space="preserve"> cells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_Ref106009421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19</w:t>
      </w:r>
      <w:r w:rsidR="00C1558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Note that endogenous NME6 expression is strongly downregulated in NME6-FLAG KI clones, suggesting a possible negative feedback loop inducing repression of the endogenous NME6 gene expression. The production was successful and led to a dozen of usable clones for each isoform of NME6. Clones didn’t show morphological differences compared to </w:t>
      </w:r>
      <w:r w:rsidR="00416F64">
        <w:rPr>
          <w:rFonts w:ascii="Times New Roman" w:hAnsi="Times New Roman" w:cs="Times New Roman"/>
          <w:sz w:val="24"/>
          <w:szCs w:val="24"/>
        </w:rPr>
        <w:t xml:space="preserve">WT </w:t>
      </w:r>
      <w:r w:rsidRPr="002E26D2">
        <w:rPr>
          <w:rFonts w:ascii="Times New Roman" w:hAnsi="Times New Roman" w:cs="Times New Roman"/>
          <w:sz w:val="24"/>
          <w:szCs w:val="24"/>
        </w:rPr>
        <w:t>control cells.</w:t>
      </w:r>
    </w:p>
    <w:p w14:paraId="5CA9B7DF" w14:textId="77777777" w:rsidR="000B3AF7" w:rsidRPr="002E26D2" w:rsidRDefault="000B3AF7" w:rsidP="004927BB">
      <w:pPr>
        <w:spacing w:line="360" w:lineRule="auto"/>
        <w:jc w:val="both"/>
        <w:rPr>
          <w:rFonts w:ascii="Times New Roman" w:hAnsi="Times New Roman" w:cs="Times New Roman"/>
          <w:noProof/>
          <w:sz w:val="24"/>
          <w:szCs w:val="24"/>
        </w:rPr>
      </w:pPr>
    </w:p>
    <w:p w14:paraId="287B5CB1" w14:textId="77777777" w:rsidR="0054190A"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70FA7391" wp14:editId="7E236748">
            <wp:extent cx="5760000" cy="231054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00" cy="2310543"/>
                    </a:xfrm>
                    <a:prstGeom prst="rect">
                      <a:avLst/>
                    </a:prstGeom>
                    <a:noFill/>
                  </pic:spPr>
                </pic:pic>
              </a:graphicData>
            </a:graphic>
          </wp:inline>
        </w:drawing>
      </w:r>
    </w:p>
    <w:p w14:paraId="7164095D" w14:textId="03222FC2" w:rsidR="000B3AF7" w:rsidRPr="002E26D2" w:rsidRDefault="0054190A" w:rsidP="004927BB">
      <w:pPr>
        <w:pStyle w:val="Caption"/>
        <w:spacing w:line="360" w:lineRule="auto"/>
        <w:rPr>
          <w:rFonts w:ascii="Times New Roman" w:hAnsi="Times New Roman" w:cs="Times New Roman"/>
          <w:sz w:val="24"/>
          <w:szCs w:val="24"/>
        </w:rPr>
      </w:pPr>
      <w:bookmarkStart w:id="181" w:name="_Ref10600941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18</w:t>
      </w:r>
      <w:r w:rsidRPr="002E26D2">
        <w:rPr>
          <w:rFonts w:ascii="Times New Roman" w:hAnsi="Times New Roman" w:cs="Times New Roman"/>
          <w:sz w:val="24"/>
          <w:szCs w:val="24"/>
        </w:rPr>
        <w:fldChar w:fldCharType="end"/>
      </w:r>
      <w:bookmarkStart w:id="182" w:name="_Ref105752283"/>
      <w:bookmarkEnd w:id="181"/>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Validation of selected stable clone overexpressing NME6-FLAG</w:t>
      </w:r>
      <w:r w:rsidR="000B3AF7" w:rsidRPr="006441AE">
        <w:rPr>
          <w:rFonts w:ascii="Times New Roman" w:hAnsi="Times New Roman" w:cs="Times New Roman"/>
          <w:sz w:val="24"/>
          <w:szCs w:val="24"/>
          <w:u w:val="single"/>
        </w:rPr>
        <w:t>.</w:t>
      </w:r>
      <w:r w:rsidR="000B3AF7" w:rsidRPr="002E26D2">
        <w:rPr>
          <w:rFonts w:ascii="Times New Roman" w:hAnsi="Times New Roman" w:cs="Times New Roman"/>
          <w:sz w:val="24"/>
          <w:szCs w:val="24"/>
        </w:rPr>
        <w:t xml:space="preserve"> Western blot analysis of MDA-MB-231T KI clones overexpressing NME6-186-FLAG (KI-186) or NME6-194-FLAG (KI-194). Cell lysates were evenly loaded and exogenous NME6-FLAG proteins were revealed using anti-FLAG antibody.</w:t>
      </w:r>
      <w:bookmarkEnd w:id="182"/>
    </w:p>
    <w:p w14:paraId="25C81A04" w14:textId="77777777" w:rsidR="000B3AF7" w:rsidRPr="002E26D2" w:rsidRDefault="000B3AF7" w:rsidP="004927BB">
      <w:pPr>
        <w:spacing w:line="360" w:lineRule="auto"/>
        <w:jc w:val="both"/>
        <w:rPr>
          <w:rFonts w:ascii="Times New Roman" w:hAnsi="Times New Roman" w:cs="Times New Roman"/>
          <w:sz w:val="24"/>
          <w:szCs w:val="24"/>
        </w:rPr>
      </w:pPr>
    </w:p>
    <w:p w14:paraId="1292310E" w14:textId="77777777" w:rsidR="00BE5DFE"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0601F15A" wp14:editId="1394C498">
            <wp:extent cx="4151630" cy="6651625"/>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51630" cy="6651625"/>
                    </a:xfrm>
                    <a:prstGeom prst="rect">
                      <a:avLst/>
                    </a:prstGeom>
                    <a:noFill/>
                  </pic:spPr>
                </pic:pic>
              </a:graphicData>
            </a:graphic>
          </wp:inline>
        </w:drawing>
      </w:r>
    </w:p>
    <w:p w14:paraId="35E5E7C0" w14:textId="0BAC5B2E" w:rsidR="00416F64" w:rsidRDefault="00BE5DFE" w:rsidP="004927BB">
      <w:pPr>
        <w:pStyle w:val="Caption"/>
        <w:spacing w:line="360" w:lineRule="auto"/>
        <w:rPr>
          <w:rFonts w:ascii="Times New Roman" w:hAnsi="Times New Roman" w:cs="Times New Roman"/>
          <w:sz w:val="24"/>
          <w:szCs w:val="24"/>
        </w:rPr>
      </w:pPr>
      <w:bookmarkStart w:id="183" w:name="_Ref106009421"/>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19</w:t>
      </w:r>
      <w:r w:rsidRPr="002E26D2">
        <w:rPr>
          <w:rFonts w:ascii="Times New Roman" w:hAnsi="Times New Roman" w:cs="Times New Roman"/>
          <w:sz w:val="24"/>
          <w:szCs w:val="24"/>
        </w:rPr>
        <w:fldChar w:fldCharType="end"/>
      </w:r>
      <w:bookmarkStart w:id="184" w:name="_Ref105752302"/>
      <w:bookmarkEnd w:id="183"/>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KI clones express a high amount of exogenous NME6-186-FLAG.</w:t>
      </w:r>
      <w:r w:rsidR="000B3AF7" w:rsidRPr="006441AE">
        <w:rPr>
          <w:rFonts w:ascii="Times New Roman" w:hAnsi="Times New Roman" w:cs="Times New Roman"/>
          <w:sz w:val="24"/>
          <w:szCs w:val="24"/>
        </w:rPr>
        <w:t xml:space="preserve">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Ten micrograms of cell lysate from MDA-MB-231T (Ctrl) and stable clones overexpressing NME6-186-FLAG (KI-186-7, KI-186-18, KI-186-26) were analyzed by Western blot, using anti-NME6 antibody. </w:t>
      </w:r>
      <w:r w:rsidR="000B3AF7" w:rsidRPr="002E26D2">
        <w:rPr>
          <w:rFonts w:ascii="Times New Roman" w:hAnsi="Times New Roman" w:cs="Times New Roman"/>
          <w:b/>
          <w:sz w:val="24"/>
          <w:szCs w:val="24"/>
        </w:rPr>
        <w:t>b</w:t>
      </w:r>
      <w:r w:rsidR="000B3AF7" w:rsidRPr="002E26D2">
        <w:rPr>
          <w:rFonts w:ascii="Times New Roman" w:hAnsi="Times New Roman" w:cs="Times New Roman"/>
          <w:sz w:val="24"/>
          <w:szCs w:val="24"/>
        </w:rPr>
        <w:t xml:space="preserve"> Quantifications of endogenous NME6 (Ctrl) or exogenous NME6-186-FLAG (KIs) by densitometry were normalized to naphthol blue. Band intensities are displayed as a ratio of the hatched Ctrl sample.</w:t>
      </w:r>
      <w:bookmarkEnd w:id="184"/>
    </w:p>
    <w:p w14:paraId="00E093C0" w14:textId="77777777" w:rsidR="00416F64" w:rsidRDefault="00416F64">
      <w:pPr>
        <w:rPr>
          <w:rFonts w:ascii="Times New Roman" w:eastAsia="Calibri" w:hAnsi="Times New Roman" w:cs="Times New Roman"/>
          <w:bCs/>
          <w:i/>
          <w:sz w:val="24"/>
          <w:szCs w:val="24"/>
        </w:rPr>
      </w:pPr>
      <w:r>
        <w:rPr>
          <w:rFonts w:ascii="Times New Roman" w:hAnsi="Times New Roman" w:cs="Times New Roman"/>
          <w:sz w:val="24"/>
          <w:szCs w:val="24"/>
        </w:rPr>
        <w:br w:type="page"/>
      </w:r>
    </w:p>
    <w:p w14:paraId="4FF88D70" w14:textId="41DED6C7" w:rsidR="000B3AF7" w:rsidRPr="002E26D2" w:rsidRDefault="000B3AF7" w:rsidP="003775DE">
      <w:pPr>
        <w:pStyle w:val="Heading3"/>
      </w:pPr>
      <w:bookmarkStart w:id="185" w:name="_Toc117153880"/>
      <w:r w:rsidRPr="002E26D2">
        <w:lastRenderedPageBreak/>
        <w:t>Production of NME6-KO stable clones</w:t>
      </w:r>
      <w:bookmarkEnd w:id="185"/>
      <w:r w:rsidRPr="002E26D2">
        <w:t xml:space="preserve"> </w:t>
      </w:r>
    </w:p>
    <w:p w14:paraId="0D56CF9E" w14:textId="72D37B78"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production of NME6-KO stable clones was performed two times separately using the protocol </w:t>
      </w:r>
      <w:r w:rsidR="00846F9B">
        <w:rPr>
          <w:rFonts w:ascii="Times New Roman" w:hAnsi="Times New Roman" w:cs="Times New Roman"/>
          <w:sz w:val="24"/>
          <w:szCs w:val="24"/>
        </w:rPr>
        <w:t xml:space="preserve">described in section </w:t>
      </w:r>
      <w:r w:rsidR="00463A19" w:rsidRPr="002E26D2">
        <w:rPr>
          <w:rFonts w:ascii="Times New Roman" w:hAnsi="Times New Roman" w:cs="Times New Roman"/>
          <w:sz w:val="24"/>
          <w:szCs w:val="24"/>
        </w:rPr>
        <w:fldChar w:fldCharType="begin"/>
      </w:r>
      <w:r w:rsidR="00463A19" w:rsidRPr="002E26D2">
        <w:rPr>
          <w:rFonts w:ascii="Times New Roman" w:hAnsi="Times New Roman" w:cs="Times New Roman"/>
          <w:sz w:val="24"/>
          <w:szCs w:val="24"/>
        </w:rPr>
        <w:instrText xml:space="preserve"> REF _Ref105767951 \r \h </w:instrText>
      </w:r>
      <w:r w:rsidR="002E26D2" w:rsidRPr="002E26D2">
        <w:rPr>
          <w:rFonts w:ascii="Times New Roman" w:hAnsi="Times New Roman" w:cs="Times New Roman"/>
          <w:sz w:val="24"/>
          <w:szCs w:val="24"/>
        </w:rPr>
        <w:instrText xml:space="preserve"> \* MERGEFORMAT </w:instrText>
      </w:r>
      <w:r w:rsidR="00463A19" w:rsidRPr="002E26D2">
        <w:rPr>
          <w:rFonts w:ascii="Times New Roman" w:hAnsi="Times New Roman" w:cs="Times New Roman"/>
          <w:sz w:val="24"/>
          <w:szCs w:val="24"/>
        </w:rPr>
      </w:r>
      <w:r w:rsidR="00463A19"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3.2.2.7.2</w:t>
      </w:r>
      <w:r w:rsidR="00463A19" w:rsidRPr="002E26D2">
        <w:rPr>
          <w:rFonts w:ascii="Times New Roman" w:hAnsi="Times New Roman" w:cs="Times New Roman"/>
          <w:sz w:val="24"/>
          <w:szCs w:val="24"/>
        </w:rPr>
        <w:fldChar w:fldCharType="end"/>
      </w:r>
      <w:r w:rsidRPr="002E26D2">
        <w:rPr>
          <w:rFonts w:ascii="Times New Roman" w:hAnsi="Times New Roman" w:cs="Times New Roman"/>
          <w:sz w:val="24"/>
          <w:szCs w:val="24"/>
        </w:rPr>
        <w:t>. After selection</w:t>
      </w:r>
      <w:r w:rsidR="00BD7C8F">
        <w:rPr>
          <w:rFonts w:ascii="Times New Roman" w:hAnsi="Times New Roman" w:cs="Times New Roman"/>
          <w:sz w:val="24"/>
          <w:szCs w:val="24"/>
        </w:rPr>
        <w:t xml:space="preserve"> based on </w:t>
      </w:r>
      <w:r w:rsidR="00416F64">
        <w:rPr>
          <w:rFonts w:ascii="Times New Roman" w:hAnsi="Times New Roman" w:cs="Times New Roman"/>
          <w:sz w:val="24"/>
          <w:szCs w:val="24"/>
        </w:rPr>
        <w:t xml:space="preserve">G418 </w:t>
      </w:r>
      <w:r w:rsidR="00BD7C8F">
        <w:rPr>
          <w:rFonts w:ascii="Times New Roman" w:hAnsi="Times New Roman" w:cs="Times New Roman"/>
          <w:sz w:val="24"/>
          <w:szCs w:val="24"/>
        </w:rPr>
        <w:t>antibiotic resistance</w:t>
      </w:r>
      <w:r w:rsidRPr="002E26D2">
        <w:rPr>
          <w:rFonts w:ascii="Times New Roman" w:hAnsi="Times New Roman" w:cs="Times New Roman"/>
          <w:sz w:val="24"/>
          <w:szCs w:val="24"/>
        </w:rPr>
        <w:t>, viable clones were controlled by Western blot using NME6 antibody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_Ref106009474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20</w:t>
      </w:r>
      <w:r w:rsidR="00C1558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and by PCR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_Ref106009482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22</w:t>
      </w:r>
      <w:r w:rsidR="00C1558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using specifically designed primers to assess the NME6 gene disruption and the proper left and right integration of the insert, as described in the scheme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_Ref106009375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21</w:t>
      </w:r>
      <w:r w:rsidR="00C1558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Western blot analysis of NME6-KO clones revealed no evident downregulation of endogenous NME6 compared to control (Ctrl), at the protein level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_Ref106009474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20</w:t>
      </w:r>
      <w:r w:rsidR="00C15586" w:rsidRPr="002E26D2">
        <w:rPr>
          <w:rFonts w:ascii="Times New Roman" w:hAnsi="Times New Roman" w:cs="Times New Roman"/>
          <w:sz w:val="24"/>
          <w:szCs w:val="24"/>
        </w:rPr>
        <w:fldChar w:fldCharType="end"/>
      </w:r>
      <w:r w:rsidRPr="002E26D2">
        <w:rPr>
          <w:rFonts w:ascii="Times New Roman" w:hAnsi="Times New Roman" w:cs="Times New Roman"/>
          <w:sz w:val="24"/>
          <w:szCs w:val="24"/>
        </w:rPr>
        <w:t>). Clones were further analyzed by PCR followed by agarose gel separation</w:t>
      </w:r>
      <w:r w:rsidR="00337DC2" w:rsidRPr="002E26D2">
        <w:rPr>
          <w:rFonts w:ascii="Times New Roman" w:hAnsi="Times New Roman" w:cs="Times New Roman"/>
          <w:sz w:val="24"/>
          <w:szCs w:val="24"/>
        </w:rPr>
        <w:t xml:space="preserve">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_Ref106009482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22</w:t>
      </w:r>
      <w:r w:rsidR="00C15586" w:rsidRPr="002E26D2">
        <w:rPr>
          <w:rFonts w:ascii="Times New Roman" w:hAnsi="Times New Roman" w:cs="Times New Roman"/>
          <w:sz w:val="24"/>
          <w:szCs w:val="24"/>
        </w:rPr>
        <w:fldChar w:fldCharType="end"/>
      </w:r>
      <w:r w:rsidR="00337DC2" w:rsidRPr="002E26D2">
        <w:rPr>
          <w:rFonts w:ascii="Times New Roman" w:hAnsi="Times New Roman" w:cs="Times New Roman"/>
          <w:sz w:val="24"/>
          <w:szCs w:val="24"/>
        </w:rPr>
        <w:t>)</w:t>
      </w:r>
      <w:r w:rsidRPr="002E26D2">
        <w:rPr>
          <w:rFonts w:ascii="Times New Roman" w:hAnsi="Times New Roman" w:cs="Times New Roman"/>
          <w:sz w:val="24"/>
          <w:szCs w:val="24"/>
        </w:rPr>
        <w:t xml:space="preserve">. Experiment revealed a PCR fragment corresponding to the NME6-KO gene (green), as well as proper left (pink) and right (yellow) integration of the insert within the NME6 gene. Nevertheless, an intense PCR fragment corresponding to wild type NME6 gene (blue) was always observed in NME6-KO clones. The </w:t>
      </w:r>
      <w:r w:rsidR="00632552">
        <w:rPr>
          <w:rFonts w:ascii="Times New Roman" w:hAnsi="Times New Roman" w:cs="Times New Roman"/>
          <w:sz w:val="24"/>
          <w:szCs w:val="24"/>
        </w:rPr>
        <w:t xml:space="preserve">CRISPR-Cas9 </w:t>
      </w:r>
      <w:r w:rsidRPr="002E26D2">
        <w:rPr>
          <w:rFonts w:ascii="Times New Roman" w:hAnsi="Times New Roman" w:cs="Times New Roman"/>
          <w:sz w:val="24"/>
          <w:szCs w:val="24"/>
        </w:rPr>
        <w:t xml:space="preserve">experiment led to partial </w:t>
      </w:r>
      <w:r w:rsidR="00632552">
        <w:rPr>
          <w:rFonts w:ascii="Times New Roman" w:hAnsi="Times New Roman" w:cs="Times New Roman"/>
          <w:sz w:val="24"/>
          <w:szCs w:val="24"/>
        </w:rPr>
        <w:t xml:space="preserve">NME6 gene </w:t>
      </w:r>
      <w:r w:rsidRPr="002E26D2">
        <w:rPr>
          <w:rFonts w:ascii="Times New Roman" w:hAnsi="Times New Roman" w:cs="Times New Roman"/>
          <w:sz w:val="24"/>
          <w:szCs w:val="24"/>
        </w:rPr>
        <w:t xml:space="preserve">KO, where one allele was successfully disrupted, while the other allele remained intact and able to produce endogenous NME6 protein. Not a single </w:t>
      </w:r>
      <w:r w:rsidR="00264F25">
        <w:rPr>
          <w:rFonts w:ascii="Times New Roman" w:hAnsi="Times New Roman" w:cs="Times New Roman"/>
          <w:sz w:val="24"/>
          <w:szCs w:val="24"/>
        </w:rPr>
        <w:t>complete</w:t>
      </w:r>
      <w:r w:rsidRPr="002E26D2">
        <w:rPr>
          <w:rFonts w:ascii="Times New Roman" w:hAnsi="Times New Roman" w:cs="Times New Roman"/>
          <w:sz w:val="24"/>
          <w:szCs w:val="24"/>
        </w:rPr>
        <w:t xml:space="preserve"> KO clone was obtained over the two attempt</w:t>
      </w:r>
      <w:r w:rsidR="002521F1">
        <w:rPr>
          <w:rFonts w:ascii="Times New Roman" w:hAnsi="Times New Roman" w:cs="Times New Roman"/>
          <w:sz w:val="24"/>
          <w:szCs w:val="24"/>
        </w:rPr>
        <w:t>s</w:t>
      </w:r>
      <w:r w:rsidRPr="002E26D2">
        <w:rPr>
          <w:rFonts w:ascii="Times New Roman" w:hAnsi="Times New Roman" w:cs="Times New Roman"/>
          <w:sz w:val="24"/>
          <w:szCs w:val="24"/>
        </w:rPr>
        <w:t xml:space="preserve"> we made. </w:t>
      </w:r>
    </w:p>
    <w:p w14:paraId="65FF25CA" w14:textId="77777777" w:rsidR="00F565F5"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4D46A5DA" wp14:editId="2A558399">
            <wp:extent cx="4737735" cy="25762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t="12854" r="20939"/>
                    <a:stretch/>
                  </pic:blipFill>
                  <pic:spPr bwMode="auto">
                    <a:xfrm>
                      <a:off x="0" y="0"/>
                      <a:ext cx="4738255" cy="2576508"/>
                    </a:xfrm>
                    <a:prstGeom prst="rect">
                      <a:avLst/>
                    </a:prstGeom>
                    <a:noFill/>
                    <a:ln>
                      <a:noFill/>
                    </a:ln>
                    <a:extLst>
                      <a:ext uri="{53640926-AAD7-44D8-BBD7-CCE9431645EC}">
                        <a14:shadowObscured xmlns:a14="http://schemas.microsoft.com/office/drawing/2010/main"/>
                      </a:ext>
                    </a:extLst>
                  </pic:spPr>
                </pic:pic>
              </a:graphicData>
            </a:graphic>
          </wp:inline>
        </w:drawing>
      </w:r>
    </w:p>
    <w:p w14:paraId="5E16D041" w14:textId="42506152" w:rsidR="000B3AF7" w:rsidRPr="002E26D2" w:rsidRDefault="00F565F5" w:rsidP="004927BB">
      <w:pPr>
        <w:pStyle w:val="Caption"/>
        <w:spacing w:line="360" w:lineRule="auto"/>
        <w:rPr>
          <w:rFonts w:ascii="Times New Roman" w:hAnsi="Times New Roman" w:cs="Times New Roman"/>
          <w:sz w:val="24"/>
          <w:szCs w:val="24"/>
        </w:rPr>
      </w:pPr>
      <w:bookmarkStart w:id="186" w:name="_Ref106009474"/>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20</w:t>
      </w:r>
      <w:r w:rsidRPr="002E26D2">
        <w:rPr>
          <w:rFonts w:ascii="Times New Roman" w:hAnsi="Times New Roman" w:cs="Times New Roman"/>
          <w:sz w:val="24"/>
          <w:szCs w:val="24"/>
        </w:rPr>
        <w:fldChar w:fldCharType="end"/>
      </w:r>
      <w:bookmarkStart w:id="187" w:name="_Ref105752381"/>
      <w:bookmarkEnd w:id="186"/>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Validation of selected NME6-KO clones by Western blot.</w:t>
      </w:r>
      <w:r w:rsidR="000B3AF7" w:rsidRPr="006441AE">
        <w:rPr>
          <w:rFonts w:ascii="Times New Roman" w:hAnsi="Times New Roman" w:cs="Times New Roman"/>
          <w:sz w:val="24"/>
          <w:szCs w:val="24"/>
        </w:rPr>
        <w:t xml:space="preserve"> </w:t>
      </w:r>
      <w:r w:rsidR="000B3AF7" w:rsidRPr="002E26D2">
        <w:rPr>
          <w:rFonts w:ascii="Times New Roman" w:hAnsi="Times New Roman" w:cs="Times New Roman"/>
          <w:sz w:val="24"/>
          <w:szCs w:val="24"/>
        </w:rPr>
        <w:t>Western blot analysis of MDA-MB-231T (Ctrl) and four selected NME6-KO clones (KO). Cell lysates were evenly loaded and membrane was stained with anti-β actin and anti-NME6 antibodies.</w:t>
      </w:r>
      <w:bookmarkEnd w:id="187"/>
    </w:p>
    <w:p w14:paraId="2C402D00" w14:textId="77777777" w:rsidR="000B3AF7" w:rsidRPr="002E26D2" w:rsidRDefault="000B3AF7" w:rsidP="004927BB">
      <w:pPr>
        <w:spacing w:line="360" w:lineRule="auto"/>
        <w:jc w:val="both"/>
        <w:rPr>
          <w:rFonts w:ascii="Times New Roman" w:hAnsi="Times New Roman" w:cs="Times New Roman"/>
          <w:sz w:val="24"/>
          <w:szCs w:val="24"/>
        </w:rPr>
      </w:pPr>
    </w:p>
    <w:p w14:paraId="0300430A" w14:textId="77777777" w:rsidR="00EC030A"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2DA65189" wp14:editId="3EA4F22B">
            <wp:extent cx="5760000" cy="2038817"/>
            <wp:effectExtent l="0" t="0" r="0" b="0"/>
            <wp:docPr id="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rotWithShape="1">
                    <a:blip r:embed="rId36"/>
                    <a:srcRect l="-6" t="883" r="2678" b="-883"/>
                    <a:stretch/>
                  </pic:blipFill>
                  <pic:spPr bwMode="auto">
                    <a:xfrm>
                      <a:off x="0" y="0"/>
                      <a:ext cx="5760000" cy="2038817"/>
                    </a:xfrm>
                    <a:prstGeom prst="rect">
                      <a:avLst/>
                    </a:prstGeom>
                    <a:ln>
                      <a:noFill/>
                    </a:ln>
                    <a:extLst>
                      <a:ext uri="{53640926-AAD7-44D8-BBD7-CCE9431645EC}">
                        <a14:shadowObscured xmlns:a14="http://schemas.microsoft.com/office/drawing/2010/main"/>
                      </a:ext>
                    </a:extLst>
                  </pic:spPr>
                </pic:pic>
              </a:graphicData>
            </a:graphic>
          </wp:inline>
        </w:drawing>
      </w:r>
    </w:p>
    <w:p w14:paraId="053AC6DD" w14:textId="246DC4E3" w:rsidR="000B3AF7" w:rsidRPr="002E26D2" w:rsidRDefault="00EC030A" w:rsidP="004927BB">
      <w:pPr>
        <w:pStyle w:val="Caption"/>
        <w:spacing w:line="360" w:lineRule="auto"/>
        <w:rPr>
          <w:rFonts w:ascii="Times New Roman" w:hAnsi="Times New Roman" w:cs="Times New Roman"/>
          <w:sz w:val="24"/>
          <w:szCs w:val="24"/>
        </w:rPr>
      </w:pPr>
      <w:bookmarkStart w:id="188" w:name="_Ref106009375"/>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21</w:t>
      </w:r>
      <w:r w:rsidRPr="002E26D2">
        <w:rPr>
          <w:rFonts w:ascii="Times New Roman" w:hAnsi="Times New Roman" w:cs="Times New Roman"/>
          <w:sz w:val="24"/>
          <w:szCs w:val="24"/>
        </w:rPr>
        <w:fldChar w:fldCharType="end"/>
      </w:r>
      <w:bookmarkStart w:id="189" w:name="_Ref105752100"/>
      <w:bookmarkEnd w:id="188"/>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Experimental design for the validation of the NME6-KO clones by PCR.</w:t>
      </w:r>
      <w:r w:rsidR="000B3AF7" w:rsidRPr="006441AE">
        <w:rPr>
          <w:rFonts w:ascii="Times New Roman" w:hAnsi="Times New Roman" w:cs="Times New Roman"/>
          <w:sz w:val="24"/>
          <w:szCs w:val="24"/>
        </w:rPr>
        <w:t xml:space="preserve"> </w:t>
      </w:r>
      <w:r w:rsidR="000B3AF7" w:rsidRPr="002E26D2">
        <w:rPr>
          <w:rFonts w:ascii="Times New Roman" w:hAnsi="Times New Roman" w:cs="Times New Roman"/>
          <w:sz w:val="24"/>
          <w:szCs w:val="24"/>
        </w:rPr>
        <w:t xml:space="preserve">NME6 gene was disrupted by targeted insertion of neomycin resistance sequence (NeoR) using CRISPR-Cas9 technique. The correct disruption of NME6 gene was </w:t>
      </w:r>
      <w:r w:rsidR="00BD7C8F">
        <w:rPr>
          <w:rFonts w:ascii="Times New Roman" w:hAnsi="Times New Roman" w:cs="Times New Roman"/>
          <w:sz w:val="24"/>
          <w:szCs w:val="24"/>
        </w:rPr>
        <w:t>verified</w:t>
      </w:r>
      <w:r w:rsidR="000B3AF7" w:rsidRPr="002E26D2">
        <w:rPr>
          <w:rFonts w:ascii="Times New Roman" w:hAnsi="Times New Roman" w:cs="Times New Roman"/>
          <w:sz w:val="24"/>
          <w:szCs w:val="24"/>
        </w:rPr>
        <w:t xml:space="preserve"> by PCR using four specific primers, in pairs (red arrow). LF-RR pair of primers, sitting outside the homology arms, was used to reveal the wild type (1631 bp, blue) and the KO (4312 bp, green) NME6 genes. LF-LR pair, sitting outside the left homology arm and inside the insert, was used to validate the correct left integration (950 bp, pink). RF-RR pair, sitting outside the right homology arm and inside the insert, was used to validate the correct right integration (1566 bp, yellow). PCR fragments were analyzed by gel electrophoresis as displayed in</w:t>
      </w:r>
      <w:r w:rsidR="00C15586" w:rsidRPr="002E26D2">
        <w:rPr>
          <w:rFonts w:ascii="Times New Roman" w:hAnsi="Times New Roman" w:cs="Times New Roman"/>
          <w:sz w:val="24"/>
          <w:szCs w:val="24"/>
        </w:rPr>
        <w:t xml:space="preserve"> </w:t>
      </w:r>
      <w:r w:rsidR="00C15586" w:rsidRPr="002E26D2">
        <w:rPr>
          <w:rFonts w:ascii="Times New Roman" w:hAnsi="Times New Roman" w:cs="Times New Roman"/>
          <w:sz w:val="24"/>
          <w:szCs w:val="24"/>
        </w:rPr>
        <w:fldChar w:fldCharType="begin"/>
      </w:r>
      <w:r w:rsidR="00C15586" w:rsidRPr="002E26D2">
        <w:rPr>
          <w:rFonts w:ascii="Times New Roman" w:hAnsi="Times New Roman" w:cs="Times New Roman"/>
          <w:sz w:val="24"/>
          <w:szCs w:val="24"/>
        </w:rPr>
        <w:instrText xml:space="preserve"> REF _Ref106009482 \h </w:instrText>
      </w:r>
      <w:r w:rsidR="002E26D2" w:rsidRPr="002E26D2">
        <w:rPr>
          <w:rFonts w:ascii="Times New Roman" w:hAnsi="Times New Roman" w:cs="Times New Roman"/>
          <w:sz w:val="24"/>
          <w:szCs w:val="24"/>
        </w:rPr>
        <w:instrText xml:space="preserve"> \* MERGEFORMAT </w:instrText>
      </w:r>
      <w:r w:rsidR="00C15586" w:rsidRPr="002E26D2">
        <w:rPr>
          <w:rFonts w:ascii="Times New Roman" w:hAnsi="Times New Roman" w:cs="Times New Roman"/>
          <w:sz w:val="24"/>
          <w:szCs w:val="24"/>
        </w:rPr>
      </w:r>
      <w:r w:rsidR="00C15586"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22</w:t>
      </w:r>
      <w:r w:rsidR="00C15586" w:rsidRPr="002E26D2">
        <w:rPr>
          <w:rFonts w:ascii="Times New Roman" w:hAnsi="Times New Roman" w:cs="Times New Roman"/>
          <w:sz w:val="24"/>
          <w:szCs w:val="24"/>
        </w:rPr>
        <w:fldChar w:fldCharType="end"/>
      </w:r>
      <w:r w:rsidR="000B3AF7" w:rsidRPr="002E26D2">
        <w:rPr>
          <w:rFonts w:ascii="Times New Roman" w:hAnsi="Times New Roman" w:cs="Times New Roman"/>
          <w:sz w:val="24"/>
          <w:szCs w:val="24"/>
        </w:rPr>
        <w:t>.</w:t>
      </w:r>
      <w:bookmarkEnd w:id="189"/>
    </w:p>
    <w:p w14:paraId="3AEBCFDF" w14:textId="77777777" w:rsidR="000B3AF7" w:rsidRPr="002E26D2" w:rsidRDefault="000B3AF7" w:rsidP="004927BB">
      <w:pPr>
        <w:spacing w:line="360" w:lineRule="auto"/>
        <w:jc w:val="both"/>
        <w:rPr>
          <w:rFonts w:ascii="Times New Roman" w:hAnsi="Times New Roman" w:cs="Times New Roman"/>
          <w:sz w:val="24"/>
          <w:szCs w:val="24"/>
        </w:rPr>
      </w:pPr>
    </w:p>
    <w:p w14:paraId="039271B6" w14:textId="77777777" w:rsidR="000B3AF7" w:rsidRPr="002E26D2" w:rsidRDefault="000B3AF7" w:rsidP="004927BB">
      <w:pPr>
        <w:spacing w:line="360" w:lineRule="auto"/>
        <w:jc w:val="both"/>
        <w:rPr>
          <w:rFonts w:ascii="Times New Roman" w:hAnsi="Times New Roman" w:cs="Times New Roman"/>
          <w:sz w:val="24"/>
          <w:szCs w:val="24"/>
        </w:rPr>
      </w:pPr>
    </w:p>
    <w:p w14:paraId="5EEC4106" w14:textId="77777777" w:rsidR="00EC030A"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786F4679" wp14:editId="5FEF90D5">
            <wp:extent cx="2544418" cy="4443779"/>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52701" cy="4458245"/>
                    </a:xfrm>
                    <a:prstGeom prst="rect">
                      <a:avLst/>
                    </a:prstGeom>
                    <a:noFill/>
                  </pic:spPr>
                </pic:pic>
              </a:graphicData>
            </a:graphic>
          </wp:inline>
        </w:drawing>
      </w:r>
    </w:p>
    <w:p w14:paraId="2168AE01" w14:textId="406FEC8B" w:rsidR="000B3AF7" w:rsidRDefault="00EC030A" w:rsidP="004927BB">
      <w:pPr>
        <w:pStyle w:val="Caption"/>
        <w:spacing w:line="360" w:lineRule="auto"/>
        <w:rPr>
          <w:rFonts w:ascii="Times New Roman" w:hAnsi="Times New Roman" w:cs="Times New Roman"/>
          <w:sz w:val="24"/>
          <w:szCs w:val="24"/>
        </w:rPr>
      </w:pPr>
      <w:bookmarkStart w:id="190" w:name="_Ref106009482"/>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22</w:t>
      </w:r>
      <w:r w:rsidRPr="002E26D2">
        <w:rPr>
          <w:rFonts w:ascii="Times New Roman" w:hAnsi="Times New Roman" w:cs="Times New Roman"/>
          <w:sz w:val="24"/>
          <w:szCs w:val="24"/>
        </w:rPr>
        <w:fldChar w:fldCharType="end"/>
      </w:r>
      <w:bookmarkStart w:id="191" w:name="_Ref105752390"/>
      <w:bookmarkEnd w:id="190"/>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xml:space="preserve">: </w:t>
      </w:r>
      <w:r w:rsidR="00D84287">
        <w:rPr>
          <w:rFonts w:ascii="Times New Roman" w:hAnsi="Times New Roman" w:cs="Times New Roman"/>
          <w:sz w:val="24"/>
          <w:szCs w:val="24"/>
          <w:u w:val="single"/>
        </w:rPr>
        <w:t>V</w:t>
      </w:r>
      <w:r w:rsidR="000B3AF7" w:rsidRPr="002E26D2">
        <w:rPr>
          <w:rFonts w:ascii="Times New Roman" w:hAnsi="Times New Roman" w:cs="Times New Roman"/>
          <w:sz w:val="24"/>
          <w:szCs w:val="24"/>
          <w:u w:val="single"/>
        </w:rPr>
        <w:t>alidation of selected NME6-KO clones by PCR.</w:t>
      </w:r>
      <w:r w:rsidR="000B3AF7" w:rsidRPr="006441AE">
        <w:rPr>
          <w:rFonts w:ascii="Times New Roman" w:hAnsi="Times New Roman" w:cs="Times New Roman"/>
          <w:sz w:val="24"/>
          <w:szCs w:val="24"/>
        </w:rPr>
        <w:t xml:space="preserve"> </w:t>
      </w:r>
      <w:r w:rsidR="000B3AF7" w:rsidRPr="002E26D2">
        <w:rPr>
          <w:rFonts w:ascii="Times New Roman" w:hAnsi="Times New Roman" w:cs="Times New Roman"/>
          <w:sz w:val="24"/>
          <w:szCs w:val="24"/>
        </w:rPr>
        <w:t>PCR was performed on MDA-MB-231T (Ctrl) and NME6-KO selected clones (G2.10, G2.15) using three pairs of primers presented in</w:t>
      </w:r>
      <w:r w:rsidR="002B4D22" w:rsidRPr="002E26D2">
        <w:rPr>
          <w:rFonts w:ascii="Times New Roman" w:hAnsi="Times New Roman" w:cs="Times New Roman"/>
          <w:sz w:val="24"/>
          <w:szCs w:val="24"/>
        </w:rPr>
        <w:t xml:space="preserve"> </w:t>
      </w:r>
      <w:r w:rsidR="002B4D22" w:rsidRPr="002E26D2">
        <w:rPr>
          <w:rFonts w:ascii="Times New Roman" w:hAnsi="Times New Roman" w:cs="Times New Roman"/>
          <w:sz w:val="24"/>
          <w:szCs w:val="24"/>
        </w:rPr>
        <w:fldChar w:fldCharType="begin"/>
      </w:r>
      <w:r w:rsidR="002B4D22" w:rsidRPr="002E26D2">
        <w:rPr>
          <w:rFonts w:ascii="Times New Roman" w:hAnsi="Times New Roman" w:cs="Times New Roman"/>
          <w:sz w:val="24"/>
          <w:szCs w:val="24"/>
        </w:rPr>
        <w:instrText xml:space="preserve"> REF _Ref106009375 \h </w:instrText>
      </w:r>
      <w:r w:rsidR="002E26D2" w:rsidRPr="002E26D2">
        <w:rPr>
          <w:rFonts w:ascii="Times New Roman" w:hAnsi="Times New Roman" w:cs="Times New Roman"/>
          <w:sz w:val="24"/>
          <w:szCs w:val="24"/>
        </w:rPr>
        <w:instrText xml:space="preserve"> \* MERGEFORMAT </w:instrText>
      </w:r>
      <w:r w:rsidR="002B4D22" w:rsidRPr="002E26D2">
        <w:rPr>
          <w:rFonts w:ascii="Times New Roman" w:hAnsi="Times New Roman" w:cs="Times New Roman"/>
          <w:sz w:val="24"/>
          <w:szCs w:val="24"/>
        </w:rPr>
      </w:r>
      <w:r w:rsidR="002B4D22"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21</w:t>
      </w:r>
      <w:r w:rsidR="002B4D22" w:rsidRPr="002E26D2">
        <w:rPr>
          <w:rFonts w:ascii="Times New Roman" w:hAnsi="Times New Roman" w:cs="Times New Roman"/>
          <w:sz w:val="24"/>
          <w:szCs w:val="24"/>
        </w:rPr>
        <w:fldChar w:fldCharType="end"/>
      </w:r>
      <w:r w:rsidR="000B3AF7" w:rsidRPr="002E26D2">
        <w:rPr>
          <w:rFonts w:ascii="Times New Roman" w:hAnsi="Times New Roman" w:cs="Times New Roman"/>
          <w:sz w:val="24"/>
          <w:szCs w:val="24"/>
        </w:rPr>
        <w:t>. PCR fragments were separated by agarose gel electrophoresis. The upper panel used LF and RR primers to amplify both the wild type (1631 bp, blue) and the KO (4312 bp, green) NME6 genes. The middle panel used LF and LR primers to verify the correct left integration of the insert (950 bp, pink). The lower panel used RR and RF primers to verify the correct right integration of the insert (1566 bp, yellow).</w:t>
      </w:r>
      <w:bookmarkEnd w:id="191"/>
      <w:r w:rsidR="000B3AF7" w:rsidRPr="002E26D2">
        <w:rPr>
          <w:rFonts w:ascii="Times New Roman" w:hAnsi="Times New Roman" w:cs="Times New Roman"/>
          <w:sz w:val="24"/>
          <w:szCs w:val="24"/>
        </w:rPr>
        <w:t xml:space="preserve"> </w:t>
      </w:r>
    </w:p>
    <w:p w14:paraId="5B63937F" w14:textId="77CD079B" w:rsidR="000B3AF7" w:rsidRPr="002E26D2" w:rsidRDefault="000B3AF7" w:rsidP="003775DE">
      <w:pPr>
        <w:pStyle w:val="Heading3"/>
      </w:pPr>
      <w:bookmarkStart w:id="192" w:name="_Toc117153881"/>
      <w:r w:rsidRPr="002E26D2">
        <w:t>NME6 silencing</w:t>
      </w:r>
      <w:bookmarkEnd w:id="192"/>
    </w:p>
    <w:p w14:paraId="161E4FDF" w14:textId="1B2F3240" w:rsidR="000B3AF7" w:rsidRPr="00D34A8B" w:rsidRDefault="000B3AF7" w:rsidP="00D34A8B">
      <w:pPr>
        <w:spacing w:line="360" w:lineRule="auto"/>
        <w:jc w:val="both"/>
        <w:rPr>
          <w:rFonts w:ascii="Times New Roman" w:hAnsi="Times New Roman" w:cs="Times New Roman"/>
          <w:sz w:val="24"/>
          <w:szCs w:val="24"/>
          <w:highlight w:val="yellow"/>
        </w:rPr>
      </w:pPr>
      <w:r w:rsidRPr="00D34A8B">
        <w:rPr>
          <w:rFonts w:ascii="Times New Roman" w:hAnsi="Times New Roman" w:cs="Times New Roman"/>
          <w:sz w:val="24"/>
          <w:szCs w:val="24"/>
        </w:rPr>
        <w:t>Since we were unable to produce complete NME6-KO clones, we decided to employ silencing methods to suppress the expression of endogenous NME6 (</w:t>
      </w:r>
      <w:r w:rsidR="00E32570">
        <w:rPr>
          <w:rFonts w:ascii="Times New Roman" w:hAnsi="Times New Roman" w:cs="Times New Roman"/>
          <w:sz w:val="24"/>
          <w:szCs w:val="24"/>
        </w:rPr>
        <w:t xml:space="preserve">section </w:t>
      </w:r>
      <w:r w:rsidR="00463A19" w:rsidRPr="00D34A8B">
        <w:rPr>
          <w:rFonts w:ascii="Times New Roman" w:hAnsi="Times New Roman" w:cs="Times New Roman"/>
          <w:sz w:val="24"/>
          <w:szCs w:val="24"/>
        </w:rPr>
        <w:fldChar w:fldCharType="begin"/>
      </w:r>
      <w:r w:rsidR="00463A19" w:rsidRPr="00D34A8B">
        <w:rPr>
          <w:rFonts w:ascii="Times New Roman" w:hAnsi="Times New Roman" w:cs="Times New Roman"/>
          <w:sz w:val="24"/>
          <w:szCs w:val="24"/>
        </w:rPr>
        <w:instrText xml:space="preserve"> REF _Ref105768720 \r \h </w:instrText>
      </w:r>
      <w:r w:rsidR="002E26D2" w:rsidRPr="00D34A8B">
        <w:rPr>
          <w:rFonts w:ascii="Times New Roman" w:hAnsi="Times New Roman" w:cs="Times New Roman"/>
          <w:sz w:val="24"/>
          <w:szCs w:val="24"/>
        </w:rPr>
        <w:instrText xml:space="preserve"> \* MERGEFORMAT </w:instrText>
      </w:r>
      <w:r w:rsidR="00463A19" w:rsidRPr="00D34A8B">
        <w:rPr>
          <w:rFonts w:ascii="Times New Roman" w:hAnsi="Times New Roman" w:cs="Times New Roman"/>
          <w:sz w:val="24"/>
          <w:szCs w:val="24"/>
        </w:rPr>
      </w:r>
      <w:r w:rsidR="00463A19" w:rsidRPr="00D34A8B">
        <w:rPr>
          <w:rFonts w:ascii="Times New Roman" w:hAnsi="Times New Roman" w:cs="Times New Roman"/>
          <w:sz w:val="24"/>
          <w:szCs w:val="24"/>
        </w:rPr>
        <w:fldChar w:fldCharType="separate"/>
      </w:r>
      <w:r w:rsidR="00790F77">
        <w:rPr>
          <w:rFonts w:ascii="Times New Roman" w:hAnsi="Times New Roman" w:cs="Times New Roman"/>
          <w:sz w:val="24"/>
          <w:szCs w:val="24"/>
        </w:rPr>
        <w:t>3.2.2.6</w:t>
      </w:r>
      <w:r w:rsidR="00463A19" w:rsidRPr="00D34A8B">
        <w:rPr>
          <w:rFonts w:ascii="Times New Roman" w:hAnsi="Times New Roman" w:cs="Times New Roman"/>
          <w:sz w:val="24"/>
          <w:szCs w:val="24"/>
        </w:rPr>
        <w:fldChar w:fldCharType="end"/>
      </w:r>
      <w:r w:rsidRPr="00D34A8B">
        <w:rPr>
          <w:rFonts w:ascii="Times New Roman" w:hAnsi="Times New Roman" w:cs="Times New Roman"/>
          <w:sz w:val="24"/>
          <w:szCs w:val="24"/>
        </w:rPr>
        <w:t>). Silenced cells were collected at different time-points after transfection, and cell lysates were analyzed by Western blot using anti-NME6 antibody (</w:t>
      </w:r>
      <w:r w:rsidR="00A8386A" w:rsidRPr="00D34A8B">
        <w:rPr>
          <w:rFonts w:ascii="Times New Roman" w:hAnsi="Times New Roman" w:cs="Times New Roman"/>
          <w:sz w:val="24"/>
          <w:szCs w:val="24"/>
        </w:rPr>
        <w:fldChar w:fldCharType="begin"/>
      </w:r>
      <w:r w:rsidR="00A8386A" w:rsidRPr="00D34A8B">
        <w:rPr>
          <w:rFonts w:ascii="Times New Roman" w:hAnsi="Times New Roman" w:cs="Times New Roman"/>
          <w:sz w:val="24"/>
          <w:szCs w:val="24"/>
        </w:rPr>
        <w:instrText xml:space="preserve"> REF _Ref107391185 \h </w:instrText>
      </w:r>
      <w:r w:rsidR="00D34A8B" w:rsidRPr="00D34A8B">
        <w:rPr>
          <w:rFonts w:ascii="Times New Roman" w:hAnsi="Times New Roman" w:cs="Times New Roman"/>
          <w:sz w:val="24"/>
          <w:szCs w:val="24"/>
        </w:rPr>
        <w:instrText xml:space="preserve"> \* MERGEFORMAT </w:instrText>
      </w:r>
      <w:r w:rsidR="00A8386A" w:rsidRPr="00D34A8B">
        <w:rPr>
          <w:rFonts w:ascii="Times New Roman" w:hAnsi="Times New Roman" w:cs="Times New Roman"/>
          <w:sz w:val="24"/>
          <w:szCs w:val="24"/>
        </w:rPr>
      </w:r>
      <w:r w:rsidR="00A8386A" w:rsidRPr="00D34A8B">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23</w:t>
      </w:r>
      <w:r w:rsidR="00A8386A" w:rsidRPr="00D34A8B">
        <w:rPr>
          <w:rFonts w:ascii="Times New Roman" w:hAnsi="Times New Roman" w:cs="Times New Roman"/>
          <w:sz w:val="24"/>
          <w:szCs w:val="24"/>
        </w:rPr>
        <w:fldChar w:fldCharType="end"/>
      </w:r>
      <w:r w:rsidRPr="00D34A8B">
        <w:rPr>
          <w:rFonts w:ascii="Times New Roman" w:hAnsi="Times New Roman" w:cs="Times New Roman"/>
          <w:sz w:val="24"/>
          <w:szCs w:val="24"/>
        </w:rPr>
        <w:t>). Early testing revealed that NME6 silencing was efficient from 20</w:t>
      </w:r>
      <w:r w:rsidR="00D80D90" w:rsidRPr="00D34A8B">
        <w:rPr>
          <w:rFonts w:ascii="Times New Roman" w:hAnsi="Times New Roman" w:cs="Times New Roman"/>
          <w:sz w:val="24"/>
          <w:szCs w:val="24"/>
        </w:rPr>
        <w:t xml:space="preserve"> </w:t>
      </w:r>
      <w:r w:rsidRPr="00D34A8B">
        <w:rPr>
          <w:rFonts w:ascii="Times New Roman" w:hAnsi="Times New Roman" w:cs="Times New Roman"/>
          <w:sz w:val="24"/>
          <w:szCs w:val="24"/>
        </w:rPr>
        <w:t>h post transfection, indicating a regulation of NME6 protein homeostasis within this timeframe. Silencing was efficient for a period of 120</w:t>
      </w:r>
      <w:r w:rsidR="00D80D90" w:rsidRPr="00D34A8B">
        <w:rPr>
          <w:rFonts w:ascii="Times New Roman" w:hAnsi="Times New Roman" w:cs="Times New Roman"/>
          <w:sz w:val="24"/>
          <w:szCs w:val="24"/>
        </w:rPr>
        <w:t xml:space="preserve"> </w:t>
      </w:r>
      <w:r w:rsidRPr="00D34A8B">
        <w:rPr>
          <w:rFonts w:ascii="Times New Roman" w:hAnsi="Times New Roman" w:cs="Times New Roman"/>
          <w:sz w:val="24"/>
          <w:szCs w:val="24"/>
        </w:rPr>
        <w:t>h post transfection, when the NME6 protein signal started to raise up again (</w:t>
      </w:r>
      <w:r w:rsidR="00A8386A" w:rsidRPr="00D34A8B">
        <w:rPr>
          <w:rFonts w:ascii="Times New Roman" w:hAnsi="Times New Roman" w:cs="Times New Roman"/>
          <w:sz w:val="24"/>
          <w:szCs w:val="24"/>
        </w:rPr>
        <w:fldChar w:fldCharType="begin"/>
      </w:r>
      <w:r w:rsidR="00A8386A" w:rsidRPr="00D34A8B">
        <w:rPr>
          <w:rFonts w:ascii="Times New Roman" w:hAnsi="Times New Roman" w:cs="Times New Roman"/>
          <w:sz w:val="24"/>
          <w:szCs w:val="24"/>
        </w:rPr>
        <w:instrText xml:space="preserve"> REF _Ref107391185 \h </w:instrText>
      </w:r>
      <w:r w:rsidR="00D34A8B" w:rsidRPr="00D34A8B">
        <w:rPr>
          <w:rFonts w:ascii="Times New Roman" w:hAnsi="Times New Roman" w:cs="Times New Roman"/>
          <w:sz w:val="24"/>
          <w:szCs w:val="24"/>
        </w:rPr>
        <w:instrText xml:space="preserve"> \* MERGEFORMAT </w:instrText>
      </w:r>
      <w:r w:rsidR="00A8386A" w:rsidRPr="00D34A8B">
        <w:rPr>
          <w:rFonts w:ascii="Times New Roman" w:hAnsi="Times New Roman" w:cs="Times New Roman"/>
          <w:sz w:val="24"/>
          <w:szCs w:val="24"/>
        </w:rPr>
      </w:r>
      <w:r w:rsidR="00A8386A" w:rsidRPr="00D34A8B">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23</w:t>
      </w:r>
      <w:r w:rsidR="00A8386A" w:rsidRPr="00D34A8B">
        <w:rPr>
          <w:rFonts w:ascii="Times New Roman" w:hAnsi="Times New Roman" w:cs="Times New Roman"/>
          <w:sz w:val="24"/>
          <w:szCs w:val="24"/>
        </w:rPr>
        <w:fldChar w:fldCharType="end"/>
      </w:r>
      <w:r w:rsidRPr="00D34A8B">
        <w:rPr>
          <w:rFonts w:ascii="Times New Roman" w:hAnsi="Times New Roman" w:cs="Times New Roman"/>
          <w:sz w:val="24"/>
          <w:szCs w:val="24"/>
        </w:rPr>
        <w:t xml:space="preserve">). The silencing effectively induced a </w:t>
      </w:r>
      <w:r w:rsidRPr="00D34A8B">
        <w:rPr>
          <w:rFonts w:ascii="Times New Roman" w:hAnsi="Times New Roman" w:cs="Times New Roman"/>
          <w:sz w:val="24"/>
          <w:szCs w:val="24"/>
        </w:rPr>
        <w:lastRenderedPageBreak/>
        <w:t>strong decrease of the endogenous NME6 abundance of about 70</w:t>
      </w:r>
      <w:r w:rsidR="00D80D90" w:rsidRPr="00D34A8B">
        <w:rPr>
          <w:rFonts w:ascii="Times New Roman" w:hAnsi="Times New Roman" w:cs="Times New Roman"/>
          <w:sz w:val="24"/>
          <w:szCs w:val="24"/>
        </w:rPr>
        <w:t xml:space="preserve"> </w:t>
      </w:r>
      <w:r w:rsidRPr="00D34A8B">
        <w:rPr>
          <w:rFonts w:ascii="Times New Roman" w:hAnsi="Times New Roman" w:cs="Times New Roman"/>
          <w:sz w:val="24"/>
          <w:szCs w:val="24"/>
        </w:rPr>
        <w:t>%, 20 h post transfection to 90</w:t>
      </w:r>
      <w:r w:rsidR="00D80D90" w:rsidRPr="00D34A8B">
        <w:rPr>
          <w:rFonts w:ascii="Times New Roman" w:hAnsi="Times New Roman" w:cs="Times New Roman"/>
          <w:sz w:val="24"/>
          <w:szCs w:val="24"/>
        </w:rPr>
        <w:t xml:space="preserve"> </w:t>
      </w:r>
      <w:r w:rsidRPr="00D34A8B">
        <w:rPr>
          <w:rFonts w:ascii="Times New Roman" w:hAnsi="Times New Roman" w:cs="Times New Roman"/>
          <w:sz w:val="24"/>
          <w:szCs w:val="24"/>
        </w:rPr>
        <w:t>%, 72</w:t>
      </w:r>
      <w:r w:rsidR="00D80D90" w:rsidRPr="00D34A8B">
        <w:rPr>
          <w:rFonts w:ascii="Times New Roman" w:hAnsi="Times New Roman" w:cs="Times New Roman"/>
          <w:sz w:val="24"/>
          <w:szCs w:val="24"/>
        </w:rPr>
        <w:t xml:space="preserve"> </w:t>
      </w:r>
      <w:r w:rsidRPr="00D34A8B">
        <w:rPr>
          <w:rFonts w:ascii="Times New Roman" w:hAnsi="Times New Roman" w:cs="Times New Roman"/>
          <w:sz w:val="24"/>
          <w:szCs w:val="24"/>
        </w:rPr>
        <w:t xml:space="preserve">h post transfection. </w:t>
      </w:r>
    </w:p>
    <w:p w14:paraId="460CF611" w14:textId="77777777" w:rsidR="00EC030A" w:rsidRPr="002E26D2" w:rsidRDefault="00EC030A" w:rsidP="008C40D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33222A46" wp14:editId="529A03D8">
            <wp:extent cx="5400000" cy="783656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t="2488"/>
                    <a:stretch/>
                  </pic:blipFill>
                  <pic:spPr bwMode="auto">
                    <a:xfrm>
                      <a:off x="0" y="0"/>
                      <a:ext cx="5400000" cy="7836561"/>
                    </a:xfrm>
                    <a:prstGeom prst="rect">
                      <a:avLst/>
                    </a:prstGeom>
                    <a:noFill/>
                    <a:ln>
                      <a:noFill/>
                    </a:ln>
                    <a:extLst>
                      <a:ext uri="{53640926-AAD7-44D8-BBD7-CCE9431645EC}">
                        <a14:shadowObscured xmlns:a14="http://schemas.microsoft.com/office/drawing/2010/main"/>
                      </a:ext>
                    </a:extLst>
                  </pic:spPr>
                </pic:pic>
              </a:graphicData>
            </a:graphic>
          </wp:inline>
        </w:drawing>
      </w:r>
    </w:p>
    <w:p w14:paraId="1A73B69F" w14:textId="2A38C62A" w:rsidR="008C40DB" w:rsidRPr="008C40DB" w:rsidRDefault="008C40DB" w:rsidP="008C40DB">
      <w:pPr>
        <w:pStyle w:val="Caption"/>
        <w:spacing w:line="360" w:lineRule="auto"/>
        <w:ind w:left="720"/>
        <w:jc w:val="center"/>
        <w:rPr>
          <w:rFonts w:ascii="Times New Roman" w:hAnsi="Times New Roman" w:cs="Times New Roman"/>
          <w:i w:val="0"/>
          <w:sz w:val="24"/>
          <w:szCs w:val="24"/>
        </w:rPr>
      </w:pPr>
      <w:bookmarkStart w:id="193" w:name="_Ref106009568"/>
      <w:r w:rsidRPr="008C40DB">
        <w:rPr>
          <w:rFonts w:ascii="Times New Roman" w:hAnsi="Times New Roman" w:cs="Times New Roman"/>
          <w:bCs w:val="0"/>
          <w:i w:val="0"/>
          <w:sz w:val="24"/>
          <w:szCs w:val="24"/>
        </w:rPr>
        <w:t>-</w:t>
      </w:r>
      <w:r>
        <w:rPr>
          <w:rFonts w:ascii="Times New Roman" w:hAnsi="Times New Roman" w:cs="Times New Roman"/>
          <w:i w:val="0"/>
          <w:sz w:val="24"/>
          <w:szCs w:val="24"/>
        </w:rPr>
        <w:t xml:space="preserve"> Figure</w:t>
      </w:r>
      <w:r w:rsidR="00CC4E42">
        <w:rPr>
          <w:rFonts w:ascii="Times New Roman" w:hAnsi="Times New Roman" w:cs="Times New Roman"/>
          <w:i w:val="0"/>
          <w:sz w:val="24"/>
          <w:szCs w:val="24"/>
        </w:rPr>
        <w:t xml:space="preserve"> 23</w:t>
      </w:r>
      <w:r>
        <w:rPr>
          <w:rFonts w:ascii="Times New Roman" w:hAnsi="Times New Roman" w:cs="Times New Roman"/>
          <w:i w:val="0"/>
          <w:sz w:val="24"/>
          <w:szCs w:val="24"/>
        </w:rPr>
        <w:t xml:space="preserve"> description is on the next page -</w:t>
      </w:r>
    </w:p>
    <w:p w14:paraId="2DA927EB" w14:textId="157F596E" w:rsidR="000B3AF7" w:rsidRPr="002E26D2" w:rsidRDefault="00EC030A" w:rsidP="004927BB">
      <w:pPr>
        <w:pStyle w:val="Caption"/>
        <w:spacing w:line="360" w:lineRule="auto"/>
        <w:rPr>
          <w:rFonts w:ascii="Times New Roman" w:hAnsi="Times New Roman" w:cs="Times New Roman"/>
          <w:sz w:val="24"/>
          <w:szCs w:val="24"/>
        </w:rPr>
      </w:pPr>
      <w:bookmarkStart w:id="194" w:name="_Ref107391185"/>
      <w:r w:rsidRPr="002E26D2">
        <w:rPr>
          <w:rFonts w:ascii="Times New Roman" w:hAnsi="Times New Roman" w:cs="Times New Roman"/>
          <w:sz w:val="24"/>
          <w:szCs w:val="24"/>
        </w:rPr>
        <w:lastRenderedPageBreak/>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23</w:t>
      </w:r>
      <w:r w:rsidRPr="002E26D2">
        <w:rPr>
          <w:rFonts w:ascii="Times New Roman" w:hAnsi="Times New Roman" w:cs="Times New Roman"/>
          <w:sz w:val="24"/>
          <w:szCs w:val="24"/>
        </w:rPr>
        <w:fldChar w:fldCharType="end"/>
      </w:r>
      <w:bookmarkStart w:id="195" w:name="_Ref105752777"/>
      <w:bookmarkEnd w:id="193"/>
      <w:bookmarkEnd w:id="194"/>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Silencing of endogenous NME6 protein.</w:t>
      </w:r>
      <w:r w:rsidR="000B3AF7" w:rsidRPr="002E26D2">
        <w:rPr>
          <w:rFonts w:ascii="Times New Roman" w:hAnsi="Times New Roman" w:cs="Times New Roman"/>
          <w:sz w:val="24"/>
          <w:szCs w:val="24"/>
        </w:rPr>
        <w:t xml:space="preserve"> Western blot analysis of MDA-MB-231T (Ctrl) cell lysates, silenced with scramble silencers (siCtrl) or silenced with NME6 silencers (siNME6), collected at different time points after transfection. Samples were evenly loaded and the membrane was stained with anti-NME6 antibody.</w:t>
      </w:r>
      <w:r w:rsidR="000B3AF7" w:rsidRPr="002E26D2">
        <w:rPr>
          <w:rFonts w:ascii="Times New Roman" w:hAnsi="Times New Roman" w:cs="Times New Roman"/>
          <w:b/>
          <w:sz w:val="24"/>
          <w:szCs w:val="24"/>
        </w:rPr>
        <w:t xml:space="preserve"> </w:t>
      </w:r>
      <w:r w:rsidR="000B3AF7" w:rsidRPr="002E26D2">
        <w:rPr>
          <w:rFonts w:ascii="Times New Roman" w:hAnsi="Times New Roman" w:cs="Times New Roman"/>
          <w:sz w:val="24"/>
          <w:szCs w:val="24"/>
        </w:rPr>
        <w:t>Quantification of endogenous NME6 w</w:t>
      </w:r>
      <w:r w:rsidR="007F35F4">
        <w:rPr>
          <w:rFonts w:ascii="Times New Roman" w:hAnsi="Times New Roman" w:cs="Times New Roman"/>
          <w:sz w:val="24"/>
          <w:szCs w:val="24"/>
        </w:rPr>
        <w:t>as</w:t>
      </w:r>
      <w:r w:rsidR="000B3AF7" w:rsidRPr="002E26D2">
        <w:rPr>
          <w:rFonts w:ascii="Times New Roman" w:hAnsi="Times New Roman" w:cs="Times New Roman"/>
          <w:sz w:val="24"/>
          <w:szCs w:val="24"/>
        </w:rPr>
        <w:t xml:space="preserve"> performed using densitometry,</w:t>
      </w:r>
      <w:r w:rsidR="003847CC">
        <w:rPr>
          <w:rFonts w:ascii="Times New Roman" w:hAnsi="Times New Roman" w:cs="Times New Roman"/>
          <w:sz w:val="24"/>
          <w:szCs w:val="24"/>
        </w:rPr>
        <w:t xml:space="preserve"> </w:t>
      </w:r>
      <w:r w:rsidR="000B3AF7" w:rsidRPr="002E26D2">
        <w:rPr>
          <w:rFonts w:ascii="Times New Roman" w:hAnsi="Times New Roman" w:cs="Times New Roman"/>
          <w:sz w:val="24"/>
          <w:szCs w:val="24"/>
        </w:rPr>
        <w:t>and normalized to naphthol blue. Band intensities are displayed as a ratio of the hatched siCtrl sample.</w:t>
      </w:r>
      <w:bookmarkEnd w:id="195"/>
    </w:p>
    <w:p w14:paraId="4D6D36BD" w14:textId="40EACFBC" w:rsidR="000B3AF7" w:rsidRPr="002E26D2" w:rsidRDefault="000B3AF7" w:rsidP="003775DE">
      <w:pPr>
        <w:pStyle w:val="Heading3"/>
      </w:pPr>
      <w:bookmarkStart w:id="196" w:name="_Toc117153882"/>
      <w:r w:rsidRPr="002E26D2">
        <w:t>Production of recombinant proteins</w:t>
      </w:r>
      <w:bookmarkEnd w:id="196"/>
    </w:p>
    <w:p w14:paraId="71D9DEBA" w14:textId="28F87EB5" w:rsidR="000B3AF7" w:rsidRPr="009C6038" w:rsidRDefault="000B3AF7" w:rsidP="009C6038">
      <w:pPr>
        <w:spacing w:line="360" w:lineRule="auto"/>
        <w:jc w:val="both"/>
        <w:rPr>
          <w:rFonts w:ascii="Times New Roman" w:hAnsi="Times New Roman" w:cs="Times New Roman"/>
          <w:sz w:val="24"/>
          <w:szCs w:val="24"/>
        </w:rPr>
      </w:pPr>
      <w:r w:rsidRPr="009C6038">
        <w:rPr>
          <w:rFonts w:ascii="Times New Roman" w:hAnsi="Times New Roman" w:cs="Times New Roman"/>
          <w:sz w:val="24"/>
          <w:szCs w:val="24"/>
        </w:rPr>
        <w:t>The production of recombinant proteins was essential to study the physical and enzymatic properties of both NME6 isoforms. NME6-186-H</w:t>
      </w:r>
      <w:r w:rsidR="00675AF6" w:rsidRPr="009C6038">
        <w:rPr>
          <w:rFonts w:ascii="Times New Roman" w:hAnsi="Times New Roman" w:cs="Times New Roman"/>
          <w:sz w:val="24"/>
          <w:szCs w:val="24"/>
        </w:rPr>
        <w:t>is</w:t>
      </w:r>
      <w:r w:rsidRPr="009C6038">
        <w:rPr>
          <w:rFonts w:ascii="Times New Roman" w:hAnsi="Times New Roman" w:cs="Times New Roman"/>
          <w:sz w:val="24"/>
          <w:szCs w:val="24"/>
        </w:rPr>
        <w:t xml:space="preserve"> and NME6-194-H</w:t>
      </w:r>
      <w:r w:rsidR="00675AF6" w:rsidRPr="009C6038">
        <w:rPr>
          <w:rFonts w:ascii="Times New Roman" w:hAnsi="Times New Roman" w:cs="Times New Roman"/>
          <w:sz w:val="24"/>
          <w:szCs w:val="24"/>
        </w:rPr>
        <w:t>is</w:t>
      </w:r>
      <w:r w:rsidRPr="009C6038">
        <w:rPr>
          <w:rFonts w:ascii="Times New Roman" w:hAnsi="Times New Roman" w:cs="Times New Roman"/>
          <w:sz w:val="24"/>
          <w:szCs w:val="24"/>
        </w:rPr>
        <w:t xml:space="preserve"> human proteins were produced in bacteria and purified according to </w:t>
      </w:r>
      <w:r w:rsidR="00407074">
        <w:rPr>
          <w:rFonts w:ascii="Times New Roman" w:hAnsi="Times New Roman" w:cs="Times New Roman"/>
          <w:sz w:val="24"/>
          <w:szCs w:val="24"/>
        </w:rPr>
        <w:t xml:space="preserve">protocol from section </w:t>
      </w:r>
      <w:r w:rsidR="00463A19" w:rsidRPr="009C6038">
        <w:rPr>
          <w:rFonts w:ascii="Times New Roman" w:hAnsi="Times New Roman" w:cs="Times New Roman"/>
          <w:sz w:val="24"/>
          <w:szCs w:val="24"/>
        </w:rPr>
        <w:fldChar w:fldCharType="begin"/>
      </w:r>
      <w:r w:rsidR="00463A19" w:rsidRPr="009C6038">
        <w:rPr>
          <w:rFonts w:ascii="Times New Roman" w:hAnsi="Times New Roman" w:cs="Times New Roman"/>
          <w:sz w:val="24"/>
          <w:szCs w:val="24"/>
        </w:rPr>
        <w:instrText xml:space="preserve"> REF _Ref105768323 \r \h </w:instrText>
      </w:r>
      <w:r w:rsidR="002E26D2" w:rsidRPr="009C6038">
        <w:rPr>
          <w:rFonts w:ascii="Times New Roman" w:hAnsi="Times New Roman" w:cs="Times New Roman"/>
          <w:sz w:val="24"/>
          <w:szCs w:val="24"/>
        </w:rPr>
        <w:instrText xml:space="preserve"> \* MERGEFORMAT </w:instrText>
      </w:r>
      <w:r w:rsidR="00463A19" w:rsidRPr="009C6038">
        <w:rPr>
          <w:rFonts w:ascii="Times New Roman" w:hAnsi="Times New Roman" w:cs="Times New Roman"/>
          <w:sz w:val="24"/>
          <w:szCs w:val="24"/>
        </w:rPr>
      </w:r>
      <w:r w:rsidR="00463A19" w:rsidRPr="009C6038">
        <w:rPr>
          <w:rFonts w:ascii="Times New Roman" w:hAnsi="Times New Roman" w:cs="Times New Roman"/>
          <w:sz w:val="24"/>
          <w:szCs w:val="24"/>
        </w:rPr>
        <w:fldChar w:fldCharType="separate"/>
      </w:r>
      <w:r w:rsidR="00790F77">
        <w:rPr>
          <w:rFonts w:ascii="Times New Roman" w:hAnsi="Times New Roman" w:cs="Times New Roman"/>
          <w:sz w:val="24"/>
          <w:szCs w:val="24"/>
        </w:rPr>
        <w:t>3.2.1.3</w:t>
      </w:r>
      <w:r w:rsidR="00463A19" w:rsidRPr="009C6038">
        <w:rPr>
          <w:rFonts w:ascii="Times New Roman" w:hAnsi="Times New Roman" w:cs="Times New Roman"/>
          <w:sz w:val="24"/>
          <w:szCs w:val="24"/>
        </w:rPr>
        <w:fldChar w:fldCharType="end"/>
      </w:r>
      <w:r w:rsidRPr="009C6038">
        <w:rPr>
          <w:rFonts w:ascii="Times New Roman" w:hAnsi="Times New Roman" w:cs="Times New Roman"/>
          <w:sz w:val="24"/>
          <w:szCs w:val="24"/>
        </w:rPr>
        <w:t>. Every step of purification was analyzed by SDS-PAGE (</w:t>
      </w:r>
      <w:r w:rsidR="002B4D22" w:rsidRPr="009C6038">
        <w:rPr>
          <w:rFonts w:ascii="Times New Roman" w:hAnsi="Times New Roman" w:cs="Times New Roman"/>
          <w:sz w:val="24"/>
          <w:szCs w:val="24"/>
        </w:rPr>
        <w:fldChar w:fldCharType="begin"/>
      </w:r>
      <w:r w:rsidR="002B4D22" w:rsidRPr="009C6038">
        <w:rPr>
          <w:rFonts w:ascii="Times New Roman" w:hAnsi="Times New Roman" w:cs="Times New Roman"/>
          <w:sz w:val="24"/>
          <w:szCs w:val="24"/>
        </w:rPr>
        <w:instrText xml:space="preserve"> REF _Ref106009590 \h </w:instrText>
      </w:r>
      <w:r w:rsidR="002E26D2" w:rsidRPr="009C6038">
        <w:rPr>
          <w:rFonts w:ascii="Times New Roman" w:hAnsi="Times New Roman" w:cs="Times New Roman"/>
          <w:sz w:val="24"/>
          <w:szCs w:val="24"/>
        </w:rPr>
        <w:instrText xml:space="preserve"> \* MERGEFORMAT </w:instrText>
      </w:r>
      <w:r w:rsidR="002B4D22" w:rsidRPr="009C6038">
        <w:rPr>
          <w:rFonts w:ascii="Times New Roman" w:hAnsi="Times New Roman" w:cs="Times New Roman"/>
          <w:sz w:val="24"/>
          <w:szCs w:val="24"/>
        </w:rPr>
      </w:r>
      <w:r w:rsidR="002B4D22" w:rsidRPr="009C6038">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24</w:t>
      </w:r>
      <w:r w:rsidR="002B4D22" w:rsidRPr="009C6038">
        <w:rPr>
          <w:rFonts w:ascii="Times New Roman" w:hAnsi="Times New Roman" w:cs="Times New Roman"/>
          <w:sz w:val="24"/>
          <w:szCs w:val="24"/>
        </w:rPr>
        <w:fldChar w:fldCharType="end"/>
      </w:r>
      <w:r w:rsidR="002B4D22" w:rsidRPr="009C6038">
        <w:rPr>
          <w:rFonts w:ascii="Times New Roman" w:hAnsi="Times New Roman" w:cs="Times New Roman"/>
          <w:sz w:val="24"/>
          <w:szCs w:val="24"/>
        </w:rPr>
        <w:t xml:space="preserve"> </w:t>
      </w:r>
      <w:r w:rsidRPr="009C6038">
        <w:rPr>
          <w:rFonts w:ascii="Times New Roman" w:hAnsi="Times New Roman" w:cs="Times New Roman"/>
          <w:sz w:val="24"/>
          <w:szCs w:val="24"/>
        </w:rPr>
        <w:t>and</w:t>
      </w:r>
      <w:r w:rsidR="009C6038" w:rsidRPr="009C6038">
        <w:rPr>
          <w:rFonts w:ascii="Times New Roman" w:hAnsi="Times New Roman" w:cs="Times New Roman"/>
          <w:sz w:val="24"/>
          <w:szCs w:val="24"/>
        </w:rPr>
        <w:t xml:space="preserve"> </w:t>
      </w:r>
      <w:r w:rsidR="009C6038" w:rsidRPr="009C6038">
        <w:rPr>
          <w:rFonts w:ascii="Times New Roman" w:hAnsi="Times New Roman" w:cs="Times New Roman"/>
          <w:sz w:val="24"/>
          <w:szCs w:val="24"/>
        </w:rPr>
        <w:fldChar w:fldCharType="begin"/>
      </w:r>
      <w:r w:rsidR="009C6038" w:rsidRPr="009C6038">
        <w:rPr>
          <w:rFonts w:ascii="Times New Roman" w:hAnsi="Times New Roman" w:cs="Times New Roman"/>
          <w:sz w:val="24"/>
          <w:szCs w:val="24"/>
        </w:rPr>
        <w:instrText xml:space="preserve"> REF _Ref107391458 \h  \* MERGEFORMAT </w:instrText>
      </w:r>
      <w:r w:rsidR="009C6038" w:rsidRPr="009C6038">
        <w:rPr>
          <w:rFonts w:ascii="Times New Roman" w:hAnsi="Times New Roman" w:cs="Times New Roman"/>
          <w:sz w:val="24"/>
          <w:szCs w:val="24"/>
        </w:rPr>
      </w:r>
      <w:r w:rsidR="009C6038" w:rsidRPr="009C6038">
        <w:rPr>
          <w:rFonts w:ascii="Times New Roman" w:hAnsi="Times New Roman" w:cs="Times New Roman"/>
          <w:sz w:val="24"/>
          <w:szCs w:val="24"/>
        </w:rPr>
        <w:fldChar w:fldCharType="separate"/>
      </w:r>
      <w:r w:rsidR="00790F77" w:rsidRPr="002E26D2">
        <w:rPr>
          <w:rFonts w:ascii="Times New Roman" w:hAnsi="Times New Roman" w:cs="Times New Roman"/>
          <w:noProof/>
          <w:sz w:val="24"/>
          <w:szCs w:val="24"/>
        </w:rPr>
        <w:t>Figure</w:t>
      </w:r>
      <w:r w:rsidR="00790F77" w:rsidRPr="002E26D2">
        <w:rPr>
          <w:rFonts w:ascii="Times New Roman" w:hAnsi="Times New Roman" w:cs="Times New Roman"/>
          <w:sz w:val="24"/>
          <w:szCs w:val="24"/>
        </w:rPr>
        <w:t xml:space="preserve"> </w:t>
      </w:r>
      <w:r w:rsidR="00790F77">
        <w:rPr>
          <w:rFonts w:ascii="Times New Roman" w:hAnsi="Times New Roman" w:cs="Times New Roman"/>
          <w:noProof/>
          <w:sz w:val="24"/>
          <w:szCs w:val="24"/>
        </w:rPr>
        <w:t>25</w:t>
      </w:r>
      <w:r w:rsidR="009C6038" w:rsidRPr="009C6038">
        <w:rPr>
          <w:rFonts w:ascii="Times New Roman" w:hAnsi="Times New Roman" w:cs="Times New Roman"/>
          <w:sz w:val="24"/>
          <w:szCs w:val="24"/>
        </w:rPr>
        <w:fldChar w:fldCharType="end"/>
      </w:r>
      <w:r w:rsidRPr="009C6038">
        <w:rPr>
          <w:rFonts w:ascii="Times New Roman" w:hAnsi="Times New Roman" w:cs="Times New Roman"/>
          <w:sz w:val="24"/>
          <w:szCs w:val="24"/>
        </w:rPr>
        <w:t>), including the filtered sample before purification (Filtrate), the unbounded proteins flowing through the column (FT), the column washing steps (W), the column elution steps (E) and the final purified and concentrated recombinant proteins (Conc). Images revealed successful recovery of both NME6 isoforms (Conc), even though some parasite, background proteins were always co-eluted, especially the two between 75 and 50 kDa. However, their amount was negligible compared to the abundance of the recovered NME6-H</w:t>
      </w:r>
      <w:r w:rsidR="00675AF6" w:rsidRPr="009C6038">
        <w:rPr>
          <w:rFonts w:ascii="Times New Roman" w:hAnsi="Times New Roman" w:cs="Times New Roman"/>
          <w:sz w:val="24"/>
          <w:szCs w:val="24"/>
        </w:rPr>
        <w:t>is</w:t>
      </w:r>
      <w:r w:rsidRPr="009C6038">
        <w:rPr>
          <w:rFonts w:ascii="Times New Roman" w:hAnsi="Times New Roman" w:cs="Times New Roman"/>
          <w:sz w:val="24"/>
          <w:szCs w:val="24"/>
        </w:rPr>
        <w:t xml:space="preserve"> proteins. About 5 mg of each protein was produced by applying</w:t>
      </w:r>
      <w:r w:rsidR="00675AF6" w:rsidRPr="009C6038">
        <w:rPr>
          <w:rFonts w:ascii="Times New Roman" w:hAnsi="Times New Roman" w:cs="Times New Roman"/>
          <w:sz w:val="24"/>
          <w:szCs w:val="24"/>
        </w:rPr>
        <w:t xml:space="preserve"> this</w:t>
      </w:r>
      <w:r w:rsidRPr="009C6038">
        <w:rPr>
          <w:rFonts w:ascii="Times New Roman" w:hAnsi="Times New Roman" w:cs="Times New Roman"/>
          <w:sz w:val="24"/>
          <w:szCs w:val="24"/>
        </w:rPr>
        <w:t xml:space="preserve"> protocol. The three recombinant proteins were analyzed on SDS-PAGE (</w:t>
      </w:r>
      <w:r w:rsidR="002B4D22" w:rsidRPr="009C6038">
        <w:rPr>
          <w:rFonts w:ascii="Times New Roman" w:hAnsi="Times New Roman" w:cs="Times New Roman"/>
          <w:sz w:val="24"/>
          <w:szCs w:val="24"/>
        </w:rPr>
        <w:fldChar w:fldCharType="begin"/>
      </w:r>
      <w:r w:rsidR="002B4D22" w:rsidRPr="009C6038">
        <w:rPr>
          <w:rFonts w:ascii="Times New Roman" w:hAnsi="Times New Roman" w:cs="Times New Roman"/>
          <w:sz w:val="24"/>
          <w:szCs w:val="24"/>
        </w:rPr>
        <w:instrText xml:space="preserve"> REF _Ref106009614 \h </w:instrText>
      </w:r>
      <w:r w:rsidR="002E26D2" w:rsidRPr="009C6038">
        <w:rPr>
          <w:rFonts w:ascii="Times New Roman" w:hAnsi="Times New Roman" w:cs="Times New Roman"/>
          <w:sz w:val="24"/>
          <w:szCs w:val="24"/>
        </w:rPr>
        <w:instrText xml:space="preserve"> \* MERGEFORMAT </w:instrText>
      </w:r>
      <w:r w:rsidR="002B4D22" w:rsidRPr="009C6038">
        <w:rPr>
          <w:rFonts w:ascii="Times New Roman" w:hAnsi="Times New Roman" w:cs="Times New Roman"/>
          <w:sz w:val="24"/>
          <w:szCs w:val="24"/>
        </w:rPr>
      </w:r>
      <w:r w:rsidR="002B4D22" w:rsidRPr="009C6038">
        <w:rPr>
          <w:rFonts w:ascii="Times New Roman" w:hAnsi="Times New Roman" w:cs="Times New Roman"/>
          <w:sz w:val="24"/>
          <w:szCs w:val="24"/>
        </w:rPr>
        <w:fldChar w:fldCharType="separate"/>
      </w:r>
      <w:r w:rsidR="00790F77" w:rsidRPr="00F56866">
        <w:rPr>
          <w:rFonts w:ascii="Times New Roman" w:hAnsi="Times New Roman" w:cs="Times New Roman"/>
          <w:sz w:val="24"/>
          <w:szCs w:val="24"/>
        </w:rPr>
        <w:t xml:space="preserve">Figure </w:t>
      </w:r>
      <w:r w:rsidR="00790F77">
        <w:rPr>
          <w:rFonts w:ascii="Times New Roman" w:hAnsi="Times New Roman" w:cs="Times New Roman"/>
          <w:noProof/>
          <w:sz w:val="24"/>
          <w:szCs w:val="24"/>
        </w:rPr>
        <w:t>26</w:t>
      </w:r>
      <w:r w:rsidR="002B4D22" w:rsidRPr="009C6038">
        <w:rPr>
          <w:rFonts w:ascii="Times New Roman" w:hAnsi="Times New Roman" w:cs="Times New Roman"/>
          <w:sz w:val="24"/>
          <w:szCs w:val="24"/>
        </w:rPr>
        <w:fldChar w:fldCharType="end"/>
      </w:r>
      <w:r w:rsidRPr="009C6038">
        <w:rPr>
          <w:rFonts w:ascii="Times New Roman" w:hAnsi="Times New Roman" w:cs="Times New Roman"/>
          <w:sz w:val="24"/>
          <w:szCs w:val="24"/>
        </w:rPr>
        <w:t>), and showed a very high level of purification at non-saturating concentration</w:t>
      </w:r>
      <w:r w:rsidR="00A028E0" w:rsidRPr="009C6038">
        <w:rPr>
          <w:rFonts w:ascii="Times New Roman" w:hAnsi="Times New Roman" w:cs="Times New Roman"/>
          <w:sz w:val="24"/>
          <w:szCs w:val="24"/>
        </w:rPr>
        <w:t xml:space="preserve"> (0.5</w:t>
      </w:r>
      <w:r w:rsidR="00592DF0">
        <w:rPr>
          <w:rFonts w:ascii="Times New Roman" w:hAnsi="Times New Roman" w:cs="Times New Roman"/>
          <w:sz w:val="24"/>
          <w:szCs w:val="24"/>
        </w:rPr>
        <w:t xml:space="preserve"> </w:t>
      </w:r>
      <w:r w:rsidR="00A028E0" w:rsidRPr="009C6038">
        <w:rPr>
          <w:rFonts w:ascii="Times New Roman" w:hAnsi="Times New Roman" w:cs="Times New Roman"/>
          <w:sz w:val="24"/>
          <w:szCs w:val="24"/>
        </w:rPr>
        <w:t>µg)</w:t>
      </w:r>
      <w:r w:rsidRPr="009C6038">
        <w:rPr>
          <w:rFonts w:ascii="Times New Roman" w:hAnsi="Times New Roman" w:cs="Times New Roman"/>
          <w:sz w:val="24"/>
          <w:szCs w:val="24"/>
        </w:rPr>
        <w:t xml:space="preserve">, with almost no other proteins visible. </w:t>
      </w:r>
      <w:r w:rsidR="008542CA" w:rsidRPr="009C6038">
        <w:rPr>
          <w:rFonts w:ascii="Times New Roman" w:hAnsi="Times New Roman" w:cs="Times New Roman"/>
          <w:sz w:val="24"/>
          <w:szCs w:val="24"/>
        </w:rPr>
        <w:t>A</w:t>
      </w:r>
      <w:r w:rsidR="00772A44" w:rsidRPr="009C6038">
        <w:rPr>
          <w:rFonts w:ascii="Times New Roman" w:hAnsi="Times New Roman" w:cs="Times New Roman"/>
          <w:sz w:val="24"/>
          <w:szCs w:val="24"/>
        </w:rPr>
        <w:t xml:space="preserve"> visible shift </w:t>
      </w:r>
      <w:r w:rsidR="008542CA" w:rsidRPr="009C6038">
        <w:rPr>
          <w:rFonts w:ascii="Times New Roman" w:hAnsi="Times New Roman" w:cs="Times New Roman"/>
          <w:sz w:val="24"/>
          <w:szCs w:val="24"/>
        </w:rPr>
        <w:t xml:space="preserve">can be observed </w:t>
      </w:r>
      <w:r w:rsidR="00772A44" w:rsidRPr="009C6038">
        <w:rPr>
          <w:rFonts w:ascii="Times New Roman" w:hAnsi="Times New Roman" w:cs="Times New Roman"/>
          <w:sz w:val="24"/>
          <w:szCs w:val="24"/>
        </w:rPr>
        <w:t>between NME6-186-H</w:t>
      </w:r>
      <w:r w:rsidR="00675AF6" w:rsidRPr="009C6038">
        <w:rPr>
          <w:rFonts w:ascii="Times New Roman" w:hAnsi="Times New Roman" w:cs="Times New Roman"/>
          <w:sz w:val="24"/>
          <w:szCs w:val="24"/>
        </w:rPr>
        <w:t>is</w:t>
      </w:r>
      <w:r w:rsidR="00772A44" w:rsidRPr="009C6038">
        <w:rPr>
          <w:rFonts w:ascii="Times New Roman" w:hAnsi="Times New Roman" w:cs="Times New Roman"/>
          <w:sz w:val="24"/>
          <w:szCs w:val="24"/>
        </w:rPr>
        <w:t xml:space="preserve"> and NME6-194-H</w:t>
      </w:r>
      <w:r w:rsidR="00675AF6" w:rsidRPr="009C6038">
        <w:rPr>
          <w:rFonts w:ascii="Times New Roman" w:hAnsi="Times New Roman" w:cs="Times New Roman"/>
          <w:sz w:val="24"/>
          <w:szCs w:val="24"/>
        </w:rPr>
        <w:t>is</w:t>
      </w:r>
      <w:r w:rsidR="00772A44" w:rsidRPr="009C6038">
        <w:rPr>
          <w:rFonts w:ascii="Times New Roman" w:hAnsi="Times New Roman" w:cs="Times New Roman"/>
          <w:sz w:val="24"/>
          <w:szCs w:val="24"/>
        </w:rPr>
        <w:t xml:space="preserve"> migration patterns, due molecular weight differences of the two proteins. </w:t>
      </w:r>
      <w:r w:rsidRPr="009C6038">
        <w:rPr>
          <w:rFonts w:ascii="Times New Roman" w:hAnsi="Times New Roman" w:cs="Times New Roman"/>
          <w:sz w:val="24"/>
          <w:szCs w:val="24"/>
        </w:rPr>
        <w:t>Note that in the bacterial system, the production of both His</w:t>
      </w:r>
      <w:r w:rsidR="00592DF0">
        <w:rPr>
          <w:rFonts w:ascii="Times New Roman" w:hAnsi="Times New Roman" w:cs="Times New Roman"/>
          <w:sz w:val="24"/>
          <w:szCs w:val="24"/>
        </w:rPr>
        <w:t>-</w:t>
      </w:r>
      <w:r w:rsidRPr="009C6038">
        <w:rPr>
          <w:rFonts w:ascii="Times New Roman" w:hAnsi="Times New Roman" w:cs="Times New Roman"/>
          <w:sz w:val="24"/>
          <w:szCs w:val="24"/>
        </w:rPr>
        <w:t xml:space="preserve">tagged NME6-186 and NME6-194 lead to a single band, </w:t>
      </w:r>
      <w:r w:rsidR="00592DF0" w:rsidRPr="009C6038">
        <w:rPr>
          <w:rFonts w:ascii="Times New Roman" w:hAnsi="Times New Roman" w:cs="Times New Roman"/>
          <w:sz w:val="24"/>
          <w:szCs w:val="24"/>
        </w:rPr>
        <w:t>i.e.,</w:t>
      </w:r>
      <w:r w:rsidRPr="009C6038">
        <w:rPr>
          <w:rFonts w:ascii="Times New Roman" w:hAnsi="Times New Roman" w:cs="Times New Roman"/>
          <w:sz w:val="24"/>
          <w:szCs w:val="24"/>
        </w:rPr>
        <w:t xml:space="preserve"> a single protein, in contrast to the two proteins observed after overexpression of NME6-194-FLAG in human cells (</w:t>
      </w:r>
      <w:r w:rsidR="002B4D22" w:rsidRPr="009C6038">
        <w:rPr>
          <w:rFonts w:ascii="Times New Roman" w:hAnsi="Times New Roman" w:cs="Times New Roman"/>
          <w:sz w:val="24"/>
          <w:szCs w:val="24"/>
        </w:rPr>
        <w:fldChar w:fldCharType="begin"/>
      </w:r>
      <w:r w:rsidR="002B4D22" w:rsidRPr="009C6038">
        <w:rPr>
          <w:rFonts w:ascii="Times New Roman" w:hAnsi="Times New Roman" w:cs="Times New Roman"/>
          <w:sz w:val="24"/>
          <w:szCs w:val="24"/>
        </w:rPr>
        <w:instrText xml:space="preserve"> REF _Ref106009416 \h </w:instrText>
      </w:r>
      <w:r w:rsidR="002E26D2" w:rsidRPr="009C6038">
        <w:rPr>
          <w:rFonts w:ascii="Times New Roman" w:hAnsi="Times New Roman" w:cs="Times New Roman"/>
          <w:sz w:val="24"/>
          <w:szCs w:val="24"/>
        </w:rPr>
        <w:instrText xml:space="preserve"> \* MERGEFORMAT </w:instrText>
      </w:r>
      <w:r w:rsidR="002B4D22" w:rsidRPr="009C6038">
        <w:rPr>
          <w:rFonts w:ascii="Times New Roman" w:hAnsi="Times New Roman" w:cs="Times New Roman"/>
          <w:sz w:val="24"/>
          <w:szCs w:val="24"/>
        </w:rPr>
      </w:r>
      <w:r w:rsidR="002B4D22" w:rsidRPr="009C6038">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18</w:t>
      </w:r>
      <w:r w:rsidR="002B4D22" w:rsidRPr="009C6038">
        <w:rPr>
          <w:rFonts w:ascii="Times New Roman" w:hAnsi="Times New Roman" w:cs="Times New Roman"/>
          <w:sz w:val="24"/>
          <w:szCs w:val="24"/>
        </w:rPr>
        <w:fldChar w:fldCharType="end"/>
      </w:r>
      <w:r w:rsidRPr="009C6038">
        <w:rPr>
          <w:rFonts w:ascii="Times New Roman" w:hAnsi="Times New Roman" w:cs="Times New Roman"/>
          <w:sz w:val="24"/>
          <w:szCs w:val="24"/>
        </w:rPr>
        <w:t xml:space="preserve">). </w:t>
      </w:r>
    </w:p>
    <w:p w14:paraId="11479042" w14:textId="77777777" w:rsidR="009B59BB" w:rsidRPr="002E26D2" w:rsidRDefault="000B3AF7" w:rsidP="008542CA">
      <w:pPr>
        <w:keepNext/>
        <w:spacing w:line="360" w:lineRule="auto"/>
        <w:ind w:left="1440" w:firstLine="720"/>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0C78E120" wp14:editId="3C1D3BCD">
            <wp:extent cx="4320000" cy="3084193"/>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a:extLst>
                        <a:ext uri="{28A0092B-C50C-407E-A947-70E740481C1C}">
                          <a14:useLocalDpi xmlns:a14="http://schemas.microsoft.com/office/drawing/2010/main" val="0"/>
                        </a:ext>
                      </a:extLst>
                    </a:blip>
                    <a:srcRect l="1" t="11896" r="19520" b="10"/>
                    <a:stretch/>
                  </pic:blipFill>
                  <pic:spPr bwMode="auto">
                    <a:xfrm>
                      <a:off x="0" y="0"/>
                      <a:ext cx="4320000" cy="3084193"/>
                    </a:xfrm>
                    <a:prstGeom prst="rect">
                      <a:avLst/>
                    </a:prstGeom>
                    <a:noFill/>
                    <a:ln>
                      <a:noFill/>
                    </a:ln>
                    <a:extLst>
                      <a:ext uri="{53640926-AAD7-44D8-BBD7-CCE9431645EC}">
                        <a14:shadowObscured xmlns:a14="http://schemas.microsoft.com/office/drawing/2010/main"/>
                      </a:ext>
                    </a:extLst>
                  </pic:spPr>
                </pic:pic>
              </a:graphicData>
            </a:graphic>
          </wp:inline>
        </w:drawing>
      </w:r>
    </w:p>
    <w:p w14:paraId="6818B9DA" w14:textId="5A5E6210" w:rsidR="000B3AF7" w:rsidRDefault="009B59BB" w:rsidP="004927BB">
      <w:pPr>
        <w:pStyle w:val="Caption"/>
        <w:spacing w:line="360" w:lineRule="auto"/>
        <w:rPr>
          <w:rFonts w:ascii="Times New Roman" w:hAnsi="Times New Roman" w:cs="Times New Roman"/>
          <w:sz w:val="24"/>
          <w:szCs w:val="24"/>
        </w:rPr>
      </w:pPr>
      <w:bookmarkStart w:id="197" w:name="_Ref106009590"/>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24</w:t>
      </w:r>
      <w:r w:rsidRPr="002E26D2">
        <w:rPr>
          <w:rFonts w:ascii="Times New Roman" w:hAnsi="Times New Roman" w:cs="Times New Roman"/>
          <w:sz w:val="24"/>
          <w:szCs w:val="24"/>
        </w:rPr>
        <w:fldChar w:fldCharType="end"/>
      </w:r>
      <w:bookmarkStart w:id="198" w:name="_Ref105752820"/>
      <w:bookmarkEnd w:id="197"/>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NME6-186-H</w:t>
      </w:r>
      <w:r w:rsidR="00675AF6">
        <w:rPr>
          <w:rFonts w:ascii="Times New Roman" w:hAnsi="Times New Roman" w:cs="Times New Roman"/>
          <w:sz w:val="24"/>
          <w:szCs w:val="24"/>
          <w:u w:val="single"/>
        </w:rPr>
        <w:t>is</w:t>
      </w:r>
      <w:r w:rsidR="000B3AF7" w:rsidRPr="002E26D2">
        <w:rPr>
          <w:rFonts w:ascii="Times New Roman" w:hAnsi="Times New Roman" w:cs="Times New Roman"/>
          <w:sz w:val="24"/>
          <w:szCs w:val="24"/>
          <w:u w:val="single"/>
        </w:rPr>
        <w:t xml:space="preserve"> recombinant protein production control.</w:t>
      </w:r>
      <w:r w:rsidR="000B3AF7" w:rsidRPr="002E26D2">
        <w:rPr>
          <w:rFonts w:ascii="Times New Roman" w:hAnsi="Times New Roman" w:cs="Times New Roman"/>
          <w:sz w:val="24"/>
          <w:szCs w:val="24"/>
        </w:rPr>
        <w:t xml:space="preserve"> The filtered sample before purification (Filtrate), the unbounded proteins flowing through the column (FT), the column washing steps (W), the column elution steps (E) and the final purified and concentrated recombinant proteins (Conc) were analyzed by SDS-PAGE. Proteins were transferred to the membrane and stained with naphthol blue. NME6-186-HIS shows a strong enrichment in the concentrated fraction, below 20 kDa.</w:t>
      </w:r>
      <w:bookmarkEnd w:id="198"/>
      <w:r w:rsidR="000B3AF7" w:rsidRPr="002E26D2">
        <w:rPr>
          <w:rFonts w:ascii="Times New Roman" w:hAnsi="Times New Roman" w:cs="Times New Roman"/>
          <w:sz w:val="24"/>
          <w:szCs w:val="24"/>
        </w:rPr>
        <w:t xml:space="preserve"> </w:t>
      </w:r>
    </w:p>
    <w:p w14:paraId="6CD04CD5" w14:textId="77777777" w:rsidR="008542CA" w:rsidRPr="008542CA" w:rsidRDefault="008542CA" w:rsidP="008542CA"/>
    <w:p w14:paraId="42A2DBF5" w14:textId="77777777" w:rsidR="009B59BB" w:rsidRPr="002E26D2" w:rsidRDefault="000B3AF7" w:rsidP="008542CA">
      <w:pPr>
        <w:keepNext/>
        <w:spacing w:line="360" w:lineRule="auto"/>
        <w:ind w:left="1440" w:firstLine="720"/>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6F20D311" wp14:editId="7B5D10E0">
            <wp:extent cx="4320000" cy="322167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t="11104" r="19142"/>
                    <a:stretch/>
                  </pic:blipFill>
                  <pic:spPr bwMode="auto">
                    <a:xfrm>
                      <a:off x="0" y="0"/>
                      <a:ext cx="4320000" cy="3221674"/>
                    </a:xfrm>
                    <a:prstGeom prst="rect">
                      <a:avLst/>
                    </a:prstGeom>
                    <a:noFill/>
                    <a:ln>
                      <a:noFill/>
                    </a:ln>
                    <a:extLst>
                      <a:ext uri="{53640926-AAD7-44D8-BBD7-CCE9431645EC}">
                        <a14:shadowObscured xmlns:a14="http://schemas.microsoft.com/office/drawing/2010/main"/>
                      </a:ext>
                    </a:extLst>
                  </pic:spPr>
                </pic:pic>
              </a:graphicData>
            </a:graphic>
          </wp:inline>
        </w:drawing>
      </w:r>
    </w:p>
    <w:p w14:paraId="7C864965" w14:textId="01A64075" w:rsidR="008542CA" w:rsidRPr="008C40DB" w:rsidRDefault="008542CA" w:rsidP="008542CA">
      <w:pPr>
        <w:pStyle w:val="Caption"/>
        <w:spacing w:line="360" w:lineRule="auto"/>
        <w:ind w:left="720"/>
        <w:jc w:val="center"/>
        <w:rPr>
          <w:rFonts w:ascii="Times New Roman" w:hAnsi="Times New Roman" w:cs="Times New Roman"/>
          <w:i w:val="0"/>
          <w:sz w:val="24"/>
          <w:szCs w:val="24"/>
        </w:rPr>
      </w:pPr>
      <w:bookmarkStart w:id="199" w:name="_Ref106009599"/>
      <w:r w:rsidRPr="008C40DB">
        <w:rPr>
          <w:rFonts w:ascii="Times New Roman" w:hAnsi="Times New Roman" w:cs="Times New Roman"/>
          <w:bCs w:val="0"/>
          <w:i w:val="0"/>
          <w:sz w:val="24"/>
          <w:szCs w:val="24"/>
        </w:rPr>
        <w:t>-</w:t>
      </w:r>
      <w:r>
        <w:rPr>
          <w:rFonts w:ascii="Times New Roman" w:hAnsi="Times New Roman" w:cs="Times New Roman"/>
          <w:i w:val="0"/>
          <w:sz w:val="24"/>
          <w:szCs w:val="24"/>
        </w:rPr>
        <w:t xml:space="preserve"> Figure 25 description is on the next page -</w:t>
      </w:r>
    </w:p>
    <w:p w14:paraId="413F46D4" w14:textId="4EC47E8A" w:rsidR="000B3AF7" w:rsidRPr="002E26D2" w:rsidRDefault="009B59BB" w:rsidP="004927BB">
      <w:pPr>
        <w:pStyle w:val="Caption"/>
        <w:spacing w:line="360" w:lineRule="auto"/>
        <w:rPr>
          <w:rFonts w:ascii="Times New Roman" w:hAnsi="Times New Roman" w:cs="Times New Roman"/>
          <w:sz w:val="24"/>
          <w:szCs w:val="24"/>
        </w:rPr>
      </w:pPr>
      <w:bookmarkStart w:id="200" w:name="_Ref107391458"/>
      <w:r w:rsidRPr="002E26D2">
        <w:rPr>
          <w:rFonts w:ascii="Times New Roman" w:hAnsi="Times New Roman" w:cs="Times New Roman"/>
          <w:sz w:val="24"/>
          <w:szCs w:val="24"/>
        </w:rPr>
        <w:lastRenderedPageBreak/>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25</w:t>
      </w:r>
      <w:r w:rsidRPr="002E26D2">
        <w:rPr>
          <w:rFonts w:ascii="Times New Roman" w:hAnsi="Times New Roman" w:cs="Times New Roman"/>
          <w:sz w:val="24"/>
          <w:szCs w:val="24"/>
        </w:rPr>
        <w:fldChar w:fldCharType="end"/>
      </w:r>
      <w:bookmarkStart w:id="201" w:name="_Ref105752828"/>
      <w:bookmarkEnd w:id="199"/>
      <w:bookmarkEnd w:id="200"/>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NME6-194-H</w:t>
      </w:r>
      <w:r w:rsidR="00675AF6">
        <w:rPr>
          <w:rFonts w:ascii="Times New Roman" w:hAnsi="Times New Roman" w:cs="Times New Roman"/>
          <w:sz w:val="24"/>
          <w:szCs w:val="24"/>
          <w:u w:val="single"/>
        </w:rPr>
        <w:t>is</w:t>
      </w:r>
      <w:r w:rsidR="000B3AF7" w:rsidRPr="002E26D2">
        <w:rPr>
          <w:rFonts w:ascii="Times New Roman" w:hAnsi="Times New Roman" w:cs="Times New Roman"/>
          <w:sz w:val="24"/>
          <w:szCs w:val="24"/>
          <w:u w:val="single"/>
        </w:rPr>
        <w:t xml:space="preserve"> recombinant protein production control.</w:t>
      </w:r>
      <w:r w:rsidR="000B3AF7" w:rsidRPr="002E26D2">
        <w:rPr>
          <w:rFonts w:ascii="Times New Roman" w:hAnsi="Times New Roman" w:cs="Times New Roman"/>
          <w:sz w:val="24"/>
          <w:szCs w:val="24"/>
        </w:rPr>
        <w:t xml:space="preserve"> The filtrated sample before purification (Filtrate), the unbounded proteins flowing through the column (FT), the column washing steps (W), the column elution steps (E) and the final purified and concentrated recombinant proteins (Conc) were analyzed by SDS-PAGE. Proteins were transferred to the membrane and stained with naphthol blue. NME6-194-HIS shows a strong enrichment in the concentrated fraction, above 20 kDa.</w:t>
      </w:r>
      <w:bookmarkEnd w:id="201"/>
      <w:r w:rsidR="000B3AF7" w:rsidRPr="002E26D2">
        <w:rPr>
          <w:rFonts w:ascii="Times New Roman" w:hAnsi="Times New Roman" w:cs="Times New Roman"/>
          <w:sz w:val="24"/>
          <w:szCs w:val="24"/>
        </w:rPr>
        <w:t xml:space="preserve"> </w:t>
      </w:r>
    </w:p>
    <w:p w14:paraId="31EA1C3A" w14:textId="77777777" w:rsidR="009B59BB"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2895CC32" wp14:editId="28841A70">
            <wp:extent cx="3274695" cy="3926039"/>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t="3737" r="30692"/>
                    <a:stretch/>
                  </pic:blipFill>
                  <pic:spPr bwMode="auto">
                    <a:xfrm>
                      <a:off x="0" y="0"/>
                      <a:ext cx="3274828" cy="3926198"/>
                    </a:xfrm>
                    <a:prstGeom prst="rect">
                      <a:avLst/>
                    </a:prstGeom>
                    <a:noFill/>
                    <a:ln>
                      <a:noFill/>
                    </a:ln>
                    <a:extLst>
                      <a:ext uri="{53640926-AAD7-44D8-BBD7-CCE9431645EC}">
                        <a14:shadowObscured xmlns:a14="http://schemas.microsoft.com/office/drawing/2010/main"/>
                      </a:ext>
                    </a:extLst>
                  </pic:spPr>
                </pic:pic>
              </a:graphicData>
            </a:graphic>
          </wp:inline>
        </w:drawing>
      </w:r>
    </w:p>
    <w:p w14:paraId="43027873" w14:textId="5DF4CCA1" w:rsidR="00A8386A" w:rsidRDefault="009B59BB" w:rsidP="004927BB">
      <w:pPr>
        <w:pStyle w:val="Caption"/>
        <w:spacing w:line="360" w:lineRule="auto"/>
        <w:rPr>
          <w:rFonts w:ascii="Times New Roman" w:hAnsi="Times New Roman" w:cs="Times New Roman"/>
          <w:sz w:val="24"/>
          <w:szCs w:val="24"/>
        </w:rPr>
      </w:pPr>
      <w:bookmarkStart w:id="202" w:name="_Ref106009614"/>
      <w:r w:rsidRPr="00F56866">
        <w:rPr>
          <w:rFonts w:ascii="Times New Roman" w:hAnsi="Times New Roman" w:cs="Times New Roman"/>
          <w:sz w:val="24"/>
          <w:szCs w:val="24"/>
        </w:rPr>
        <w:t xml:space="preserve">Figure </w:t>
      </w:r>
      <w:r w:rsidRPr="00F56866">
        <w:rPr>
          <w:rFonts w:ascii="Times New Roman" w:hAnsi="Times New Roman" w:cs="Times New Roman"/>
          <w:sz w:val="24"/>
          <w:szCs w:val="24"/>
        </w:rPr>
        <w:fldChar w:fldCharType="begin"/>
      </w:r>
      <w:r w:rsidRPr="00F56866">
        <w:rPr>
          <w:rFonts w:ascii="Times New Roman" w:hAnsi="Times New Roman" w:cs="Times New Roman"/>
          <w:sz w:val="24"/>
          <w:szCs w:val="24"/>
        </w:rPr>
        <w:instrText xml:space="preserve"> SEQ Figure \* ARABIC </w:instrText>
      </w:r>
      <w:r w:rsidRPr="00F56866">
        <w:rPr>
          <w:rFonts w:ascii="Times New Roman" w:hAnsi="Times New Roman" w:cs="Times New Roman"/>
          <w:sz w:val="24"/>
          <w:szCs w:val="24"/>
        </w:rPr>
        <w:fldChar w:fldCharType="separate"/>
      </w:r>
      <w:r w:rsidR="00790F77">
        <w:rPr>
          <w:rFonts w:ascii="Times New Roman" w:hAnsi="Times New Roman" w:cs="Times New Roman"/>
          <w:noProof/>
          <w:sz w:val="24"/>
          <w:szCs w:val="24"/>
        </w:rPr>
        <w:t>26</w:t>
      </w:r>
      <w:r w:rsidRPr="00F56866">
        <w:rPr>
          <w:rFonts w:ascii="Times New Roman" w:hAnsi="Times New Roman" w:cs="Times New Roman"/>
          <w:sz w:val="24"/>
          <w:szCs w:val="24"/>
        </w:rPr>
        <w:fldChar w:fldCharType="end"/>
      </w:r>
      <w:bookmarkStart w:id="203" w:name="_Ref105752858"/>
      <w:bookmarkEnd w:id="202"/>
      <w:r w:rsidRPr="00F56866">
        <w:rPr>
          <w:rFonts w:ascii="Times New Roman" w:hAnsi="Times New Roman" w:cs="Times New Roman"/>
          <w:sz w:val="24"/>
          <w:szCs w:val="24"/>
        </w:rPr>
        <w:t xml:space="preserve"> </w:t>
      </w:r>
      <w:r w:rsidR="000B3AF7" w:rsidRPr="00F56866">
        <w:rPr>
          <w:rFonts w:ascii="Times New Roman" w:hAnsi="Times New Roman" w:cs="Times New Roman"/>
          <w:sz w:val="24"/>
          <w:szCs w:val="24"/>
          <w:u w:val="single"/>
        </w:rPr>
        <w:t xml:space="preserve">: Recombinant proteins </w:t>
      </w:r>
      <w:r w:rsidR="00F56866" w:rsidRPr="00F56866">
        <w:rPr>
          <w:rFonts w:ascii="Times New Roman" w:hAnsi="Times New Roman" w:cs="Times New Roman"/>
          <w:sz w:val="24"/>
          <w:szCs w:val="24"/>
          <w:u w:val="single"/>
        </w:rPr>
        <w:t>analysis at non-saturating concentration</w:t>
      </w:r>
      <w:r w:rsidR="000B3AF7" w:rsidRPr="00F56866">
        <w:rPr>
          <w:rFonts w:ascii="Times New Roman" w:hAnsi="Times New Roman" w:cs="Times New Roman"/>
          <w:sz w:val="24"/>
          <w:szCs w:val="24"/>
          <w:u w:val="single"/>
        </w:rPr>
        <w:t>.</w:t>
      </w:r>
      <w:r w:rsidR="000B3AF7" w:rsidRPr="00F56866">
        <w:rPr>
          <w:rFonts w:ascii="Times New Roman" w:hAnsi="Times New Roman" w:cs="Times New Roman"/>
          <w:sz w:val="24"/>
          <w:szCs w:val="24"/>
        </w:rPr>
        <w:t xml:space="preserve"> Purified human</w:t>
      </w:r>
      <w:r w:rsidR="000B3AF7" w:rsidRPr="002E26D2">
        <w:rPr>
          <w:rFonts w:ascii="Times New Roman" w:hAnsi="Times New Roman" w:cs="Times New Roman"/>
          <w:sz w:val="24"/>
          <w:szCs w:val="24"/>
        </w:rPr>
        <w:t xml:space="preserve"> NME1-H</w:t>
      </w:r>
      <w:r w:rsidR="00D12664">
        <w:rPr>
          <w:rFonts w:ascii="Times New Roman" w:hAnsi="Times New Roman" w:cs="Times New Roman"/>
          <w:sz w:val="24"/>
          <w:szCs w:val="24"/>
        </w:rPr>
        <w:t>is</w:t>
      </w:r>
      <w:r w:rsidR="000B3AF7" w:rsidRPr="002E26D2">
        <w:rPr>
          <w:rFonts w:ascii="Times New Roman" w:hAnsi="Times New Roman" w:cs="Times New Roman"/>
          <w:sz w:val="24"/>
          <w:szCs w:val="24"/>
        </w:rPr>
        <w:t>, NME6-186-H</w:t>
      </w:r>
      <w:r w:rsidR="00D12664">
        <w:rPr>
          <w:rFonts w:ascii="Times New Roman" w:hAnsi="Times New Roman" w:cs="Times New Roman"/>
          <w:sz w:val="24"/>
          <w:szCs w:val="24"/>
        </w:rPr>
        <w:t>is</w:t>
      </w:r>
      <w:r w:rsidR="000B3AF7" w:rsidRPr="002E26D2">
        <w:rPr>
          <w:rFonts w:ascii="Times New Roman" w:hAnsi="Times New Roman" w:cs="Times New Roman"/>
          <w:sz w:val="24"/>
          <w:szCs w:val="24"/>
        </w:rPr>
        <w:t xml:space="preserve"> and NME6-194-H</w:t>
      </w:r>
      <w:r w:rsidR="00D12664">
        <w:rPr>
          <w:rFonts w:ascii="Times New Roman" w:hAnsi="Times New Roman" w:cs="Times New Roman"/>
          <w:sz w:val="24"/>
          <w:szCs w:val="24"/>
        </w:rPr>
        <w:t>is</w:t>
      </w:r>
      <w:r w:rsidR="000B3AF7" w:rsidRPr="002E26D2">
        <w:rPr>
          <w:rFonts w:ascii="Times New Roman" w:hAnsi="Times New Roman" w:cs="Times New Roman"/>
          <w:sz w:val="24"/>
          <w:szCs w:val="24"/>
        </w:rPr>
        <w:t xml:space="preserve"> recombinant proteins were evenly loaded (0.5µg), analyzed by SDS-PAGE, transferred to the membrane and stained with naphthol blue. Proteins display a single band, attesting a high level of purification.</w:t>
      </w:r>
      <w:bookmarkEnd w:id="203"/>
    </w:p>
    <w:p w14:paraId="13264CF7" w14:textId="77777777" w:rsidR="00A8386A" w:rsidRDefault="00A8386A">
      <w:pPr>
        <w:rPr>
          <w:rFonts w:ascii="Times New Roman" w:eastAsia="Calibri" w:hAnsi="Times New Roman" w:cs="Times New Roman"/>
          <w:bCs/>
          <w:i/>
          <w:sz w:val="24"/>
          <w:szCs w:val="24"/>
        </w:rPr>
      </w:pPr>
      <w:r>
        <w:rPr>
          <w:rFonts w:ascii="Times New Roman" w:hAnsi="Times New Roman" w:cs="Times New Roman"/>
          <w:sz w:val="24"/>
          <w:szCs w:val="24"/>
        </w:rPr>
        <w:br w:type="page"/>
      </w:r>
    </w:p>
    <w:p w14:paraId="50D3AB25" w14:textId="108833AA" w:rsidR="000B3AF7" w:rsidRPr="00F836CB" w:rsidRDefault="000B3AF7" w:rsidP="004927BB">
      <w:pPr>
        <w:pStyle w:val="Heading2"/>
        <w:spacing w:line="360" w:lineRule="auto"/>
        <w:rPr>
          <w:rFonts w:cs="Times New Roman"/>
          <w:szCs w:val="28"/>
        </w:rPr>
      </w:pPr>
      <w:bookmarkStart w:id="204" w:name="_Toc117153883"/>
      <w:r w:rsidRPr="00F836CB">
        <w:rPr>
          <w:rFonts w:cs="Times New Roman"/>
          <w:szCs w:val="28"/>
        </w:rPr>
        <w:lastRenderedPageBreak/>
        <w:t>NME6 expression and characterization</w:t>
      </w:r>
      <w:bookmarkEnd w:id="204"/>
    </w:p>
    <w:p w14:paraId="63597C56"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We aimed to characterize the expression profile of NME6 in human cell lines, by comparing the protein expression pattern as well as to determine the principal, most abundantly expressed endogenous isoform.</w:t>
      </w:r>
    </w:p>
    <w:p w14:paraId="7B03DD89" w14:textId="5A3FAE94" w:rsidR="000B3AF7" w:rsidRPr="002E26D2" w:rsidRDefault="000B3AF7" w:rsidP="003775DE">
      <w:pPr>
        <w:pStyle w:val="Heading3"/>
      </w:pPr>
      <w:bookmarkStart w:id="205" w:name="_Ref105768901"/>
      <w:bookmarkStart w:id="206" w:name="_Toc117153884"/>
      <w:r w:rsidRPr="002E26D2">
        <w:t>NME6 expression in human cell lines</w:t>
      </w:r>
      <w:bookmarkEnd w:id="205"/>
      <w:bookmarkEnd w:id="206"/>
    </w:p>
    <w:p w14:paraId="5E56B8FE" w14:textId="73F0D1CB"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A wide range of cancerous and non-cancerous human cell lines from tissues of different origin (</w:t>
      </w:r>
      <w:r w:rsidR="0062035C" w:rsidRPr="002E26D2">
        <w:rPr>
          <w:rFonts w:ascii="Times New Roman" w:hAnsi="Times New Roman" w:cs="Times New Roman"/>
          <w:sz w:val="24"/>
          <w:szCs w:val="24"/>
        </w:rPr>
        <w:fldChar w:fldCharType="begin"/>
      </w:r>
      <w:r w:rsidR="0062035C" w:rsidRPr="002E26D2">
        <w:rPr>
          <w:rFonts w:ascii="Times New Roman" w:hAnsi="Times New Roman" w:cs="Times New Roman"/>
          <w:sz w:val="24"/>
          <w:szCs w:val="24"/>
        </w:rPr>
        <w:instrText xml:space="preserve"> REF _Ref106008760 \h </w:instrText>
      </w:r>
      <w:r w:rsidR="002E26D2" w:rsidRPr="002E26D2">
        <w:rPr>
          <w:rFonts w:ascii="Times New Roman" w:hAnsi="Times New Roman" w:cs="Times New Roman"/>
          <w:sz w:val="24"/>
          <w:szCs w:val="24"/>
        </w:rPr>
        <w:instrText xml:space="preserve"> \* MERGEFORMAT </w:instrText>
      </w:r>
      <w:r w:rsidR="0062035C" w:rsidRPr="002E26D2">
        <w:rPr>
          <w:rFonts w:ascii="Times New Roman" w:hAnsi="Times New Roman" w:cs="Times New Roman"/>
          <w:sz w:val="24"/>
          <w:szCs w:val="24"/>
        </w:rPr>
      </w:r>
      <w:r w:rsidR="0062035C"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Table </w:t>
      </w:r>
      <w:r w:rsidR="00790F77">
        <w:rPr>
          <w:rFonts w:ascii="Times New Roman" w:hAnsi="Times New Roman" w:cs="Times New Roman"/>
          <w:noProof/>
          <w:sz w:val="24"/>
          <w:szCs w:val="24"/>
        </w:rPr>
        <w:t>10</w:t>
      </w:r>
      <w:r w:rsidR="0062035C" w:rsidRPr="002E26D2">
        <w:rPr>
          <w:rFonts w:ascii="Times New Roman" w:hAnsi="Times New Roman" w:cs="Times New Roman"/>
          <w:sz w:val="24"/>
          <w:szCs w:val="24"/>
        </w:rPr>
        <w:fldChar w:fldCharType="end"/>
      </w:r>
      <w:r w:rsidRPr="002E26D2">
        <w:rPr>
          <w:rFonts w:ascii="Times New Roman" w:hAnsi="Times New Roman" w:cs="Times New Roman"/>
          <w:sz w:val="24"/>
          <w:szCs w:val="24"/>
        </w:rPr>
        <w:t>) were used to determine the expression profile of endogenous NME6 in human. Extracted proteins were analyzed by Western blot using anti-NME6 and anti-β-actin (</w:t>
      </w:r>
      <w:r w:rsidR="002B4D22" w:rsidRPr="002E26D2">
        <w:rPr>
          <w:rFonts w:ascii="Times New Roman" w:hAnsi="Times New Roman" w:cs="Times New Roman"/>
          <w:sz w:val="24"/>
          <w:szCs w:val="24"/>
        </w:rPr>
        <w:fldChar w:fldCharType="begin"/>
      </w:r>
      <w:r w:rsidR="002B4D22" w:rsidRPr="002E26D2">
        <w:rPr>
          <w:rFonts w:ascii="Times New Roman" w:hAnsi="Times New Roman" w:cs="Times New Roman"/>
          <w:sz w:val="24"/>
          <w:szCs w:val="24"/>
        </w:rPr>
        <w:instrText xml:space="preserve"> REF _Ref106009679 \h </w:instrText>
      </w:r>
      <w:r w:rsidR="002E26D2" w:rsidRPr="002E26D2">
        <w:rPr>
          <w:rFonts w:ascii="Times New Roman" w:hAnsi="Times New Roman" w:cs="Times New Roman"/>
          <w:sz w:val="24"/>
          <w:szCs w:val="24"/>
        </w:rPr>
        <w:instrText xml:space="preserve"> \* MERGEFORMAT </w:instrText>
      </w:r>
      <w:r w:rsidR="002B4D22" w:rsidRPr="002E26D2">
        <w:rPr>
          <w:rFonts w:ascii="Times New Roman" w:hAnsi="Times New Roman" w:cs="Times New Roman"/>
          <w:sz w:val="24"/>
          <w:szCs w:val="24"/>
        </w:rPr>
      </w:r>
      <w:r w:rsidR="002B4D22"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27</w:t>
      </w:r>
      <w:r w:rsidR="002B4D22" w:rsidRPr="002E26D2">
        <w:rPr>
          <w:rFonts w:ascii="Times New Roman" w:hAnsi="Times New Roman" w:cs="Times New Roman"/>
          <w:sz w:val="24"/>
          <w:szCs w:val="24"/>
        </w:rPr>
        <w:fldChar w:fldCharType="end"/>
      </w:r>
      <w:r w:rsidRPr="002E26D2">
        <w:rPr>
          <w:rFonts w:ascii="Times New Roman" w:hAnsi="Times New Roman" w:cs="Times New Roman"/>
          <w:sz w:val="24"/>
          <w:szCs w:val="24"/>
        </w:rPr>
        <w:t>). Every cell line exhibited a single band below 20</w:t>
      </w:r>
      <w:r w:rsidR="00C534FC">
        <w:rPr>
          <w:rFonts w:ascii="Times New Roman" w:hAnsi="Times New Roman" w:cs="Times New Roman"/>
          <w:sz w:val="24"/>
          <w:szCs w:val="24"/>
        </w:rPr>
        <w:t xml:space="preserve"> </w:t>
      </w:r>
      <w:r w:rsidRPr="002E26D2">
        <w:rPr>
          <w:rFonts w:ascii="Times New Roman" w:hAnsi="Times New Roman" w:cs="Times New Roman"/>
          <w:sz w:val="24"/>
          <w:szCs w:val="24"/>
        </w:rPr>
        <w:t>kDa upon NME6 detection, even though two isoforms have been described in the literature. The expression intensity slightly varied among cell lines, but NME6 signal was always detected. Since all cell lines showed a similar expression pattern, we chose to use MDA-MB-231T, already widely used as a model system in the NME field, as a key model for our further investigations.</w:t>
      </w:r>
    </w:p>
    <w:p w14:paraId="66B1E043" w14:textId="77777777" w:rsidR="003628AD"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1BB22A77" wp14:editId="4628539E">
            <wp:extent cx="5760000" cy="3083774"/>
            <wp:effectExtent l="0" t="0" r="0" b="2540"/>
            <wp:docPr id="78" name="Picture 77">
              <a:extLst xmlns:a="http://schemas.openxmlformats.org/drawingml/2006/main">
                <a:ext uri="{FF2B5EF4-FFF2-40B4-BE49-F238E27FC236}">
                  <a16:creationId xmlns:a16="http://schemas.microsoft.com/office/drawing/2014/main" id="{35F61AC3-2D6E-4664-8C08-348703FD7D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a:extLst>
                        <a:ext uri="{FF2B5EF4-FFF2-40B4-BE49-F238E27FC236}">
                          <a16:creationId xmlns:a16="http://schemas.microsoft.com/office/drawing/2014/main" id="{35F61AC3-2D6E-4664-8C08-348703FD7D47}"/>
                        </a:ext>
                      </a:extLst>
                    </pic:cNvPr>
                    <pic:cNvPicPr>
                      <a:picLocks noChangeAspect="1"/>
                    </pic:cNvPicPr>
                  </pic:nvPicPr>
                  <pic:blipFill rotWithShape="1">
                    <a:blip r:embed="rId42"/>
                    <a:srcRect l="14429" t="6448" r="15097" b="43436"/>
                    <a:stretch/>
                  </pic:blipFill>
                  <pic:spPr bwMode="auto">
                    <a:xfrm>
                      <a:off x="0" y="0"/>
                      <a:ext cx="5760000" cy="3083774"/>
                    </a:xfrm>
                    <a:prstGeom prst="rect">
                      <a:avLst/>
                    </a:prstGeom>
                    <a:ln>
                      <a:noFill/>
                    </a:ln>
                    <a:extLst>
                      <a:ext uri="{53640926-AAD7-44D8-BBD7-CCE9431645EC}">
                        <a14:shadowObscured xmlns:a14="http://schemas.microsoft.com/office/drawing/2010/main"/>
                      </a:ext>
                    </a:extLst>
                  </pic:spPr>
                </pic:pic>
              </a:graphicData>
            </a:graphic>
          </wp:inline>
        </w:drawing>
      </w:r>
    </w:p>
    <w:p w14:paraId="6F0BF83C" w14:textId="1C82C8CD" w:rsidR="00C534FC" w:rsidRDefault="003628AD" w:rsidP="004927BB">
      <w:pPr>
        <w:pStyle w:val="Caption"/>
        <w:spacing w:line="360" w:lineRule="auto"/>
        <w:rPr>
          <w:rFonts w:ascii="Times New Roman" w:hAnsi="Times New Roman" w:cs="Times New Roman"/>
          <w:sz w:val="24"/>
          <w:szCs w:val="24"/>
        </w:rPr>
      </w:pPr>
      <w:bookmarkStart w:id="207" w:name="_Ref106009679"/>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27</w:t>
      </w:r>
      <w:r w:rsidRPr="002E26D2">
        <w:rPr>
          <w:rFonts w:ascii="Times New Roman" w:hAnsi="Times New Roman" w:cs="Times New Roman"/>
          <w:sz w:val="24"/>
          <w:szCs w:val="24"/>
        </w:rPr>
        <w:fldChar w:fldCharType="end"/>
      </w:r>
      <w:bookmarkStart w:id="208" w:name="_Ref105753077"/>
      <w:bookmarkEnd w:id="207"/>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Endogenous NME6 is ubiquitously expressed as a single protein in cancer and non-cancer human cell lines.</w:t>
      </w:r>
      <w:r w:rsidR="000B3AF7" w:rsidRPr="002E26D2">
        <w:rPr>
          <w:rFonts w:ascii="Times New Roman" w:hAnsi="Times New Roman" w:cs="Times New Roman"/>
          <w:sz w:val="24"/>
          <w:szCs w:val="24"/>
        </w:rPr>
        <w:t xml:space="preserve"> The cell lysates were evenly loaded on SDS-PAGE and analyzed by Western blot using NME6 and β-actin antibodies.</w:t>
      </w:r>
      <w:bookmarkEnd w:id="208"/>
    </w:p>
    <w:p w14:paraId="50A4E541" w14:textId="77777777" w:rsidR="00C534FC" w:rsidRDefault="00C534FC">
      <w:pPr>
        <w:rPr>
          <w:rFonts w:ascii="Times New Roman" w:eastAsia="Calibri" w:hAnsi="Times New Roman" w:cs="Times New Roman"/>
          <w:bCs/>
          <w:i/>
          <w:sz w:val="24"/>
          <w:szCs w:val="24"/>
        </w:rPr>
      </w:pPr>
      <w:r>
        <w:rPr>
          <w:rFonts w:ascii="Times New Roman" w:hAnsi="Times New Roman" w:cs="Times New Roman"/>
          <w:sz w:val="24"/>
          <w:szCs w:val="24"/>
        </w:rPr>
        <w:br w:type="page"/>
      </w:r>
    </w:p>
    <w:p w14:paraId="393F0178" w14:textId="3BB7C606" w:rsidR="000B3AF7" w:rsidRPr="002E26D2" w:rsidRDefault="000B3AF7" w:rsidP="003775DE">
      <w:pPr>
        <w:pStyle w:val="Heading3"/>
      </w:pPr>
      <w:bookmarkStart w:id="209" w:name="_Toc117153885"/>
      <w:r w:rsidRPr="002E26D2">
        <w:lastRenderedPageBreak/>
        <w:t>Detection of NME6 isoforms by Western blot</w:t>
      </w:r>
      <w:bookmarkEnd w:id="209"/>
    </w:p>
    <w:p w14:paraId="4128332F" w14:textId="1CAD5D28"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A Western blot was conducted using cell lysates from </w:t>
      </w:r>
      <w:r w:rsidR="00C534FC">
        <w:rPr>
          <w:rFonts w:ascii="Times New Roman" w:hAnsi="Times New Roman" w:cs="Times New Roman"/>
          <w:sz w:val="24"/>
          <w:szCs w:val="24"/>
        </w:rPr>
        <w:t xml:space="preserve">WT </w:t>
      </w:r>
      <w:r w:rsidRPr="002E26D2">
        <w:rPr>
          <w:rFonts w:ascii="Times New Roman" w:hAnsi="Times New Roman" w:cs="Times New Roman"/>
          <w:sz w:val="24"/>
          <w:szCs w:val="24"/>
        </w:rPr>
        <w:t>MDA-MB-231T (control), KI clones overexpressing NME6-186-FLAG and NME6-194-FLAG (</w:t>
      </w:r>
      <w:r w:rsidR="002B4D22" w:rsidRPr="002E26D2">
        <w:rPr>
          <w:rFonts w:ascii="Times New Roman" w:hAnsi="Times New Roman" w:cs="Times New Roman"/>
          <w:sz w:val="24"/>
          <w:szCs w:val="24"/>
        </w:rPr>
        <w:fldChar w:fldCharType="begin"/>
      </w:r>
      <w:r w:rsidR="002B4D22" w:rsidRPr="002E26D2">
        <w:rPr>
          <w:rFonts w:ascii="Times New Roman" w:hAnsi="Times New Roman" w:cs="Times New Roman"/>
          <w:sz w:val="24"/>
          <w:szCs w:val="24"/>
        </w:rPr>
        <w:instrText xml:space="preserve"> REF _Ref106009696 \h </w:instrText>
      </w:r>
      <w:r w:rsidR="002E26D2" w:rsidRPr="002E26D2">
        <w:rPr>
          <w:rFonts w:ascii="Times New Roman" w:hAnsi="Times New Roman" w:cs="Times New Roman"/>
          <w:sz w:val="24"/>
          <w:szCs w:val="24"/>
        </w:rPr>
        <w:instrText xml:space="preserve"> \* MERGEFORMAT </w:instrText>
      </w:r>
      <w:r w:rsidR="002B4D22" w:rsidRPr="002E26D2">
        <w:rPr>
          <w:rFonts w:ascii="Times New Roman" w:hAnsi="Times New Roman" w:cs="Times New Roman"/>
          <w:sz w:val="24"/>
          <w:szCs w:val="24"/>
        </w:rPr>
      </w:r>
      <w:r w:rsidR="002B4D22"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28</w:t>
      </w:r>
      <w:r w:rsidR="002B4D22"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using anti-NME6 antibody. The control displayed a signal for endogenous NME6 way below 20 kDa. The KI of NME6-186-FLAG resulted in a single band at 20 kDa, while the KI of NME6-194-FLAG resulted in two separate bands, corresponding from up to down to NME6-194-FLAG and NME6-186-FLAG. Results showed that the two isoforms could be discriminated by Western blot based on their molecular weight. Interestingly, it can be noticed that when the cells were forced to produce the NME6-194-FLAG protein, they also produced the NME6-186-FLAG protein. As mentioned earlier (section </w:t>
      </w:r>
      <w:r w:rsidR="00463A19" w:rsidRPr="002E26D2">
        <w:rPr>
          <w:rFonts w:ascii="Times New Roman" w:hAnsi="Times New Roman" w:cs="Times New Roman"/>
          <w:sz w:val="24"/>
          <w:szCs w:val="24"/>
        </w:rPr>
        <w:fldChar w:fldCharType="begin"/>
      </w:r>
      <w:r w:rsidR="00463A19" w:rsidRPr="002E26D2">
        <w:rPr>
          <w:rFonts w:ascii="Times New Roman" w:hAnsi="Times New Roman" w:cs="Times New Roman"/>
          <w:sz w:val="24"/>
          <w:szCs w:val="24"/>
        </w:rPr>
        <w:instrText xml:space="preserve"> REF _Ref105769163 \r \h </w:instrText>
      </w:r>
      <w:r w:rsidR="002E26D2" w:rsidRPr="002E26D2">
        <w:rPr>
          <w:rFonts w:ascii="Times New Roman" w:hAnsi="Times New Roman" w:cs="Times New Roman"/>
          <w:sz w:val="24"/>
          <w:szCs w:val="24"/>
        </w:rPr>
        <w:instrText xml:space="preserve"> \* MERGEFORMAT </w:instrText>
      </w:r>
      <w:r w:rsidR="00463A19" w:rsidRPr="002E26D2">
        <w:rPr>
          <w:rFonts w:ascii="Times New Roman" w:hAnsi="Times New Roman" w:cs="Times New Roman"/>
          <w:sz w:val="24"/>
          <w:szCs w:val="24"/>
        </w:rPr>
      </w:r>
      <w:r w:rsidR="00463A19"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4.1.1</w:t>
      </w:r>
      <w:r w:rsidR="00463A19"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expression of the exogenous FLAG-tagged protein somehow leads to a decrease of the endogenous NME6</w:t>
      </w:r>
      <w:r w:rsidR="00C534FC">
        <w:rPr>
          <w:rFonts w:ascii="Times New Roman" w:hAnsi="Times New Roman" w:cs="Times New Roman"/>
          <w:sz w:val="24"/>
          <w:szCs w:val="24"/>
        </w:rPr>
        <w:t xml:space="preserve"> at the</w:t>
      </w:r>
      <w:r w:rsidRPr="002E26D2">
        <w:rPr>
          <w:rFonts w:ascii="Times New Roman" w:hAnsi="Times New Roman" w:cs="Times New Roman"/>
          <w:sz w:val="24"/>
          <w:szCs w:val="24"/>
        </w:rPr>
        <w:t xml:space="preserve"> </w:t>
      </w:r>
      <w:r w:rsidR="00AF17AC">
        <w:rPr>
          <w:rFonts w:ascii="Times New Roman" w:hAnsi="Times New Roman" w:cs="Times New Roman"/>
          <w:sz w:val="24"/>
          <w:szCs w:val="24"/>
        </w:rPr>
        <w:t xml:space="preserve">protein </w:t>
      </w:r>
      <w:r w:rsidRPr="002E26D2">
        <w:rPr>
          <w:rFonts w:ascii="Times New Roman" w:hAnsi="Times New Roman" w:cs="Times New Roman"/>
          <w:sz w:val="24"/>
          <w:szCs w:val="24"/>
        </w:rPr>
        <w:t>level</w:t>
      </w:r>
      <w:r w:rsidR="00433527">
        <w:rPr>
          <w:rFonts w:ascii="Times New Roman" w:hAnsi="Times New Roman" w:cs="Times New Roman"/>
          <w:sz w:val="24"/>
          <w:szCs w:val="24"/>
        </w:rPr>
        <w:t>.</w:t>
      </w:r>
      <w:r w:rsidRPr="002E26D2">
        <w:rPr>
          <w:rFonts w:ascii="Times New Roman" w:hAnsi="Times New Roman" w:cs="Times New Roman"/>
          <w:sz w:val="24"/>
          <w:szCs w:val="24"/>
        </w:rPr>
        <w:t xml:space="preserve"> </w:t>
      </w:r>
    </w:p>
    <w:p w14:paraId="3C3297BE" w14:textId="77777777" w:rsidR="00D072AB"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1E81CED4" wp14:editId="60419583">
            <wp:extent cx="3333115" cy="2781208"/>
            <wp:effectExtent l="0" t="0" r="635" b="635"/>
            <wp:docPr id="43" name="Picture 77">
              <a:extLst xmlns:a="http://schemas.openxmlformats.org/drawingml/2006/main">
                <a:ext uri="{FF2B5EF4-FFF2-40B4-BE49-F238E27FC236}">
                  <a16:creationId xmlns:a16="http://schemas.microsoft.com/office/drawing/2014/main" id="{35F61AC3-2D6E-4664-8C08-348703FD7D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a:extLst>
                        <a:ext uri="{FF2B5EF4-FFF2-40B4-BE49-F238E27FC236}">
                          <a16:creationId xmlns:a16="http://schemas.microsoft.com/office/drawing/2014/main" id="{35F61AC3-2D6E-4664-8C08-348703FD7D47}"/>
                        </a:ext>
                      </a:extLst>
                    </pic:cNvPr>
                    <pic:cNvPicPr>
                      <a:picLocks noChangeAspect="1"/>
                    </pic:cNvPicPr>
                  </pic:nvPicPr>
                  <pic:blipFill rotWithShape="1">
                    <a:blip r:embed="rId42"/>
                    <a:srcRect l="7633" t="57850" r="56855" b="2794"/>
                    <a:stretch/>
                  </pic:blipFill>
                  <pic:spPr bwMode="auto">
                    <a:xfrm>
                      <a:off x="0" y="0"/>
                      <a:ext cx="3341659" cy="2788337"/>
                    </a:xfrm>
                    <a:prstGeom prst="rect">
                      <a:avLst/>
                    </a:prstGeom>
                    <a:ln>
                      <a:noFill/>
                    </a:ln>
                    <a:extLst>
                      <a:ext uri="{53640926-AAD7-44D8-BBD7-CCE9431645EC}">
                        <a14:shadowObscured xmlns:a14="http://schemas.microsoft.com/office/drawing/2010/main"/>
                      </a:ext>
                    </a:extLst>
                  </pic:spPr>
                </pic:pic>
              </a:graphicData>
            </a:graphic>
          </wp:inline>
        </w:drawing>
      </w:r>
    </w:p>
    <w:p w14:paraId="46313BEF" w14:textId="24BAAC6C" w:rsidR="00866AF1" w:rsidRDefault="00D072AB" w:rsidP="004927BB">
      <w:pPr>
        <w:pStyle w:val="Caption"/>
        <w:spacing w:line="360" w:lineRule="auto"/>
        <w:rPr>
          <w:rFonts w:ascii="Times New Roman" w:hAnsi="Times New Roman" w:cs="Times New Roman"/>
          <w:sz w:val="24"/>
          <w:szCs w:val="24"/>
        </w:rPr>
      </w:pPr>
      <w:bookmarkStart w:id="210" w:name="_Ref10600969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28</w:t>
      </w:r>
      <w:r w:rsidRPr="002E26D2">
        <w:rPr>
          <w:rFonts w:ascii="Times New Roman" w:hAnsi="Times New Roman" w:cs="Times New Roman"/>
          <w:sz w:val="24"/>
          <w:szCs w:val="24"/>
        </w:rPr>
        <w:fldChar w:fldCharType="end"/>
      </w:r>
      <w:bookmarkStart w:id="211" w:name="_Ref105753099"/>
      <w:bookmarkEnd w:id="210"/>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Discrimination of NME6-186 and NME6-194 by Western blot</w:t>
      </w:r>
      <w:r w:rsidR="00433527">
        <w:rPr>
          <w:rFonts w:ascii="Times New Roman" w:hAnsi="Times New Roman" w:cs="Times New Roman"/>
          <w:sz w:val="24"/>
          <w:szCs w:val="24"/>
          <w:u w:val="single"/>
        </w:rPr>
        <w:t>.</w:t>
      </w:r>
      <w:r w:rsidR="000B3AF7" w:rsidRPr="002E26D2">
        <w:rPr>
          <w:rFonts w:ascii="Times New Roman" w:hAnsi="Times New Roman" w:cs="Times New Roman"/>
          <w:sz w:val="24"/>
          <w:szCs w:val="24"/>
        </w:rPr>
        <w:t xml:space="preserve"> Cell lysates from </w:t>
      </w:r>
      <w:r w:rsidR="00866AF1">
        <w:rPr>
          <w:rFonts w:ascii="Times New Roman" w:hAnsi="Times New Roman" w:cs="Times New Roman"/>
          <w:sz w:val="24"/>
          <w:szCs w:val="24"/>
        </w:rPr>
        <w:t xml:space="preserve">WT </w:t>
      </w:r>
      <w:r w:rsidR="000B3AF7" w:rsidRPr="002E26D2">
        <w:rPr>
          <w:rFonts w:ascii="Times New Roman" w:hAnsi="Times New Roman" w:cs="Times New Roman"/>
          <w:sz w:val="24"/>
          <w:szCs w:val="24"/>
        </w:rPr>
        <w:t xml:space="preserve">MDA-MB-231T (control) and stable clones overexpressing NME6-194-FLAG (KI-194-2) and NME6-186-FLAG (KI-186-1) proteins were evenly loaded and analyzed by Western blot, using anti-NME6 antibody. Overexpression of </w:t>
      </w:r>
      <w:r w:rsidR="00433527">
        <w:rPr>
          <w:rFonts w:ascii="Times New Roman" w:hAnsi="Times New Roman" w:cs="Times New Roman"/>
          <w:sz w:val="24"/>
          <w:szCs w:val="24"/>
        </w:rPr>
        <w:t xml:space="preserve">the </w:t>
      </w:r>
      <w:r w:rsidR="000B3AF7" w:rsidRPr="002E26D2">
        <w:rPr>
          <w:rFonts w:ascii="Times New Roman" w:hAnsi="Times New Roman" w:cs="Times New Roman"/>
          <w:sz w:val="24"/>
          <w:szCs w:val="24"/>
        </w:rPr>
        <w:t>exogenous FLAG-tagged NME6 led to downregulation of endogenous NME6 at the protein level.</w:t>
      </w:r>
      <w:bookmarkEnd w:id="211"/>
    </w:p>
    <w:p w14:paraId="2E188E03" w14:textId="4FDE05A9" w:rsidR="000B3AF7" w:rsidRPr="002E26D2" w:rsidRDefault="000B3AF7" w:rsidP="003775DE">
      <w:pPr>
        <w:pStyle w:val="Heading3"/>
      </w:pPr>
      <w:bookmarkStart w:id="212" w:name="_Toc117153886"/>
      <w:r w:rsidRPr="002E26D2">
        <w:t>NME6-186 isoform predominates in human cells</w:t>
      </w:r>
      <w:bookmarkEnd w:id="212"/>
    </w:p>
    <w:p w14:paraId="7F0CC6D4" w14:textId="322588CB"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 confirm which isoform corresponds to the endogenous NME6, we conducted a Western blot analysis of recombinant NME6-H</w:t>
      </w:r>
      <w:r w:rsidR="00433527">
        <w:rPr>
          <w:rFonts w:ascii="Times New Roman" w:hAnsi="Times New Roman" w:cs="Times New Roman"/>
          <w:sz w:val="24"/>
          <w:szCs w:val="24"/>
        </w:rPr>
        <w:t>is</w:t>
      </w:r>
      <w:r w:rsidRPr="002E26D2">
        <w:rPr>
          <w:rFonts w:ascii="Times New Roman" w:hAnsi="Times New Roman" w:cs="Times New Roman"/>
          <w:sz w:val="24"/>
          <w:szCs w:val="24"/>
        </w:rPr>
        <w:t xml:space="preserve"> proteins partially digested with thrombin</w:t>
      </w:r>
      <w:r w:rsidR="00866AF1">
        <w:rPr>
          <w:rFonts w:ascii="Times New Roman" w:hAnsi="Times New Roman" w:cs="Times New Roman"/>
          <w:sz w:val="24"/>
          <w:szCs w:val="24"/>
        </w:rPr>
        <w:t xml:space="preserve"> (</w:t>
      </w:r>
      <w:r w:rsidR="0005203D">
        <w:rPr>
          <w:rFonts w:ascii="Times New Roman" w:hAnsi="Times New Roman" w:cs="Times New Roman"/>
          <w:sz w:val="24"/>
          <w:szCs w:val="24"/>
        </w:rPr>
        <w:t xml:space="preserve">section </w:t>
      </w:r>
      <w:r w:rsidR="00866AF1">
        <w:rPr>
          <w:rFonts w:ascii="Times New Roman" w:hAnsi="Times New Roman" w:cs="Times New Roman"/>
          <w:sz w:val="24"/>
          <w:szCs w:val="24"/>
        </w:rPr>
        <w:fldChar w:fldCharType="begin"/>
      </w:r>
      <w:r w:rsidR="00866AF1">
        <w:rPr>
          <w:rFonts w:ascii="Times New Roman" w:hAnsi="Times New Roman" w:cs="Times New Roman"/>
          <w:sz w:val="24"/>
          <w:szCs w:val="24"/>
        </w:rPr>
        <w:instrText xml:space="preserve"> REF _Ref107391934 \r \h </w:instrText>
      </w:r>
      <w:r w:rsidR="00866AF1">
        <w:rPr>
          <w:rFonts w:ascii="Times New Roman" w:hAnsi="Times New Roman" w:cs="Times New Roman"/>
          <w:sz w:val="24"/>
          <w:szCs w:val="24"/>
        </w:rPr>
      </w:r>
      <w:r w:rsidR="00866AF1">
        <w:rPr>
          <w:rFonts w:ascii="Times New Roman" w:hAnsi="Times New Roman" w:cs="Times New Roman"/>
          <w:sz w:val="24"/>
          <w:szCs w:val="24"/>
        </w:rPr>
        <w:fldChar w:fldCharType="separate"/>
      </w:r>
      <w:r w:rsidR="00790F77">
        <w:rPr>
          <w:rFonts w:ascii="Times New Roman" w:hAnsi="Times New Roman" w:cs="Times New Roman"/>
          <w:sz w:val="24"/>
          <w:szCs w:val="24"/>
        </w:rPr>
        <w:t>3.2.3.8</w:t>
      </w:r>
      <w:r w:rsidR="00866AF1">
        <w:rPr>
          <w:rFonts w:ascii="Times New Roman" w:hAnsi="Times New Roman" w:cs="Times New Roman"/>
          <w:sz w:val="24"/>
          <w:szCs w:val="24"/>
        </w:rPr>
        <w:fldChar w:fldCharType="end"/>
      </w:r>
      <w:r w:rsidR="00866AF1">
        <w:rPr>
          <w:rFonts w:ascii="Times New Roman" w:hAnsi="Times New Roman" w:cs="Times New Roman"/>
          <w:sz w:val="24"/>
          <w:szCs w:val="24"/>
        </w:rPr>
        <w:t>)</w:t>
      </w:r>
      <w:r w:rsidRPr="002E26D2">
        <w:rPr>
          <w:rFonts w:ascii="Times New Roman" w:hAnsi="Times New Roman" w:cs="Times New Roman"/>
          <w:sz w:val="24"/>
          <w:szCs w:val="24"/>
        </w:rPr>
        <w:t xml:space="preserve">, together with the cell lysates from </w:t>
      </w:r>
      <w:r w:rsidR="00866AF1">
        <w:rPr>
          <w:rFonts w:ascii="Times New Roman" w:hAnsi="Times New Roman" w:cs="Times New Roman"/>
          <w:sz w:val="24"/>
          <w:szCs w:val="24"/>
        </w:rPr>
        <w:t xml:space="preserve">WT </w:t>
      </w:r>
      <w:r w:rsidRPr="002E26D2">
        <w:rPr>
          <w:rFonts w:ascii="Times New Roman" w:hAnsi="Times New Roman" w:cs="Times New Roman"/>
          <w:sz w:val="24"/>
          <w:szCs w:val="24"/>
        </w:rPr>
        <w:t>MDA-MB-231T (control), using anti-NME6 antibody (</w:t>
      </w:r>
      <w:r w:rsidR="002B4D22" w:rsidRPr="002E26D2">
        <w:rPr>
          <w:rFonts w:ascii="Times New Roman" w:hAnsi="Times New Roman" w:cs="Times New Roman"/>
          <w:sz w:val="24"/>
          <w:szCs w:val="24"/>
        </w:rPr>
        <w:fldChar w:fldCharType="begin"/>
      </w:r>
      <w:r w:rsidR="002B4D22" w:rsidRPr="002E26D2">
        <w:rPr>
          <w:rFonts w:ascii="Times New Roman" w:hAnsi="Times New Roman" w:cs="Times New Roman"/>
          <w:sz w:val="24"/>
          <w:szCs w:val="24"/>
        </w:rPr>
        <w:instrText xml:space="preserve"> REF _Ref106009707 \h </w:instrText>
      </w:r>
      <w:r w:rsidR="002E26D2" w:rsidRPr="002E26D2">
        <w:rPr>
          <w:rFonts w:ascii="Times New Roman" w:hAnsi="Times New Roman" w:cs="Times New Roman"/>
          <w:sz w:val="24"/>
          <w:szCs w:val="24"/>
        </w:rPr>
        <w:instrText xml:space="preserve"> \* MERGEFORMAT </w:instrText>
      </w:r>
      <w:r w:rsidR="002B4D22" w:rsidRPr="002E26D2">
        <w:rPr>
          <w:rFonts w:ascii="Times New Roman" w:hAnsi="Times New Roman" w:cs="Times New Roman"/>
          <w:sz w:val="24"/>
          <w:szCs w:val="24"/>
        </w:rPr>
      </w:r>
      <w:r w:rsidR="002B4D22"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29</w:t>
      </w:r>
      <w:r w:rsidR="002B4D22"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aim was to compare the molecular weight of the endogenous and the </w:t>
      </w:r>
      <w:r w:rsidRPr="002E26D2">
        <w:rPr>
          <w:rFonts w:ascii="Times New Roman" w:hAnsi="Times New Roman" w:cs="Times New Roman"/>
          <w:sz w:val="24"/>
          <w:szCs w:val="24"/>
        </w:rPr>
        <w:lastRenderedPageBreak/>
        <w:t>recombinant proteins, the latest after removal of the 6</w:t>
      </w:r>
      <w:r w:rsidR="00C6769A" w:rsidRPr="002E26D2">
        <w:rPr>
          <w:rFonts w:ascii="Times New Roman" w:hAnsi="Times New Roman" w:cs="Times New Roman"/>
          <w:sz w:val="24"/>
          <w:szCs w:val="24"/>
        </w:rPr>
        <w:t>×</w:t>
      </w:r>
      <w:r w:rsidRPr="002E26D2">
        <w:rPr>
          <w:rFonts w:ascii="Times New Roman" w:hAnsi="Times New Roman" w:cs="Times New Roman"/>
          <w:sz w:val="24"/>
          <w:szCs w:val="24"/>
        </w:rPr>
        <w:t>His</w:t>
      </w:r>
      <w:r w:rsidR="0030218B">
        <w:rPr>
          <w:rFonts w:ascii="Times New Roman" w:hAnsi="Times New Roman" w:cs="Times New Roman"/>
          <w:sz w:val="24"/>
          <w:szCs w:val="24"/>
        </w:rPr>
        <w:t>-</w:t>
      </w:r>
      <w:r w:rsidRPr="002E26D2">
        <w:rPr>
          <w:rFonts w:ascii="Times New Roman" w:hAnsi="Times New Roman" w:cs="Times New Roman"/>
          <w:sz w:val="24"/>
          <w:szCs w:val="24"/>
        </w:rPr>
        <w:t>tag residues needed for purification, by thrombin digestion. Results showed that the endogenous NME6 and the recombinant NME6-186 migrated similarly, thus displaying the same molecular weight, while a clear shift was observed between the endogenous NME6 and the recombinant NME6-194. Results strongly indicate that NME6-186 is the isoform that is predominantly expressed in human cell lines.</w:t>
      </w:r>
    </w:p>
    <w:p w14:paraId="6EDE8516" w14:textId="77777777" w:rsidR="00D072AB"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12794285" wp14:editId="50F9B4F8">
            <wp:extent cx="4850793" cy="2583711"/>
            <wp:effectExtent l="0" t="0" r="6985" b="7620"/>
            <wp:docPr id="44" name="Picture 77">
              <a:extLst xmlns:a="http://schemas.openxmlformats.org/drawingml/2006/main">
                <a:ext uri="{FF2B5EF4-FFF2-40B4-BE49-F238E27FC236}">
                  <a16:creationId xmlns:a16="http://schemas.microsoft.com/office/drawing/2014/main" id="{35F61AC3-2D6E-4664-8C08-348703FD7D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7">
                      <a:extLst>
                        <a:ext uri="{FF2B5EF4-FFF2-40B4-BE49-F238E27FC236}">
                          <a16:creationId xmlns:a16="http://schemas.microsoft.com/office/drawing/2014/main" id="{35F61AC3-2D6E-4664-8C08-348703FD7D47}"/>
                        </a:ext>
                      </a:extLst>
                    </pic:cNvPr>
                    <pic:cNvPicPr>
                      <a:picLocks noChangeAspect="1"/>
                    </pic:cNvPicPr>
                  </pic:nvPicPr>
                  <pic:blipFill rotWithShape="1">
                    <a:blip r:embed="rId42"/>
                    <a:srcRect l="45920" t="58961" r="943" b="3450"/>
                    <a:stretch/>
                  </pic:blipFill>
                  <pic:spPr bwMode="auto">
                    <a:xfrm>
                      <a:off x="0" y="0"/>
                      <a:ext cx="4864657" cy="2591096"/>
                    </a:xfrm>
                    <a:prstGeom prst="rect">
                      <a:avLst/>
                    </a:prstGeom>
                    <a:ln>
                      <a:noFill/>
                    </a:ln>
                    <a:extLst>
                      <a:ext uri="{53640926-AAD7-44D8-BBD7-CCE9431645EC}">
                        <a14:shadowObscured xmlns:a14="http://schemas.microsoft.com/office/drawing/2010/main"/>
                      </a:ext>
                    </a:extLst>
                  </pic:spPr>
                </pic:pic>
              </a:graphicData>
            </a:graphic>
          </wp:inline>
        </w:drawing>
      </w:r>
    </w:p>
    <w:p w14:paraId="06E952D2" w14:textId="326333B2" w:rsidR="000B3AF7" w:rsidRPr="002E26D2" w:rsidRDefault="00D072AB" w:rsidP="004927BB">
      <w:pPr>
        <w:pStyle w:val="Caption"/>
        <w:spacing w:line="360" w:lineRule="auto"/>
        <w:rPr>
          <w:rFonts w:ascii="Times New Roman" w:hAnsi="Times New Roman" w:cs="Times New Roman"/>
          <w:sz w:val="24"/>
          <w:szCs w:val="24"/>
        </w:rPr>
      </w:pPr>
      <w:bookmarkStart w:id="213" w:name="_Ref106009707"/>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29</w:t>
      </w:r>
      <w:r w:rsidRPr="002E26D2">
        <w:rPr>
          <w:rFonts w:ascii="Times New Roman" w:hAnsi="Times New Roman" w:cs="Times New Roman"/>
          <w:sz w:val="24"/>
          <w:szCs w:val="24"/>
        </w:rPr>
        <w:fldChar w:fldCharType="end"/>
      </w:r>
      <w:bookmarkStart w:id="214" w:name="_Ref105753122"/>
      <w:bookmarkEnd w:id="213"/>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Western blot analysis of the recombinant and endogenous NME6 proteins.</w:t>
      </w:r>
      <w:r w:rsidR="000B3AF7" w:rsidRPr="002E26D2">
        <w:rPr>
          <w:rFonts w:ascii="Times New Roman" w:hAnsi="Times New Roman" w:cs="Times New Roman"/>
          <w:sz w:val="24"/>
          <w:szCs w:val="24"/>
        </w:rPr>
        <w:t xml:space="preserve"> Human NME6-194-His and NME6-186-His recombinant isoforms were produced in bacteria and purified. The His-tag was partially removed using thrombin and proteins were analyzed by Western blot along with </w:t>
      </w:r>
      <w:r w:rsidR="00F2140E">
        <w:rPr>
          <w:rFonts w:ascii="Times New Roman" w:hAnsi="Times New Roman" w:cs="Times New Roman"/>
          <w:sz w:val="24"/>
          <w:szCs w:val="24"/>
        </w:rPr>
        <w:t xml:space="preserve">the </w:t>
      </w:r>
      <w:r w:rsidR="000B3AF7" w:rsidRPr="002E26D2">
        <w:rPr>
          <w:rFonts w:ascii="Times New Roman" w:hAnsi="Times New Roman" w:cs="Times New Roman"/>
          <w:sz w:val="24"/>
          <w:szCs w:val="24"/>
        </w:rPr>
        <w:t xml:space="preserve">whole cell lysate from </w:t>
      </w:r>
      <w:r w:rsidR="00866AF1">
        <w:rPr>
          <w:rFonts w:ascii="Times New Roman" w:hAnsi="Times New Roman" w:cs="Times New Roman"/>
          <w:sz w:val="24"/>
          <w:szCs w:val="24"/>
        </w:rPr>
        <w:t xml:space="preserve">WT </w:t>
      </w:r>
      <w:r w:rsidR="000B3AF7" w:rsidRPr="002E26D2">
        <w:rPr>
          <w:rFonts w:ascii="Times New Roman" w:hAnsi="Times New Roman" w:cs="Times New Roman"/>
          <w:sz w:val="24"/>
          <w:szCs w:val="24"/>
        </w:rPr>
        <w:t>MDA-MB-231T (control), using anti-NME6 antibody. The endogenous NME6 and recombinant NME6-186 display similar migration</w:t>
      </w:r>
      <w:r w:rsidR="00F2140E">
        <w:rPr>
          <w:rFonts w:ascii="Times New Roman" w:hAnsi="Times New Roman" w:cs="Times New Roman"/>
          <w:sz w:val="24"/>
          <w:szCs w:val="24"/>
        </w:rPr>
        <w:t xml:space="preserve"> properties</w:t>
      </w:r>
      <w:r w:rsidR="000B3AF7" w:rsidRPr="002E26D2">
        <w:rPr>
          <w:rFonts w:ascii="Times New Roman" w:hAnsi="Times New Roman" w:cs="Times New Roman"/>
          <w:sz w:val="24"/>
          <w:szCs w:val="24"/>
        </w:rPr>
        <w:t>.</w:t>
      </w:r>
      <w:bookmarkEnd w:id="214"/>
    </w:p>
    <w:p w14:paraId="401AFE15" w14:textId="635F298E" w:rsidR="000B3AF7" w:rsidRPr="002E26D2" w:rsidRDefault="000B3AF7" w:rsidP="003775DE">
      <w:pPr>
        <w:pStyle w:val="Heading3"/>
      </w:pPr>
      <w:bookmarkStart w:id="215" w:name="_Toc117153887"/>
      <w:r w:rsidRPr="002E26D2">
        <w:t>Detection of endogenous NME6 isoforms by mass spectrometry</w:t>
      </w:r>
      <w:bookmarkEnd w:id="215"/>
    </w:p>
    <w:p w14:paraId="66924385" w14:textId="154498E2"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 investigate the presence of endogenous NME6 isoforms in cell lines</w:t>
      </w:r>
      <w:r w:rsidR="00F2140E" w:rsidRPr="00F2140E">
        <w:rPr>
          <w:rFonts w:ascii="Times New Roman" w:hAnsi="Times New Roman" w:cs="Times New Roman"/>
          <w:sz w:val="24"/>
          <w:szCs w:val="24"/>
        </w:rPr>
        <w:t xml:space="preserve"> </w:t>
      </w:r>
      <w:r w:rsidR="00F2140E" w:rsidRPr="002E26D2">
        <w:rPr>
          <w:rFonts w:ascii="Times New Roman" w:hAnsi="Times New Roman" w:cs="Times New Roman"/>
          <w:sz w:val="24"/>
          <w:szCs w:val="24"/>
        </w:rPr>
        <w:t>with maximum sensitivity</w:t>
      </w:r>
      <w:r w:rsidRPr="002E26D2">
        <w:rPr>
          <w:rFonts w:ascii="Times New Roman" w:hAnsi="Times New Roman" w:cs="Times New Roman"/>
          <w:sz w:val="24"/>
          <w:szCs w:val="24"/>
        </w:rPr>
        <w:t>, mass spectrometry experiments were designed and conducted on MDA-MB-231T and HeLa cell lysates. A multiple reaction monitoring (</w:t>
      </w:r>
      <w:r w:rsidR="00ED4CE2">
        <w:rPr>
          <w:rFonts w:ascii="Times New Roman" w:hAnsi="Times New Roman" w:cs="Times New Roman"/>
          <w:sz w:val="24"/>
          <w:szCs w:val="24"/>
        </w:rPr>
        <w:t xml:space="preserve">section </w:t>
      </w:r>
      <w:r w:rsidR="00E14918" w:rsidRPr="002E26D2">
        <w:rPr>
          <w:rFonts w:ascii="Times New Roman" w:hAnsi="Times New Roman" w:cs="Times New Roman"/>
          <w:sz w:val="24"/>
          <w:szCs w:val="24"/>
        </w:rPr>
        <w:fldChar w:fldCharType="begin"/>
      </w:r>
      <w:r w:rsidR="00E14918" w:rsidRPr="002E26D2">
        <w:rPr>
          <w:rFonts w:ascii="Times New Roman" w:hAnsi="Times New Roman" w:cs="Times New Roman"/>
          <w:sz w:val="24"/>
          <w:szCs w:val="24"/>
        </w:rPr>
        <w:instrText xml:space="preserve"> REF _Ref105769196 \r \h </w:instrText>
      </w:r>
      <w:r w:rsidR="002E26D2" w:rsidRPr="002E26D2">
        <w:rPr>
          <w:rFonts w:ascii="Times New Roman" w:hAnsi="Times New Roman" w:cs="Times New Roman"/>
          <w:sz w:val="24"/>
          <w:szCs w:val="24"/>
        </w:rPr>
        <w:instrText xml:space="preserve"> \* MERGEFORMAT </w:instrText>
      </w:r>
      <w:r w:rsidR="00E14918" w:rsidRPr="002E26D2">
        <w:rPr>
          <w:rFonts w:ascii="Times New Roman" w:hAnsi="Times New Roman" w:cs="Times New Roman"/>
          <w:sz w:val="24"/>
          <w:szCs w:val="24"/>
        </w:rPr>
      </w:r>
      <w:r w:rsidR="00E14918"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3.2.3.10</w:t>
      </w:r>
      <w:r w:rsidR="00E14918" w:rsidRPr="002E26D2">
        <w:rPr>
          <w:rFonts w:ascii="Times New Roman" w:hAnsi="Times New Roman" w:cs="Times New Roman"/>
          <w:sz w:val="24"/>
          <w:szCs w:val="24"/>
        </w:rPr>
        <w:fldChar w:fldCharType="end"/>
      </w:r>
      <w:r w:rsidRPr="002E26D2">
        <w:rPr>
          <w:rFonts w:ascii="Times New Roman" w:hAnsi="Times New Roman" w:cs="Times New Roman"/>
          <w:sz w:val="24"/>
          <w:szCs w:val="24"/>
        </w:rPr>
        <w:t>) approach allowed the separated detection of endogenous NME6-186 and NME6-194 (</w:t>
      </w:r>
      <w:r w:rsidR="00B95633" w:rsidRPr="002E26D2">
        <w:rPr>
          <w:rFonts w:ascii="Times New Roman" w:hAnsi="Times New Roman" w:cs="Times New Roman"/>
          <w:sz w:val="24"/>
          <w:szCs w:val="24"/>
        </w:rPr>
        <w:fldChar w:fldCharType="begin"/>
      </w:r>
      <w:r w:rsidR="00B95633" w:rsidRPr="002E26D2">
        <w:rPr>
          <w:rFonts w:ascii="Times New Roman" w:hAnsi="Times New Roman" w:cs="Times New Roman"/>
          <w:sz w:val="24"/>
          <w:szCs w:val="24"/>
        </w:rPr>
        <w:instrText xml:space="preserve"> REF _Ref106009727 \h </w:instrText>
      </w:r>
      <w:r w:rsidR="002E26D2" w:rsidRPr="002E26D2">
        <w:rPr>
          <w:rFonts w:ascii="Times New Roman" w:hAnsi="Times New Roman" w:cs="Times New Roman"/>
          <w:sz w:val="24"/>
          <w:szCs w:val="24"/>
        </w:rPr>
        <w:instrText xml:space="preserve"> \* MERGEFORMAT </w:instrText>
      </w:r>
      <w:r w:rsidR="00B95633" w:rsidRPr="002E26D2">
        <w:rPr>
          <w:rFonts w:ascii="Times New Roman" w:hAnsi="Times New Roman" w:cs="Times New Roman"/>
          <w:sz w:val="24"/>
          <w:szCs w:val="24"/>
        </w:rPr>
      </w:r>
      <w:r w:rsidR="00B95633"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30</w:t>
      </w:r>
      <w:r w:rsidR="00B95633"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Results showed that both isoforms were expressed at a protein level in cell lines analyzed, even </w:t>
      </w:r>
      <w:r w:rsidR="008C6C9E" w:rsidRPr="002E26D2">
        <w:rPr>
          <w:rFonts w:ascii="Times New Roman" w:hAnsi="Times New Roman" w:cs="Times New Roman"/>
          <w:sz w:val="24"/>
          <w:szCs w:val="24"/>
        </w:rPr>
        <w:t>though</w:t>
      </w:r>
      <w:r w:rsidRPr="002E26D2">
        <w:rPr>
          <w:rFonts w:ascii="Times New Roman" w:hAnsi="Times New Roman" w:cs="Times New Roman"/>
          <w:sz w:val="24"/>
          <w:szCs w:val="24"/>
        </w:rPr>
        <w:t xml:space="preserve"> NME6-194 escaped the immunoblotting detection (</w:t>
      </w:r>
      <w:r w:rsidR="00B95633" w:rsidRPr="002E26D2">
        <w:rPr>
          <w:rFonts w:ascii="Times New Roman" w:hAnsi="Times New Roman" w:cs="Times New Roman"/>
          <w:sz w:val="24"/>
          <w:szCs w:val="24"/>
        </w:rPr>
        <w:fldChar w:fldCharType="begin"/>
      </w:r>
      <w:r w:rsidR="00B95633" w:rsidRPr="002E26D2">
        <w:rPr>
          <w:rFonts w:ascii="Times New Roman" w:hAnsi="Times New Roman" w:cs="Times New Roman"/>
          <w:sz w:val="24"/>
          <w:szCs w:val="24"/>
        </w:rPr>
        <w:instrText xml:space="preserve"> REF _Ref106009679 \h </w:instrText>
      </w:r>
      <w:r w:rsidR="002E26D2" w:rsidRPr="002E26D2">
        <w:rPr>
          <w:rFonts w:ascii="Times New Roman" w:hAnsi="Times New Roman" w:cs="Times New Roman"/>
          <w:sz w:val="24"/>
          <w:szCs w:val="24"/>
        </w:rPr>
        <w:instrText xml:space="preserve"> \* MERGEFORMAT </w:instrText>
      </w:r>
      <w:r w:rsidR="00B95633" w:rsidRPr="002E26D2">
        <w:rPr>
          <w:rFonts w:ascii="Times New Roman" w:hAnsi="Times New Roman" w:cs="Times New Roman"/>
          <w:sz w:val="24"/>
          <w:szCs w:val="24"/>
        </w:rPr>
      </w:r>
      <w:r w:rsidR="00B95633"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27</w:t>
      </w:r>
      <w:r w:rsidR="00B95633"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5C3E0126" w14:textId="77777777" w:rsidR="00D072AB"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16A060F8" wp14:editId="247A09DC">
            <wp:extent cx="5760000" cy="431457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00" cy="4314576"/>
                    </a:xfrm>
                    <a:prstGeom prst="rect">
                      <a:avLst/>
                    </a:prstGeom>
                    <a:noFill/>
                    <a:ln>
                      <a:noFill/>
                    </a:ln>
                  </pic:spPr>
                </pic:pic>
              </a:graphicData>
            </a:graphic>
          </wp:inline>
        </w:drawing>
      </w:r>
    </w:p>
    <w:p w14:paraId="5557EEEF" w14:textId="3931EDA7" w:rsidR="00C96E02" w:rsidRDefault="00D072AB" w:rsidP="004927BB">
      <w:pPr>
        <w:pStyle w:val="Caption"/>
        <w:spacing w:line="360" w:lineRule="auto"/>
        <w:rPr>
          <w:rFonts w:ascii="Times New Roman" w:hAnsi="Times New Roman" w:cs="Times New Roman"/>
          <w:sz w:val="24"/>
          <w:szCs w:val="24"/>
        </w:rPr>
      </w:pPr>
      <w:bookmarkStart w:id="216" w:name="_Ref106009727"/>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30</w:t>
      </w:r>
      <w:r w:rsidRPr="002E26D2">
        <w:rPr>
          <w:rFonts w:ascii="Times New Roman" w:hAnsi="Times New Roman" w:cs="Times New Roman"/>
          <w:sz w:val="24"/>
          <w:szCs w:val="24"/>
        </w:rPr>
        <w:fldChar w:fldCharType="end"/>
      </w:r>
      <w:bookmarkStart w:id="217" w:name="_Ref105753145"/>
      <w:bookmarkEnd w:id="216"/>
      <w:r w:rsidRPr="002E26D2">
        <w:rPr>
          <w:rFonts w:ascii="Times New Roman" w:hAnsi="Times New Roman" w:cs="Times New Roman"/>
          <w:sz w:val="24"/>
          <w:szCs w:val="24"/>
        </w:rPr>
        <w:t xml:space="preserve"> </w:t>
      </w:r>
      <w:r w:rsidR="000B3AF7" w:rsidRPr="001217A3">
        <w:rPr>
          <w:rFonts w:ascii="Times New Roman" w:hAnsi="Times New Roman" w:cs="Times New Roman"/>
          <w:sz w:val="24"/>
          <w:szCs w:val="24"/>
          <w:u w:val="single"/>
        </w:rPr>
        <w:t>: Mass spectrometry analysis reveals the presence of both endogenous NME6-186 and NME6-194 isoforms in human cell lines at a protein level.</w:t>
      </w:r>
      <w:r w:rsidR="000B3AF7" w:rsidRPr="002E26D2">
        <w:rPr>
          <w:rFonts w:ascii="Times New Roman" w:hAnsi="Times New Roman" w:cs="Times New Roman"/>
          <w:sz w:val="24"/>
          <w:szCs w:val="24"/>
        </w:rPr>
        <w:t xml:space="preserve"> Mass spectrometry analysis of HeLa and MDA-MB-231T cell lysates was designed to detect separately </w:t>
      </w:r>
      <w:r w:rsidR="000B3AF7" w:rsidRPr="002E26D2">
        <w:rPr>
          <w:rFonts w:ascii="Times New Roman" w:hAnsi="Times New Roman" w:cs="Times New Roman"/>
          <w:b/>
          <w:sz w:val="24"/>
          <w:szCs w:val="24"/>
        </w:rPr>
        <w:t>a, c</w:t>
      </w:r>
      <w:r w:rsidR="000B3AF7" w:rsidRPr="002E26D2">
        <w:rPr>
          <w:rFonts w:ascii="Times New Roman" w:hAnsi="Times New Roman" w:cs="Times New Roman"/>
          <w:sz w:val="24"/>
          <w:szCs w:val="24"/>
        </w:rPr>
        <w:t xml:space="preserve"> NME6-186 and </w:t>
      </w:r>
      <w:r w:rsidR="000B3AF7" w:rsidRPr="002E26D2">
        <w:rPr>
          <w:rFonts w:ascii="Times New Roman" w:hAnsi="Times New Roman" w:cs="Times New Roman"/>
          <w:b/>
          <w:sz w:val="24"/>
          <w:szCs w:val="24"/>
        </w:rPr>
        <w:t>b, d</w:t>
      </w:r>
      <w:r w:rsidR="000B3AF7" w:rsidRPr="002E26D2">
        <w:rPr>
          <w:rFonts w:ascii="Times New Roman" w:hAnsi="Times New Roman" w:cs="Times New Roman"/>
          <w:sz w:val="24"/>
          <w:szCs w:val="24"/>
        </w:rPr>
        <w:t xml:space="preserve"> NME6-194 endogenous isoforms. Experiments were performed in duplicate (n=2). Both NME6-186 and NME6-194 isoforms were detected, without information about their relative abundance.</w:t>
      </w:r>
      <w:bookmarkEnd w:id="217"/>
    </w:p>
    <w:p w14:paraId="1276B2B6" w14:textId="77777777" w:rsidR="008813DC" w:rsidRDefault="008813DC">
      <w:pPr>
        <w:rPr>
          <w:rFonts w:ascii="Times New Roman" w:eastAsia="Calibri" w:hAnsi="Times New Roman" w:cs="Times New Roman"/>
          <w:bCs/>
          <w:i/>
          <w:sz w:val="24"/>
          <w:szCs w:val="24"/>
        </w:rPr>
      </w:pPr>
    </w:p>
    <w:p w14:paraId="297631AC" w14:textId="3F5D0B16" w:rsidR="000B3AF7" w:rsidRPr="00F836CB" w:rsidRDefault="000B3AF7" w:rsidP="004927BB">
      <w:pPr>
        <w:pStyle w:val="Heading2"/>
        <w:spacing w:line="360" w:lineRule="auto"/>
        <w:rPr>
          <w:rFonts w:cs="Times New Roman"/>
          <w:szCs w:val="28"/>
        </w:rPr>
      </w:pPr>
      <w:bookmarkStart w:id="218" w:name="_Toc117153888"/>
      <w:r w:rsidRPr="00F836CB">
        <w:rPr>
          <w:rFonts w:cs="Times New Roman"/>
          <w:szCs w:val="28"/>
        </w:rPr>
        <w:t>NME6 subcellular localization</w:t>
      </w:r>
      <w:bookmarkEnd w:id="218"/>
    </w:p>
    <w:p w14:paraId="365C6E13" w14:textId="51723E28" w:rsidR="0058585E"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 begin with the fine description of NME6 protein, we aimed to assign a precise cellular localization of endogenous and exogenous NME6 proteins. This was achieved by both immunofluorescent labeling</w:t>
      </w:r>
      <w:r w:rsidR="00C96E02">
        <w:rPr>
          <w:rFonts w:ascii="Times New Roman" w:hAnsi="Times New Roman" w:cs="Times New Roman"/>
          <w:sz w:val="24"/>
          <w:szCs w:val="24"/>
        </w:rPr>
        <w:t xml:space="preserve"> </w:t>
      </w:r>
      <w:r w:rsidRPr="002E26D2">
        <w:rPr>
          <w:rFonts w:ascii="Times New Roman" w:hAnsi="Times New Roman" w:cs="Times New Roman"/>
          <w:sz w:val="24"/>
          <w:szCs w:val="24"/>
        </w:rPr>
        <w:t>or live cell imaging followed by confocal microscopy, and by different techniques of cellular fractionation followed by Western blot.</w:t>
      </w:r>
    </w:p>
    <w:p w14:paraId="26C75AA0" w14:textId="77777777" w:rsidR="0058585E" w:rsidRDefault="0058585E">
      <w:pPr>
        <w:rPr>
          <w:rFonts w:ascii="Times New Roman" w:hAnsi="Times New Roman" w:cs="Times New Roman"/>
          <w:sz w:val="24"/>
          <w:szCs w:val="24"/>
        </w:rPr>
      </w:pPr>
      <w:r>
        <w:rPr>
          <w:rFonts w:ascii="Times New Roman" w:hAnsi="Times New Roman" w:cs="Times New Roman"/>
          <w:sz w:val="24"/>
          <w:szCs w:val="24"/>
        </w:rPr>
        <w:br w:type="page"/>
      </w:r>
    </w:p>
    <w:p w14:paraId="12F79989" w14:textId="5DB89F4C" w:rsidR="000B3AF7" w:rsidRPr="002E26D2" w:rsidRDefault="000B3AF7" w:rsidP="003775DE">
      <w:pPr>
        <w:pStyle w:val="Heading3"/>
      </w:pPr>
      <w:bookmarkStart w:id="219" w:name="_Toc117153889"/>
      <w:r w:rsidRPr="002E26D2">
        <w:lastRenderedPageBreak/>
        <w:t>Immunofluorescent labeling of endogenous NME6</w:t>
      </w:r>
      <w:bookmarkEnd w:id="219"/>
    </w:p>
    <w:p w14:paraId="3FC9CCF3" w14:textId="7010F1E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 visualize endogenous NME6 subcellular localization the cells were transfected with pCFPmito to produce a cyan fluorescent protein targeted to mitochondria labelling the mitochondria in cyan. Cells were fixed, permeabilized and incubated with anti-NME6 antibodies. Confocal images revealed a smooth overlapping signal between NME6 and CFPmito fluorescence, indicating a mitochondrial localization of endogenous NME6 protein</w:t>
      </w:r>
      <w:r w:rsidR="00F048BD" w:rsidRPr="002E26D2">
        <w:rPr>
          <w:rFonts w:ascii="Times New Roman" w:hAnsi="Times New Roman" w:cs="Times New Roman"/>
          <w:sz w:val="24"/>
          <w:szCs w:val="24"/>
        </w:rPr>
        <w:t xml:space="preserve"> </w:t>
      </w:r>
      <w:r w:rsidRPr="002E26D2">
        <w:rPr>
          <w:rFonts w:ascii="Times New Roman" w:hAnsi="Times New Roman" w:cs="Times New Roman"/>
          <w:sz w:val="24"/>
          <w:szCs w:val="24"/>
        </w:rPr>
        <w:t>(</w:t>
      </w:r>
      <w:r w:rsidR="00B95633" w:rsidRPr="002E26D2">
        <w:rPr>
          <w:rFonts w:ascii="Times New Roman" w:hAnsi="Times New Roman" w:cs="Times New Roman"/>
          <w:sz w:val="24"/>
          <w:szCs w:val="24"/>
        </w:rPr>
        <w:fldChar w:fldCharType="begin"/>
      </w:r>
      <w:r w:rsidR="00B95633" w:rsidRPr="002E26D2">
        <w:rPr>
          <w:rFonts w:ascii="Times New Roman" w:hAnsi="Times New Roman" w:cs="Times New Roman"/>
          <w:sz w:val="24"/>
          <w:szCs w:val="24"/>
        </w:rPr>
        <w:instrText xml:space="preserve"> REF _Ref106009747 \h </w:instrText>
      </w:r>
      <w:r w:rsidR="002E26D2" w:rsidRPr="002E26D2">
        <w:rPr>
          <w:rFonts w:ascii="Times New Roman" w:hAnsi="Times New Roman" w:cs="Times New Roman"/>
          <w:sz w:val="24"/>
          <w:szCs w:val="24"/>
        </w:rPr>
        <w:instrText xml:space="preserve"> \* MERGEFORMAT </w:instrText>
      </w:r>
      <w:r w:rsidR="00B95633" w:rsidRPr="002E26D2">
        <w:rPr>
          <w:rFonts w:ascii="Times New Roman" w:hAnsi="Times New Roman" w:cs="Times New Roman"/>
          <w:sz w:val="24"/>
          <w:szCs w:val="24"/>
        </w:rPr>
      </w:r>
      <w:r w:rsidR="00B95633"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31</w:t>
      </w:r>
      <w:r w:rsidR="00B95633"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r w:rsidR="00F048BD" w:rsidRPr="002E26D2">
        <w:rPr>
          <w:rFonts w:ascii="Times New Roman" w:hAnsi="Times New Roman" w:cs="Times New Roman"/>
          <w:sz w:val="24"/>
          <w:szCs w:val="24"/>
        </w:rPr>
        <w:t>.</w:t>
      </w:r>
    </w:p>
    <w:p w14:paraId="1AE9D2B5" w14:textId="77777777" w:rsidR="00D072AB"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2D3E22B2" wp14:editId="002E5B5F">
            <wp:extent cx="5760000" cy="2298012"/>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l="48295" t="1999" r="2508" b="68151"/>
                    <a:stretch/>
                  </pic:blipFill>
                  <pic:spPr bwMode="auto">
                    <a:xfrm>
                      <a:off x="0" y="0"/>
                      <a:ext cx="5760000" cy="2298012"/>
                    </a:xfrm>
                    <a:prstGeom prst="rect">
                      <a:avLst/>
                    </a:prstGeom>
                    <a:noFill/>
                    <a:ln>
                      <a:noFill/>
                    </a:ln>
                    <a:extLst>
                      <a:ext uri="{53640926-AAD7-44D8-BBD7-CCE9431645EC}">
                        <a14:shadowObscured xmlns:a14="http://schemas.microsoft.com/office/drawing/2010/main"/>
                      </a:ext>
                    </a:extLst>
                  </pic:spPr>
                </pic:pic>
              </a:graphicData>
            </a:graphic>
          </wp:inline>
        </w:drawing>
      </w:r>
    </w:p>
    <w:p w14:paraId="0FEE5E27" w14:textId="040A0E7E" w:rsidR="000B3AF7" w:rsidRPr="002E26D2" w:rsidRDefault="00D072AB" w:rsidP="004927BB">
      <w:pPr>
        <w:pStyle w:val="Caption"/>
        <w:spacing w:line="360" w:lineRule="auto"/>
        <w:rPr>
          <w:rFonts w:ascii="Times New Roman" w:hAnsi="Times New Roman" w:cs="Times New Roman"/>
          <w:sz w:val="24"/>
          <w:szCs w:val="24"/>
        </w:rPr>
      </w:pPr>
      <w:bookmarkStart w:id="220" w:name="_Ref106009747"/>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31</w:t>
      </w:r>
      <w:r w:rsidRPr="002E26D2">
        <w:rPr>
          <w:rFonts w:ascii="Times New Roman" w:hAnsi="Times New Roman" w:cs="Times New Roman"/>
          <w:sz w:val="24"/>
          <w:szCs w:val="24"/>
        </w:rPr>
        <w:fldChar w:fldCharType="end"/>
      </w:r>
      <w:bookmarkStart w:id="221" w:name="_Ref105753214"/>
      <w:bookmarkEnd w:id="220"/>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Endogenous NME6 colocalize with mitochondria in fixed cells.</w:t>
      </w:r>
      <w:r w:rsidR="000B3AF7" w:rsidRPr="006441AE">
        <w:rPr>
          <w:rFonts w:ascii="Times New Roman" w:hAnsi="Times New Roman" w:cs="Times New Roman"/>
          <w:sz w:val="24"/>
          <w:szCs w:val="24"/>
        </w:rPr>
        <w:t xml:space="preserve"> </w:t>
      </w:r>
      <w:r w:rsidR="000B3AF7" w:rsidRPr="002E26D2">
        <w:rPr>
          <w:rFonts w:ascii="Times New Roman" w:hAnsi="Times New Roman" w:cs="Times New Roman"/>
          <w:sz w:val="24"/>
          <w:szCs w:val="24"/>
        </w:rPr>
        <w:t>HeLa cells were transfected with pCFPmito (cyan), fixed and stained with NME6 antibody (green), before acquisition by confocal microscopy (scale bar: 10 µm).</w:t>
      </w:r>
      <w:bookmarkEnd w:id="221"/>
    </w:p>
    <w:p w14:paraId="469EBBE9" w14:textId="5BDA19FE" w:rsidR="000B3AF7" w:rsidRPr="002E26D2" w:rsidRDefault="000B3AF7" w:rsidP="003775DE">
      <w:pPr>
        <w:pStyle w:val="Heading3"/>
      </w:pPr>
      <w:bookmarkStart w:id="222" w:name="_Toc117153890"/>
      <w:r w:rsidRPr="002E26D2">
        <w:t>Live cell imaging of exogenous GFP-tagged NME6 isoforms</w:t>
      </w:r>
      <w:bookmarkEnd w:id="222"/>
    </w:p>
    <w:p w14:paraId="529BA6E5" w14:textId="3AD022A6" w:rsidR="005752D3"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Visualization of exogenous NME6 in live cells was performed by transfection of MDA-MB-231T cells to express NME6-GFP, either the 186 or 194 </w:t>
      </w:r>
      <w:r w:rsidR="005752D3" w:rsidRPr="002E26D2">
        <w:rPr>
          <w:rFonts w:ascii="Times New Roman" w:hAnsi="Times New Roman" w:cs="Times New Roman"/>
          <w:sz w:val="24"/>
          <w:szCs w:val="24"/>
        </w:rPr>
        <w:t>isoforms</w:t>
      </w:r>
      <w:r w:rsidRPr="002E26D2">
        <w:rPr>
          <w:rFonts w:ascii="Times New Roman" w:hAnsi="Times New Roman" w:cs="Times New Roman"/>
          <w:sz w:val="24"/>
          <w:szCs w:val="24"/>
        </w:rPr>
        <w:t>. Mitochondria were labelled either by co-transfection with pCFPmito or by MitoTracker staining. Living cells were analyzed under the confocal microscope (</w:t>
      </w:r>
      <w:r w:rsidR="00B95633" w:rsidRPr="002E26D2">
        <w:rPr>
          <w:rFonts w:ascii="Times New Roman" w:hAnsi="Times New Roman" w:cs="Times New Roman"/>
          <w:sz w:val="24"/>
          <w:szCs w:val="24"/>
        </w:rPr>
        <w:fldChar w:fldCharType="begin"/>
      </w:r>
      <w:r w:rsidR="00B95633" w:rsidRPr="002E26D2">
        <w:rPr>
          <w:rFonts w:ascii="Times New Roman" w:hAnsi="Times New Roman" w:cs="Times New Roman"/>
          <w:sz w:val="24"/>
          <w:szCs w:val="24"/>
        </w:rPr>
        <w:instrText xml:space="preserve"> REF _Ref106009756 \h </w:instrText>
      </w:r>
      <w:r w:rsidR="002E26D2" w:rsidRPr="002E26D2">
        <w:rPr>
          <w:rFonts w:ascii="Times New Roman" w:hAnsi="Times New Roman" w:cs="Times New Roman"/>
          <w:sz w:val="24"/>
          <w:szCs w:val="24"/>
        </w:rPr>
        <w:instrText xml:space="preserve"> \* MERGEFORMAT </w:instrText>
      </w:r>
      <w:r w:rsidR="00B95633" w:rsidRPr="002E26D2">
        <w:rPr>
          <w:rFonts w:ascii="Times New Roman" w:hAnsi="Times New Roman" w:cs="Times New Roman"/>
          <w:sz w:val="24"/>
          <w:szCs w:val="24"/>
        </w:rPr>
      </w:r>
      <w:r w:rsidR="00B95633"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32</w:t>
      </w:r>
      <w:r w:rsidR="00B95633" w:rsidRPr="002E26D2">
        <w:rPr>
          <w:rFonts w:ascii="Times New Roman" w:hAnsi="Times New Roman" w:cs="Times New Roman"/>
          <w:sz w:val="24"/>
          <w:szCs w:val="24"/>
        </w:rPr>
        <w:fldChar w:fldCharType="end"/>
      </w:r>
      <w:r w:rsidRPr="002E26D2">
        <w:rPr>
          <w:rFonts w:ascii="Times New Roman" w:hAnsi="Times New Roman" w:cs="Times New Roman"/>
          <w:sz w:val="24"/>
          <w:szCs w:val="24"/>
        </w:rPr>
        <w:t>), revealing an overlapping signal of both exogenous NME6-GFP isoforms with mitotracker or the CFPmito protein, reinforcing the mitochondrial localization of NME6.</w:t>
      </w:r>
    </w:p>
    <w:p w14:paraId="3085F9AB" w14:textId="77777777" w:rsidR="005752D3" w:rsidRDefault="005752D3">
      <w:pPr>
        <w:rPr>
          <w:rFonts w:ascii="Times New Roman" w:hAnsi="Times New Roman" w:cs="Times New Roman"/>
          <w:sz w:val="24"/>
          <w:szCs w:val="24"/>
        </w:rPr>
      </w:pPr>
      <w:r>
        <w:rPr>
          <w:rFonts w:ascii="Times New Roman" w:hAnsi="Times New Roman" w:cs="Times New Roman"/>
          <w:sz w:val="24"/>
          <w:szCs w:val="24"/>
        </w:rPr>
        <w:br w:type="page"/>
      </w:r>
    </w:p>
    <w:p w14:paraId="63875396" w14:textId="77777777" w:rsidR="00D072AB"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180C1481" wp14:editId="227B62F8">
            <wp:extent cx="5295900" cy="7673785"/>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t="4367" r="56602"/>
                    <a:stretch/>
                  </pic:blipFill>
                  <pic:spPr bwMode="auto">
                    <a:xfrm>
                      <a:off x="0" y="0"/>
                      <a:ext cx="5302324" cy="7683094"/>
                    </a:xfrm>
                    <a:prstGeom prst="rect">
                      <a:avLst/>
                    </a:prstGeom>
                    <a:noFill/>
                    <a:ln>
                      <a:noFill/>
                    </a:ln>
                    <a:extLst>
                      <a:ext uri="{53640926-AAD7-44D8-BBD7-CCE9431645EC}">
                        <a14:shadowObscured xmlns:a14="http://schemas.microsoft.com/office/drawing/2010/main"/>
                      </a:ext>
                    </a:extLst>
                  </pic:spPr>
                </pic:pic>
              </a:graphicData>
            </a:graphic>
          </wp:inline>
        </w:drawing>
      </w:r>
    </w:p>
    <w:p w14:paraId="1CE5879B" w14:textId="04BCC4D1" w:rsidR="000B3AF7" w:rsidRPr="002E26D2" w:rsidRDefault="00D072AB" w:rsidP="004927BB">
      <w:pPr>
        <w:pStyle w:val="Caption"/>
        <w:spacing w:line="360" w:lineRule="auto"/>
        <w:rPr>
          <w:rFonts w:ascii="Times New Roman" w:hAnsi="Times New Roman" w:cs="Times New Roman"/>
          <w:sz w:val="24"/>
          <w:szCs w:val="24"/>
        </w:rPr>
      </w:pPr>
      <w:bookmarkStart w:id="223" w:name="_Ref10600975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32</w:t>
      </w:r>
      <w:r w:rsidRPr="002E26D2">
        <w:rPr>
          <w:rFonts w:ascii="Times New Roman" w:hAnsi="Times New Roman" w:cs="Times New Roman"/>
          <w:sz w:val="24"/>
          <w:szCs w:val="24"/>
        </w:rPr>
        <w:fldChar w:fldCharType="end"/>
      </w:r>
      <w:bookmarkStart w:id="224" w:name="_Ref105753245"/>
      <w:bookmarkEnd w:id="223"/>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The exogenous NME6-GFP colocalizes with mitochondria in living cells.</w:t>
      </w:r>
      <w:r w:rsidR="000B3AF7" w:rsidRPr="002E26D2">
        <w:rPr>
          <w:rFonts w:ascii="Times New Roman" w:hAnsi="Times New Roman" w:cs="Times New Roman"/>
          <w:sz w:val="24"/>
          <w:szCs w:val="24"/>
        </w:rPr>
        <w:t xml:space="preserve"> MDA-MB-231T cells transfected with pEGFPN1-NME6-186-GFP and pNME6-194-GFP were stained with MitoTracker™ (red) or cotransfected with pCFPmito to label mitochondria. Images were acquired 48 h post-transfection by confocal microscopy (scale bar: 10 µm).</w:t>
      </w:r>
      <w:bookmarkEnd w:id="224"/>
    </w:p>
    <w:p w14:paraId="2C8FFAF5" w14:textId="625D5721" w:rsidR="000B3AF7" w:rsidRPr="002E26D2" w:rsidRDefault="000B3AF7" w:rsidP="003775DE">
      <w:pPr>
        <w:pStyle w:val="Heading3"/>
      </w:pPr>
      <w:bookmarkStart w:id="225" w:name="_Toc117153891"/>
      <w:r w:rsidRPr="002E26D2">
        <w:lastRenderedPageBreak/>
        <w:t>Cellular fractionation</w:t>
      </w:r>
      <w:bookmarkEnd w:id="225"/>
    </w:p>
    <w:p w14:paraId="2A9B64F1" w14:textId="241866E3"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first attempt to assess NME6 localization by cellular fractionation was realized using a detergent-based commercial kit (ab109719, Abcam) </w:t>
      </w:r>
      <w:r w:rsidR="00E14918" w:rsidRPr="002E26D2">
        <w:rPr>
          <w:rFonts w:ascii="Times New Roman" w:hAnsi="Times New Roman" w:cs="Times New Roman"/>
          <w:sz w:val="24"/>
          <w:szCs w:val="24"/>
        </w:rPr>
        <w:t>(</w:t>
      </w:r>
      <w:r w:rsidR="00DB53E5">
        <w:rPr>
          <w:rFonts w:ascii="Times New Roman" w:hAnsi="Times New Roman" w:cs="Times New Roman"/>
          <w:sz w:val="24"/>
          <w:szCs w:val="24"/>
        </w:rPr>
        <w:t xml:space="preserve">section </w:t>
      </w:r>
      <w:r w:rsidR="00E14918" w:rsidRPr="002E26D2">
        <w:rPr>
          <w:rFonts w:ascii="Times New Roman" w:hAnsi="Times New Roman" w:cs="Times New Roman"/>
          <w:sz w:val="24"/>
          <w:szCs w:val="24"/>
        </w:rPr>
        <w:fldChar w:fldCharType="begin"/>
      </w:r>
      <w:r w:rsidR="00E14918" w:rsidRPr="002E26D2">
        <w:rPr>
          <w:rFonts w:ascii="Times New Roman" w:hAnsi="Times New Roman" w:cs="Times New Roman"/>
          <w:sz w:val="24"/>
          <w:szCs w:val="24"/>
        </w:rPr>
        <w:instrText xml:space="preserve"> REF _Ref105769413 \r \h </w:instrText>
      </w:r>
      <w:r w:rsidR="002E26D2" w:rsidRPr="002E26D2">
        <w:rPr>
          <w:rFonts w:ascii="Times New Roman" w:hAnsi="Times New Roman" w:cs="Times New Roman"/>
          <w:sz w:val="24"/>
          <w:szCs w:val="24"/>
        </w:rPr>
        <w:instrText xml:space="preserve"> \* MERGEFORMAT </w:instrText>
      </w:r>
      <w:r w:rsidR="00E14918" w:rsidRPr="002E26D2">
        <w:rPr>
          <w:rFonts w:ascii="Times New Roman" w:hAnsi="Times New Roman" w:cs="Times New Roman"/>
          <w:sz w:val="24"/>
          <w:szCs w:val="24"/>
        </w:rPr>
      </w:r>
      <w:r w:rsidR="00E14918"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3.2.3.13</w:t>
      </w:r>
      <w:r w:rsidR="00E14918" w:rsidRPr="002E26D2">
        <w:rPr>
          <w:rFonts w:ascii="Times New Roman" w:hAnsi="Times New Roman" w:cs="Times New Roman"/>
          <w:sz w:val="24"/>
          <w:szCs w:val="24"/>
        </w:rPr>
        <w:fldChar w:fldCharType="end"/>
      </w:r>
      <w:r w:rsidR="00E14918" w:rsidRPr="002E26D2">
        <w:rPr>
          <w:rFonts w:ascii="Times New Roman" w:hAnsi="Times New Roman" w:cs="Times New Roman"/>
          <w:sz w:val="24"/>
          <w:szCs w:val="24"/>
        </w:rPr>
        <w:t xml:space="preserve">) </w:t>
      </w:r>
      <w:r w:rsidRPr="002E26D2">
        <w:rPr>
          <w:rFonts w:ascii="Times New Roman" w:hAnsi="Times New Roman" w:cs="Times New Roman"/>
          <w:sz w:val="24"/>
          <w:szCs w:val="24"/>
        </w:rPr>
        <w:t>(</w:t>
      </w:r>
      <w:r w:rsidR="00B95633" w:rsidRPr="002E26D2">
        <w:rPr>
          <w:rFonts w:ascii="Times New Roman" w:hAnsi="Times New Roman" w:cs="Times New Roman"/>
          <w:sz w:val="24"/>
          <w:szCs w:val="24"/>
        </w:rPr>
        <w:fldChar w:fldCharType="begin"/>
      </w:r>
      <w:r w:rsidR="00B95633" w:rsidRPr="002E26D2">
        <w:rPr>
          <w:rFonts w:ascii="Times New Roman" w:hAnsi="Times New Roman" w:cs="Times New Roman"/>
          <w:sz w:val="24"/>
          <w:szCs w:val="24"/>
        </w:rPr>
        <w:instrText xml:space="preserve"> REF _Ref106009766 \h </w:instrText>
      </w:r>
      <w:r w:rsidR="002E26D2" w:rsidRPr="002E26D2">
        <w:rPr>
          <w:rFonts w:ascii="Times New Roman" w:hAnsi="Times New Roman" w:cs="Times New Roman"/>
          <w:sz w:val="24"/>
          <w:szCs w:val="24"/>
        </w:rPr>
        <w:instrText xml:space="preserve"> \* MERGEFORMAT </w:instrText>
      </w:r>
      <w:r w:rsidR="00B95633" w:rsidRPr="002E26D2">
        <w:rPr>
          <w:rFonts w:ascii="Times New Roman" w:hAnsi="Times New Roman" w:cs="Times New Roman"/>
          <w:sz w:val="24"/>
          <w:szCs w:val="24"/>
        </w:rPr>
      </w:r>
      <w:r w:rsidR="00B95633"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33</w:t>
      </w:r>
      <w:r w:rsidR="00B95633"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The cytosolic (C), mitochondrial (M) and nuclear-enriched (N) fractions were analyzed by Western blot, using antibodies against NME6 and fractions’ markers. Markers efficiently concentrated in their expected fraction: GAPDH with cytosolic-enriched, Histone H3 with nuclear-enriched, ATP synthase α and PDH-E1 α with mitochondria-enriched. Results clearly showed endogenous NME6 to concentrate in the mitochondrial-enriched fraction, together with mitochondrial markers. </w:t>
      </w:r>
    </w:p>
    <w:p w14:paraId="534A3C54" w14:textId="587EB9B0" w:rsidR="00D072AB" w:rsidRPr="002E26D2" w:rsidRDefault="00D5223B" w:rsidP="00D5223B">
      <w:pPr>
        <w:keepNext/>
        <w:spacing w:line="360" w:lineRule="auto"/>
        <w:rPr>
          <w:rFonts w:ascii="Times New Roman" w:hAnsi="Times New Roman" w:cs="Times New Roman"/>
          <w:sz w:val="24"/>
          <w:szCs w:val="24"/>
        </w:rPr>
      </w:pPr>
      <w:r>
        <w:rPr>
          <w:rFonts w:ascii="Times New Roman" w:hAnsi="Times New Roman" w:cs="Times New Roman"/>
          <w:noProof/>
          <w:sz w:val="24"/>
          <w:szCs w:val="24"/>
          <w:lang w:val="hr-HR" w:eastAsia="hr-HR"/>
        </w:rPr>
        <w:t xml:space="preserve"> </w:t>
      </w:r>
      <w:r>
        <w:rPr>
          <w:rFonts w:ascii="Times New Roman" w:hAnsi="Times New Roman" w:cs="Times New Roman"/>
          <w:noProof/>
          <w:sz w:val="24"/>
          <w:szCs w:val="24"/>
          <w:lang w:val="hr-HR" w:eastAsia="hr-HR"/>
        </w:rPr>
        <w:tab/>
      </w:r>
      <w:r>
        <w:rPr>
          <w:rFonts w:ascii="Times New Roman" w:hAnsi="Times New Roman" w:cs="Times New Roman"/>
          <w:noProof/>
          <w:sz w:val="24"/>
          <w:szCs w:val="24"/>
          <w:lang w:val="hr-HR" w:eastAsia="hr-HR"/>
        </w:rPr>
        <w:tab/>
      </w:r>
      <w:r>
        <w:rPr>
          <w:rFonts w:ascii="Times New Roman" w:hAnsi="Times New Roman" w:cs="Times New Roman"/>
          <w:noProof/>
          <w:sz w:val="24"/>
          <w:szCs w:val="24"/>
          <w:lang w:val="hr-HR" w:eastAsia="hr-HR"/>
        </w:rPr>
        <w:tab/>
      </w:r>
      <w:r w:rsidR="009A32C0">
        <w:rPr>
          <w:rFonts w:ascii="Times New Roman" w:hAnsi="Times New Roman" w:cs="Times New Roman"/>
          <w:noProof/>
          <w:sz w:val="24"/>
          <w:szCs w:val="24"/>
          <w:lang w:val="hr-HR" w:eastAsia="hr-HR"/>
        </w:rPr>
        <w:t xml:space="preserve">   </w:t>
      </w:r>
      <w:r w:rsidR="000B3AF7" w:rsidRPr="002E26D2">
        <w:rPr>
          <w:rFonts w:ascii="Times New Roman" w:hAnsi="Times New Roman" w:cs="Times New Roman"/>
          <w:noProof/>
          <w:sz w:val="24"/>
          <w:szCs w:val="24"/>
          <w:lang w:val="hr-HR" w:eastAsia="hr-HR"/>
        </w:rPr>
        <w:drawing>
          <wp:inline distT="0" distB="0" distL="0" distR="0" wp14:anchorId="72909038" wp14:editId="0B58B089">
            <wp:extent cx="3809365" cy="2409825"/>
            <wp:effectExtent l="0" t="0" r="63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5">
                      <a:extLst>
                        <a:ext uri="{28A0092B-C50C-407E-A947-70E740481C1C}">
                          <a14:useLocalDpi xmlns:a14="http://schemas.microsoft.com/office/drawing/2010/main" val="0"/>
                        </a:ext>
                      </a:extLst>
                    </a:blip>
                    <a:srcRect t="7512" b="6087"/>
                    <a:stretch/>
                  </pic:blipFill>
                  <pic:spPr bwMode="auto">
                    <a:xfrm>
                      <a:off x="0" y="0"/>
                      <a:ext cx="3817014" cy="2414664"/>
                    </a:xfrm>
                    <a:prstGeom prst="rect">
                      <a:avLst/>
                    </a:prstGeom>
                    <a:noFill/>
                    <a:ln>
                      <a:noFill/>
                    </a:ln>
                    <a:extLst>
                      <a:ext uri="{53640926-AAD7-44D8-BBD7-CCE9431645EC}">
                        <a14:shadowObscured xmlns:a14="http://schemas.microsoft.com/office/drawing/2010/main"/>
                      </a:ext>
                    </a:extLst>
                  </pic:spPr>
                </pic:pic>
              </a:graphicData>
            </a:graphic>
          </wp:inline>
        </w:drawing>
      </w:r>
    </w:p>
    <w:p w14:paraId="08AA3569" w14:textId="308200CF" w:rsidR="000B3AF7" w:rsidRPr="002E26D2" w:rsidRDefault="00D072AB" w:rsidP="004927BB">
      <w:pPr>
        <w:pStyle w:val="Caption"/>
        <w:spacing w:line="360" w:lineRule="auto"/>
        <w:rPr>
          <w:rFonts w:ascii="Times New Roman" w:hAnsi="Times New Roman" w:cs="Times New Roman"/>
          <w:sz w:val="24"/>
          <w:szCs w:val="24"/>
        </w:rPr>
      </w:pPr>
      <w:bookmarkStart w:id="226" w:name="_Ref10600976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33</w:t>
      </w:r>
      <w:r w:rsidRPr="002E26D2">
        <w:rPr>
          <w:rFonts w:ascii="Times New Roman" w:hAnsi="Times New Roman" w:cs="Times New Roman"/>
          <w:sz w:val="24"/>
          <w:szCs w:val="24"/>
        </w:rPr>
        <w:fldChar w:fldCharType="end"/>
      </w:r>
      <w:bookmarkStart w:id="227" w:name="_Ref105753332"/>
      <w:bookmarkEnd w:id="226"/>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Endogenous NME6 localizes in the mitochondria-enriched fraction.</w:t>
      </w:r>
      <w:r w:rsidR="000B3AF7" w:rsidRPr="002E26D2">
        <w:rPr>
          <w:rFonts w:ascii="Times New Roman" w:hAnsi="Times New Roman" w:cs="Times New Roman"/>
          <w:sz w:val="24"/>
          <w:szCs w:val="24"/>
        </w:rPr>
        <w:t xml:space="preserve"> MDA-MB-231T cells were fractionated by a commercial, detergent-based method yielding to cytosol-enriched (C), mitochondria-enriched (M) and nuclei-enriched (N) fractions. Ten micrograms of protein were analyzed by Western blot using NME6 and other specific antibodies for different cellular compartments (Mitochondria: ATP synthase α, PDH-E1 α; Cytosol: GAPDH; Nucleus: Histone H3).</w:t>
      </w:r>
      <w:bookmarkEnd w:id="227"/>
    </w:p>
    <w:p w14:paraId="04CFAF80" w14:textId="4A93E789" w:rsidR="000B3AF7" w:rsidRPr="002E26D2" w:rsidRDefault="000B3AF7" w:rsidP="00E30170">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To validate the mitochondrial localization of endogenous NME6, another cellular fractionation method based on differential centrifugation was used </w:t>
      </w:r>
      <w:r w:rsidR="00E14918" w:rsidRPr="002E26D2">
        <w:rPr>
          <w:rFonts w:ascii="Times New Roman" w:hAnsi="Times New Roman" w:cs="Times New Roman"/>
          <w:sz w:val="24"/>
          <w:szCs w:val="24"/>
        </w:rPr>
        <w:t>(</w:t>
      </w:r>
      <w:r w:rsidR="00220237">
        <w:rPr>
          <w:rFonts w:ascii="Times New Roman" w:hAnsi="Times New Roman" w:cs="Times New Roman"/>
          <w:sz w:val="24"/>
          <w:szCs w:val="24"/>
        </w:rPr>
        <w:t xml:space="preserve">section </w:t>
      </w:r>
      <w:r w:rsidR="00E14918" w:rsidRPr="002E26D2">
        <w:rPr>
          <w:rFonts w:ascii="Times New Roman" w:hAnsi="Times New Roman" w:cs="Times New Roman"/>
          <w:sz w:val="24"/>
          <w:szCs w:val="24"/>
        </w:rPr>
        <w:fldChar w:fldCharType="begin"/>
      </w:r>
      <w:r w:rsidR="00E14918" w:rsidRPr="002E26D2">
        <w:rPr>
          <w:rFonts w:ascii="Times New Roman" w:hAnsi="Times New Roman" w:cs="Times New Roman"/>
          <w:sz w:val="24"/>
          <w:szCs w:val="24"/>
        </w:rPr>
        <w:instrText xml:space="preserve"> REF _Ref105768579 \r \h </w:instrText>
      </w:r>
      <w:r w:rsidR="002E26D2" w:rsidRPr="002E26D2">
        <w:rPr>
          <w:rFonts w:ascii="Times New Roman" w:hAnsi="Times New Roman" w:cs="Times New Roman"/>
          <w:sz w:val="24"/>
          <w:szCs w:val="24"/>
        </w:rPr>
        <w:instrText xml:space="preserve"> \* MERGEFORMAT </w:instrText>
      </w:r>
      <w:r w:rsidR="00E14918" w:rsidRPr="002E26D2">
        <w:rPr>
          <w:rFonts w:ascii="Times New Roman" w:hAnsi="Times New Roman" w:cs="Times New Roman"/>
          <w:sz w:val="24"/>
          <w:szCs w:val="24"/>
        </w:rPr>
      </w:r>
      <w:r w:rsidR="00E14918"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3.2.3.11</w:t>
      </w:r>
      <w:r w:rsidR="00E14918" w:rsidRPr="002E26D2">
        <w:rPr>
          <w:rFonts w:ascii="Times New Roman" w:hAnsi="Times New Roman" w:cs="Times New Roman"/>
          <w:sz w:val="24"/>
          <w:szCs w:val="24"/>
        </w:rPr>
        <w:fldChar w:fldCharType="end"/>
      </w:r>
      <w:r w:rsidR="00E14918" w:rsidRPr="002E26D2">
        <w:rPr>
          <w:rFonts w:ascii="Times New Roman" w:hAnsi="Times New Roman" w:cs="Times New Roman"/>
          <w:sz w:val="24"/>
          <w:szCs w:val="24"/>
        </w:rPr>
        <w:t xml:space="preserve">) </w:t>
      </w:r>
      <w:r w:rsidRPr="002E26D2">
        <w:rPr>
          <w:rFonts w:ascii="Times New Roman" w:hAnsi="Times New Roman" w:cs="Times New Roman"/>
          <w:sz w:val="24"/>
          <w:szCs w:val="24"/>
        </w:rPr>
        <w:t>(</w:t>
      </w:r>
      <w:r w:rsidR="00E30170">
        <w:rPr>
          <w:rFonts w:ascii="Times New Roman" w:hAnsi="Times New Roman" w:cs="Times New Roman"/>
          <w:sz w:val="24"/>
          <w:szCs w:val="24"/>
        </w:rPr>
        <w:fldChar w:fldCharType="begin"/>
      </w:r>
      <w:r w:rsidR="00E30170">
        <w:rPr>
          <w:rFonts w:ascii="Times New Roman" w:hAnsi="Times New Roman" w:cs="Times New Roman"/>
          <w:sz w:val="24"/>
          <w:szCs w:val="24"/>
        </w:rPr>
        <w:instrText xml:space="preserve"> REF _Ref107396587 \h  \* MERGEFORMAT </w:instrText>
      </w:r>
      <w:r w:rsidR="00E30170">
        <w:rPr>
          <w:rFonts w:ascii="Times New Roman" w:hAnsi="Times New Roman" w:cs="Times New Roman"/>
          <w:sz w:val="24"/>
          <w:szCs w:val="24"/>
        </w:rPr>
      </w:r>
      <w:r w:rsidR="00E30170">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34</w:t>
      </w:r>
      <w:r w:rsidR="00E30170">
        <w:rPr>
          <w:rFonts w:ascii="Times New Roman" w:hAnsi="Times New Roman" w:cs="Times New Roman"/>
          <w:sz w:val="24"/>
          <w:szCs w:val="24"/>
        </w:rPr>
        <w:fldChar w:fldCharType="end"/>
      </w:r>
      <w:r w:rsidRPr="002E26D2">
        <w:rPr>
          <w:rFonts w:ascii="Times New Roman" w:hAnsi="Times New Roman" w:cs="Times New Roman"/>
          <w:sz w:val="24"/>
          <w:szCs w:val="24"/>
        </w:rPr>
        <w:t xml:space="preserve">). MDA-MB-231T cell lysate homogenate (H) was divided in fractions enriched with cytosol (C), with nucleus (P), or with crude mitochondria (MC). The latest fraction was further purified on Percoll gradient to obtain pure mitochondria-fraction (MP) and contaminants (CON). Western blot was performed using antibodies against NME6, against mitochondrial proteins or protein markers of other compartments. </w:t>
      </w:r>
    </w:p>
    <w:p w14:paraId="5DCC685A" w14:textId="275A7599"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lastRenderedPageBreak/>
        <w:t>The P fraction was the least resolved, with proteins markers from every compartment detected there. Histone H3 (nucleus) was strongly enriched only in this fraction, making it a nuclear-rich fraction. GAPDH (cytosol) and β-tubulin (cytoskeleton) were both enriched in the C fraction, making it the cytosol-rich fraction. Interestingly, membrane-associated proteins Na</w:t>
      </w:r>
      <w:r w:rsidRPr="002E26D2">
        <w:rPr>
          <w:rFonts w:ascii="Times New Roman" w:hAnsi="Times New Roman" w:cs="Times New Roman"/>
          <w:sz w:val="24"/>
          <w:szCs w:val="24"/>
          <w:vertAlign w:val="superscript"/>
        </w:rPr>
        <w:t>+</w:t>
      </w:r>
      <w:r w:rsidRPr="002E26D2">
        <w:rPr>
          <w:rFonts w:ascii="Times New Roman" w:hAnsi="Times New Roman" w:cs="Times New Roman"/>
          <w:sz w:val="24"/>
          <w:szCs w:val="24"/>
        </w:rPr>
        <w:t>K</w:t>
      </w:r>
      <w:r w:rsidRPr="002E26D2">
        <w:rPr>
          <w:rFonts w:ascii="Times New Roman" w:hAnsi="Times New Roman" w:cs="Times New Roman"/>
          <w:sz w:val="24"/>
          <w:szCs w:val="24"/>
          <w:vertAlign w:val="superscript"/>
        </w:rPr>
        <w:t>+</w:t>
      </w:r>
      <w:r w:rsidRPr="002E26D2">
        <w:rPr>
          <w:rFonts w:ascii="Times New Roman" w:hAnsi="Times New Roman" w:cs="Times New Roman"/>
          <w:sz w:val="24"/>
          <w:szCs w:val="24"/>
        </w:rPr>
        <w:t xml:space="preserve">ATPase (plasma membrane), Calreticulin (endoplasmic reticulum) and LAMP1 (lysosome/endosome membranes) were enriched in </w:t>
      </w:r>
      <w:r w:rsidR="008504E3">
        <w:rPr>
          <w:rFonts w:ascii="Times New Roman" w:hAnsi="Times New Roman" w:cs="Times New Roman"/>
          <w:sz w:val="24"/>
          <w:szCs w:val="24"/>
        </w:rPr>
        <w:t xml:space="preserve">the </w:t>
      </w:r>
      <w:r w:rsidRPr="002E26D2">
        <w:rPr>
          <w:rFonts w:ascii="Times New Roman" w:hAnsi="Times New Roman" w:cs="Times New Roman"/>
          <w:sz w:val="24"/>
          <w:szCs w:val="24"/>
        </w:rPr>
        <w:t xml:space="preserve">MC fraction, together with mitochondrial proteins. Those contaminants were separated by Percoll purification, and </w:t>
      </w:r>
      <w:r w:rsidR="008504E3">
        <w:rPr>
          <w:rFonts w:ascii="Times New Roman" w:hAnsi="Times New Roman" w:cs="Times New Roman"/>
          <w:sz w:val="24"/>
          <w:szCs w:val="24"/>
        </w:rPr>
        <w:t xml:space="preserve">eventually got </w:t>
      </w:r>
      <w:r w:rsidRPr="002E26D2">
        <w:rPr>
          <w:rFonts w:ascii="Times New Roman" w:hAnsi="Times New Roman" w:cs="Times New Roman"/>
          <w:sz w:val="24"/>
          <w:szCs w:val="24"/>
        </w:rPr>
        <w:t>concentrated in the contaminant fraction CON, leaving the MP fraction highly enriched with mitochondrial proteins and almost free of contaminants from other compartments.</w:t>
      </w:r>
      <w:r w:rsidR="008504E3">
        <w:rPr>
          <w:rFonts w:ascii="Times New Roman" w:hAnsi="Times New Roman" w:cs="Times New Roman"/>
          <w:sz w:val="24"/>
          <w:szCs w:val="24"/>
        </w:rPr>
        <w:t xml:space="preserve"> </w:t>
      </w:r>
      <w:r w:rsidRPr="002E26D2">
        <w:rPr>
          <w:rFonts w:ascii="Times New Roman" w:hAnsi="Times New Roman" w:cs="Times New Roman"/>
          <w:sz w:val="24"/>
          <w:szCs w:val="24"/>
        </w:rPr>
        <w:t>Results clearly revealed an enrichment of endogenous NME6 within the MC</w:t>
      </w:r>
      <w:r w:rsidR="008504E3">
        <w:rPr>
          <w:rFonts w:ascii="Times New Roman" w:hAnsi="Times New Roman" w:cs="Times New Roman"/>
          <w:sz w:val="24"/>
          <w:szCs w:val="24"/>
        </w:rPr>
        <w:t xml:space="preserve"> fraction</w:t>
      </w:r>
      <w:r w:rsidRPr="002E26D2">
        <w:rPr>
          <w:rFonts w:ascii="Times New Roman" w:hAnsi="Times New Roman" w:cs="Times New Roman"/>
          <w:sz w:val="24"/>
          <w:szCs w:val="24"/>
        </w:rPr>
        <w:t xml:space="preserve"> and further within the MP fraction, together with mitochondrial protein markers, obviously showing mitochondrial localization of endogenous NME6 protein.</w:t>
      </w:r>
    </w:p>
    <w:p w14:paraId="58B6F2FD" w14:textId="77777777" w:rsidR="00D072AB"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39F54E9C" wp14:editId="12D59409">
            <wp:extent cx="5805377" cy="4804274"/>
            <wp:effectExtent l="0" t="0" r="0" b="0"/>
            <wp:docPr id="49" name="Picture 4">
              <a:extLst xmlns:a="http://schemas.openxmlformats.org/drawingml/2006/main">
                <a:ext uri="{FF2B5EF4-FFF2-40B4-BE49-F238E27FC236}">
                  <a16:creationId xmlns:a16="http://schemas.microsoft.com/office/drawing/2014/main" id="{EFAACB6B-B2E1-4F9E-ADF7-CE74575592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FAACB6B-B2E1-4F9E-ADF7-CE7457559214}"/>
                        </a:ext>
                      </a:extLst>
                    </pic:cNvPr>
                    <pic:cNvPicPr>
                      <a:picLocks noChangeAspect="1"/>
                    </pic:cNvPicPr>
                  </pic:nvPicPr>
                  <pic:blipFill>
                    <a:blip r:embed="rId46"/>
                    <a:stretch>
                      <a:fillRect/>
                    </a:stretch>
                  </pic:blipFill>
                  <pic:spPr>
                    <a:xfrm>
                      <a:off x="0" y="0"/>
                      <a:ext cx="5810245" cy="4808302"/>
                    </a:xfrm>
                    <a:prstGeom prst="rect">
                      <a:avLst/>
                    </a:prstGeom>
                  </pic:spPr>
                </pic:pic>
              </a:graphicData>
            </a:graphic>
          </wp:inline>
        </w:drawing>
      </w:r>
    </w:p>
    <w:p w14:paraId="217199F6" w14:textId="77777777" w:rsidR="008813DC" w:rsidRDefault="008813DC" w:rsidP="008813DC">
      <w:pPr>
        <w:pStyle w:val="Caption"/>
        <w:spacing w:line="360" w:lineRule="auto"/>
        <w:jc w:val="center"/>
        <w:rPr>
          <w:rFonts w:ascii="Times New Roman" w:hAnsi="Times New Roman" w:cs="Times New Roman"/>
          <w:bCs w:val="0"/>
          <w:i w:val="0"/>
          <w:sz w:val="24"/>
          <w:szCs w:val="24"/>
        </w:rPr>
      </w:pPr>
      <w:bookmarkStart w:id="228" w:name="_Ref106009780"/>
    </w:p>
    <w:p w14:paraId="40A7C482" w14:textId="336AC0C2" w:rsidR="008813DC" w:rsidRPr="008813DC" w:rsidRDefault="008813DC" w:rsidP="008813DC">
      <w:pPr>
        <w:pStyle w:val="Caption"/>
        <w:spacing w:line="360" w:lineRule="auto"/>
        <w:jc w:val="center"/>
        <w:rPr>
          <w:rFonts w:ascii="Times New Roman" w:hAnsi="Times New Roman" w:cs="Times New Roman"/>
          <w:i w:val="0"/>
          <w:sz w:val="24"/>
          <w:szCs w:val="24"/>
        </w:rPr>
      </w:pPr>
      <w:r w:rsidRPr="008813DC">
        <w:rPr>
          <w:rFonts w:ascii="Times New Roman" w:hAnsi="Times New Roman" w:cs="Times New Roman"/>
          <w:bCs w:val="0"/>
          <w:i w:val="0"/>
          <w:sz w:val="24"/>
          <w:szCs w:val="24"/>
        </w:rPr>
        <w:t>-</w:t>
      </w:r>
      <w:r>
        <w:rPr>
          <w:rFonts w:ascii="Times New Roman" w:hAnsi="Times New Roman" w:cs="Times New Roman"/>
          <w:i w:val="0"/>
          <w:sz w:val="24"/>
          <w:szCs w:val="24"/>
        </w:rPr>
        <w:t xml:space="preserve"> Figure 34 description is on the next page -</w:t>
      </w:r>
    </w:p>
    <w:p w14:paraId="05E6DAFA" w14:textId="1F4933E2" w:rsidR="000B3AF7" w:rsidRPr="002E26D2" w:rsidRDefault="00D072AB" w:rsidP="004927BB">
      <w:pPr>
        <w:pStyle w:val="Caption"/>
        <w:spacing w:line="360" w:lineRule="auto"/>
        <w:rPr>
          <w:rFonts w:ascii="Times New Roman" w:hAnsi="Times New Roman" w:cs="Times New Roman"/>
          <w:sz w:val="24"/>
          <w:szCs w:val="24"/>
        </w:rPr>
      </w:pPr>
      <w:bookmarkStart w:id="229" w:name="_Ref107396587"/>
      <w:r w:rsidRPr="002E26D2">
        <w:rPr>
          <w:rFonts w:ascii="Times New Roman" w:hAnsi="Times New Roman" w:cs="Times New Roman"/>
          <w:sz w:val="24"/>
          <w:szCs w:val="24"/>
        </w:rPr>
        <w:lastRenderedPageBreak/>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34</w:t>
      </w:r>
      <w:r w:rsidRPr="002E26D2">
        <w:rPr>
          <w:rFonts w:ascii="Times New Roman" w:hAnsi="Times New Roman" w:cs="Times New Roman"/>
          <w:sz w:val="24"/>
          <w:szCs w:val="24"/>
        </w:rPr>
        <w:fldChar w:fldCharType="end"/>
      </w:r>
      <w:bookmarkStart w:id="230" w:name="_Ref105753362"/>
      <w:bookmarkEnd w:id="228"/>
      <w:bookmarkEnd w:id="229"/>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Endogenous NME6 is enriched in Percoll-purified mitochondria.</w:t>
      </w:r>
      <w:r w:rsidR="000B3AF7" w:rsidRPr="002E26D2">
        <w:rPr>
          <w:rFonts w:ascii="Times New Roman" w:hAnsi="Times New Roman" w:cs="Times New Roman"/>
          <w:sz w:val="24"/>
          <w:szCs w:val="24"/>
        </w:rPr>
        <w:t xml:space="preserve"> MDA-MB-231T cell fractionation was performed by differential centrifugation of cell homogenate (H) followed by a purification of crude mitochondria (MC) on Percoll gradient (C: cytosol, P: nuclei enriched pellet, MP: Percoll-purified mitochondria, CON: major contaminating band recovered after Percoll gradient). Fractions were evenly loaded on SDS-PAGE and analyzed by Western blot using antibodies against mitochondrial protein markers, markers for other compartments and NME6.</w:t>
      </w:r>
      <w:bookmarkEnd w:id="230"/>
    </w:p>
    <w:p w14:paraId="046B509C" w14:textId="66047C8F" w:rsidR="000B3AF7" w:rsidRPr="002E26D2" w:rsidRDefault="000B3AF7" w:rsidP="003775DE">
      <w:pPr>
        <w:pStyle w:val="Heading3"/>
      </w:pPr>
      <w:bookmarkStart w:id="231" w:name="_Toc117153892"/>
      <w:r w:rsidRPr="002E26D2">
        <w:t>Mitochondrial sub-fractionation</w:t>
      </w:r>
      <w:bookmarkEnd w:id="231"/>
      <w:r w:rsidRPr="002E26D2">
        <w:t xml:space="preserve"> </w:t>
      </w:r>
    </w:p>
    <w:p w14:paraId="24003575" w14:textId="5BCEAED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Sub-fractionation experiments refined the NME6 localization within mitochondria</w:t>
      </w:r>
      <w:r w:rsidR="0049403C" w:rsidRPr="002E26D2">
        <w:rPr>
          <w:rFonts w:ascii="Times New Roman" w:hAnsi="Times New Roman" w:cs="Times New Roman"/>
          <w:sz w:val="24"/>
          <w:szCs w:val="24"/>
        </w:rPr>
        <w:t xml:space="preserve"> (</w:t>
      </w:r>
      <w:r w:rsidR="00264294">
        <w:rPr>
          <w:rFonts w:ascii="Times New Roman" w:hAnsi="Times New Roman" w:cs="Times New Roman"/>
          <w:sz w:val="24"/>
          <w:szCs w:val="24"/>
        </w:rPr>
        <w:t>section</w:t>
      </w:r>
      <w:r w:rsidR="0064534C">
        <w:rPr>
          <w:rFonts w:ascii="Times New Roman" w:hAnsi="Times New Roman" w:cs="Times New Roman"/>
          <w:sz w:val="24"/>
          <w:szCs w:val="24"/>
        </w:rPr>
        <w:t xml:space="preserve"> </w:t>
      </w:r>
      <w:r w:rsidR="0049403C" w:rsidRPr="002E26D2">
        <w:rPr>
          <w:rFonts w:ascii="Times New Roman" w:hAnsi="Times New Roman" w:cs="Times New Roman"/>
          <w:sz w:val="24"/>
          <w:szCs w:val="24"/>
        </w:rPr>
        <w:fldChar w:fldCharType="begin"/>
      </w:r>
      <w:r w:rsidR="0049403C" w:rsidRPr="002E26D2">
        <w:rPr>
          <w:rFonts w:ascii="Times New Roman" w:hAnsi="Times New Roman" w:cs="Times New Roman"/>
          <w:sz w:val="24"/>
          <w:szCs w:val="24"/>
        </w:rPr>
        <w:instrText xml:space="preserve"> REF _Ref105769334 \r \h </w:instrText>
      </w:r>
      <w:r w:rsidR="002E26D2" w:rsidRPr="002E26D2">
        <w:rPr>
          <w:rFonts w:ascii="Times New Roman" w:hAnsi="Times New Roman" w:cs="Times New Roman"/>
          <w:sz w:val="24"/>
          <w:szCs w:val="24"/>
        </w:rPr>
        <w:instrText xml:space="preserve"> \* MERGEFORMAT </w:instrText>
      </w:r>
      <w:r w:rsidR="0049403C" w:rsidRPr="002E26D2">
        <w:rPr>
          <w:rFonts w:ascii="Times New Roman" w:hAnsi="Times New Roman" w:cs="Times New Roman"/>
          <w:sz w:val="24"/>
          <w:szCs w:val="24"/>
        </w:rPr>
      </w:r>
      <w:r w:rsidR="0049403C"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3.2.3.12</w:t>
      </w:r>
      <w:r w:rsidR="0049403C" w:rsidRPr="002E26D2">
        <w:rPr>
          <w:rFonts w:ascii="Times New Roman" w:hAnsi="Times New Roman" w:cs="Times New Roman"/>
          <w:sz w:val="24"/>
          <w:szCs w:val="24"/>
        </w:rPr>
        <w:fldChar w:fldCharType="end"/>
      </w:r>
      <w:r w:rsidR="0049403C" w:rsidRPr="002E26D2">
        <w:rPr>
          <w:rFonts w:ascii="Times New Roman" w:hAnsi="Times New Roman" w:cs="Times New Roman"/>
          <w:sz w:val="24"/>
          <w:szCs w:val="24"/>
        </w:rPr>
        <w:t>)</w:t>
      </w:r>
      <w:r w:rsidRPr="002E26D2">
        <w:rPr>
          <w:rFonts w:ascii="Times New Roman" w:hAnsi="Times New Roman" w:cs="Times New Roman"/>
          <w:sz w:val="24"/>
          <w:szCs w:val="24"/>
        </w:rPr>
        <w:t xml:space="preserve">. The swelling/shrinking procedure was used to separate the different mitochondrial </w:t>
      </w:r>
      <w:r w:rsidR="00353B27" w:rsidRPr="002E26D2">
        <w:rPr>
          <w:rFonts w:ascii="Times New Roman" w:hAnsi="Times New Roman" w:cs="Times New Roman"/>
          <w:sz w:val="24"/>
          <w:szCs w:val="24"/>
        </w:rPr>
        <w:t>sub</w:t>
      </w:r>
      <w:r w:rsidR="00353B27">
        <w:rPr>
          <w:rFonts w:ascii="Times New Roman" w:hAnsi="Times New Roman" w:cs="Times New Roman"/>
          <w:sz w:val="24"/>
          <w:szCs w:val="24"/>
        </w:rPr>
        <w:t>-</w:t>
      </w:r>
      <w:r w:rsidR="00353B27" w:rsidRPr="002E26D2">
        <w:rPr>
          <w:rFonts w:ascii="Times New Roman" w:hAnsi="Times New Roman" w:cs="Times New Roman"/>
          <w:sz w:val="24"/>
          <w:szCs w:val="24"/>
        </w:rPr>
        <w:t>compartments</w:t>
      </w:r>
      <w:r w:rsidRPr="002E26D2">
        <w:rPr>
          <w:rFonts w:ascii="Times New Roman" w:hAnsi="Times New Roman" w:cs="Times New Roman"/>
          <w:sz w:val="24"/>
          <w:szCs w:val="24"/>
        </w:rPr>
        <w:t xml:space="preserve"> which were analyzed by Western blot. As described in </w:t>
      </w:r>
      <w:r w:rsidR="00B95633" w:rsidRPr="002E26D2">
        <w:rPr>
          <w:rFonts w:ascii="Times New Roman" w:hAnsi="Times New Roman" w:cs="Times New Roman"/>
          <w:sz w:val="24"/>
          <w:szCs w:val="24"/>
        </w:rPr>
        <w:fldChar w:fldCharType="begin"/>
      </w:r>
      <w:r w:rsidR="00B95633" w:rsidRPr="002E26D2">
        <w:rPr>
          <w:rFonts w:ascii="Times New Roman" w:hAnsi="Times New Roman" w:cs="Times New Roman"/>
          <w:sz w:val="24"/>
          <w:szCs w:val="24"/>
        </w:rPr>
        <w:instrText xml:space="preserve"> REF _Ref106009792 \h </w:instrText>
      </w:r>
      <w:r w:rsidR="002E26D2" w:rsidRPr="002E26D2">
        <w:rPr>
          <w:rFonts w:ascii="Times New Roman" w:hAnsi="Times New Roman" w:cs="Times New Roman"/>
          <w:sz w:val="24"/>
          <w:szCs w:val="24"/>
        </w:rPr>
        <w:instrText xml:space="preserve"> \* MERGEFORMAT </w:instrText>
      </w:r>
      <w:r w:rsidR="00B95633" w:rsidRPr="002E26D2">
        <w:rPr>
          <w:rFonts w:ascii="Times New Roman" w:hAnsi="Times New Roman" w:cs="Times New Roman"/>
          <w:sz w:val="24"/>
          <w:szCs w:val="24"/>
        </w:rPr>
      </w:r>
      <w:r w:rsidR="00B95633"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35</w:t>
      </w:r>
      <w:r w:rsidR="00B95633"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swelling-shrinking procedure was applied to break out the MOM and release the IMS content in solution. Low speed centrifugation separated MCss-ls supernatant containing IMS and MOM proteins from MCss-lp pellet containing the mitoplast, i.e. intact MIM surrounding the matrix space. Both fractions were further ultracentrifuged to separate soluble components from the membrane-bound components. Theoretically, MCss-ls-hs is enriched with IMS proteins, MCss-ls-hp is enriched with MOM proteins, MCss-lp-hs is enriched with matrix proteins and MCss-lp-hp in enriched with MIM proteins, even though, in practice, the separation is not 100% efficient.</w:t>
      </w:r>
    </w:p>
    <w:p w14:paraId="5F180BEC" w14:textId="77777777" w:rsidR="00D072AB"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269CDD2F" wp14:editId="09745BF4">
            <wp:extent cx="5184000" cy="32836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7">
                      <a:extLst>
                        <a:ext uri="{28A0092B-C50C-407E-A947-70E740481C1C}">
                          <a14:useLocalDpi xmlns:a14="http://schemas.microsoft.com/office/drawing/2010/main" val="0"/>
                        </a:ext>
                      </a:extLst>
                    </a:blip>
                    <a:srcRect t="1377"/>
                    <a:stretch/>
                  </pic:blipFill>
                  <pic:spPr bwMode="auto">
                    <a:xfrm>
                      <a:off x="0" y="0"/>
                      <a:ext cx="5184000" cy="3283685"/>
                    </a:xfrm>
                    <a:prstGeom prst="rect">
                      <a:avLst/>
                    </a:prstGeom>
                    <a:noFill/>
                    <a:ln>
                      <a:noFill/>
                    </a:ln>
                    <a:extLst>
                      <a:ext uri="{53640926-AAD7-44D8-BBD7-CCE9431645EC}">
                        <a14:shadowObscured xmlns:a14="http://schemas.microsoft.com/office/drawing/2010/main"/>
                      </a:ext>
                    </a:extLst>
                  </pic:spPr>
                </pic:pic>
              </a:graphicData>
            </a:graphic>
          </wp:inline>
        </w:drawing>
      </w:r>
    </w:p>
    <w:p w14:paraId="6C848973" w14:textId="161E5EBD" w:rsidR="000B3AF7" w:rsidRPr="002E26D2" w:rsidRDefault="00D072AB" w:rsidP="004927BB">
      <w:pPr>
        <w:pStyle w:val="Caption"/>
        <w:spacing w:line="360" w:lineRule="auto"/>
        <w:rPr>
          <w:rFonts w:ascii="Times New Roman" w:hAnsi="Times New Roman" w:cs="Times New Roman"/>
          <w:sz w:val="24"/>
          <w:szCs w:val="24"/>
        </w:rPr>
      </w:pPr>
      <w:bookmarkStart w:id="232" w:name="_Ref106009792"/>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35</w:t>
      </w:r>
      <w:r w:rsidRPr="002E26D2">
        <w:rPr>
          <w:rFonts w:ascii="Times New Roman" w:hAnsi="Times New Roman" w:cs="Times New Roman"/>
          <w:sz w:val="24"/>
          <w:szCs w:val="24"/>
        </w:rPr>
        <w:fldChar w:fldCharType="end"/>
      </w:r>
      <w:bookmarkStart w:id="233" w:name="_Ref105753421"/>
      <w:bookmarkEnd w:id="232"/>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Theoretical mitochondrial sub-fractionation by the swelling/shrinking procedure.</w:t>
      </w:r>
      <w:r w:rsidR="000B3AF7" w:rsidRPr="002E26D2">
        <w:rPr>
          <w:rFonts w:ascii="Times New Roman" w:hAnsi="Times New Roman" w:cs="Times New Roman"/>
          <w:sz w:val="24"/>
          <w:szCs w:val="24"/>
        </w:rPr>
        <w:t xml:space="preserve"> Isolated intact mitochondria were resuspended in a swelling buffer to induce the inflation of the mitoplast (i.e. the intact MIM surrounding the matrix). Mitochondria were resuspended in the shrinking buffer that induce a brutal contraction of the mitoplast, breaking simultaneously the MOM and releasing the IMS in solution. Sample was centrifuged at low speed to separate IMS and solubilized MOM proteins (MCss_ls) from the mitoplast (MCss_lp). Each fraction was further centrifuged at high speed to separate the soluble proteins (hs) from the membrane bound proteins (hp).</w:t>
      </w:r>
      <w:bookmarkEnd w:id="233"/>
    </w:p>
    <w:p w14:paraId="3399FF2F" w14:textId="71B11DD5"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Each fraction was evenly loaded and analyzed by Western blot, using antibodies against NME6 and protein markers from different mitochondrial compartments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_Ref106009815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36</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After </w:t>
      </w:r>
      <w:r w:rsidR="00C8054A" w:rsidRPr="002E26D2">
        <w:rPr>
          <w:rFonts w:ascii="Times New Roman" w:hAnsi="Times New Roman" w:cs="Times New Roman"/>
          <w:sz w:val="24"/>
          <w:szCs w:val="24"/>
        </w:rPr>
        <w:t>low-speed</w:t>
      </w:r>
      <w:r w:rsidRPr="002E26D2">
        <w:rPr>
          <w:rFonts w:ascii="Times New Roman" w:hAnsi="Times New Roman" w:cs="Times New Roman"/>
          <w:sz w:val="24"/>
          <w:szCs w:val="24"/>
        </w:rPr>
        <w:t xml:space="preserve"> centrifugation, the soluble IMS marker AK2 was highly enriched in MCss-ls, indicating a successful breakage of the MOM and release of IMS in solution. PDH-E1 α and ATP synthase α, two matrix facing proteins peripherally bound to MIM, were highly enriched in MCss-lp, indicating that the MIM was still intact and surrounding the matrix space. Cytochrome C, which is slightly bound to the MIM but also soluble in the IMS, was partitioned between MCss-lp and MCss-ls. The MIM marker OPA1 was expectedly enriched in the MCss-lp fraction. Interestingly, the MOM marker VDAC was enriched in MCss-lp fraction, probably due to MIM-MOM contact sites that forced </w:t>
      </w:r>
      <w:r w:rsidR="006646FE" w:rsidRPr="002E26D2">
        <w:rPr>
          <w:rFonts w:ascii="Times New Roman" w:hAnsi="Times New Roman" w:cs="Times New Roman"/>
          <w:sz w:val="24"/>
          <w:szCs w:val="24"/>
        </w:rPr>
        <w:t>its</w:t>
      </w:r>
      <w:r w:rsidRPr="002E26D2">
        <w:rPr>
          <w:rFonts w:ascii="Times New Roman" w:hAnsi="Times New Roman" w:cs="Times New Roman"/>
          <w:sz w:val="24"/>
          <w:szCs w:val="24"/>
        </w:rPr>
        <w:t xml:space="preserve"> ret</w:t>
      </w:r>
      <w:r w:rsidR="00C722E0">
        <w:rPr>
          <w:rFonts w:ascii="Times New Roman" w:hAnsi="Times New Roman" w:cs="Times New Roman"/>
          <w:sz w:val="24"/>
          <w:szCs w:val="24"/>
        </w:rPr>
        <w:t>ention</w:t>
      </w:r>
      <w:r w:rsidRPr="002E26D2">
        <w:rPr>
          <w:rFonts w:ascii="Times New Roman" w:hAnsi="Times New Roman" w:cs="Times New Roman"/>
          <w:sz w:val="24"/>
          <w:szCs w:val="24"/>
        </w:rPr>
        <w:t xml:space="preserve"> in the pellet together with the mitoplast.</w:t>
      </w:r>
    </w:p>
    <w:p w14:paraId="35DF7209"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Results showed an enrichment of the endogenous NME6 in the MCss-lp fraction compared to MCss-ls, indicating a tight link with the mitoplast and an absence of the protein as soluble in </w:t>
      </w:r>
      <w:r w:rsidRPr="002E26D2">
        <w:rPr>
          <w:rFonts w:ascii="Times New Roman" w:hAnsi="Times New Roman" w:cs="Times New Roman"/>
          <w:sz w:val="24"/>
          <w:szCs w:val="24"/>
        </w:rPr>
        <w:lastRenderedPageBreak/>
        <w:t xml:space="preserve">the IMS compartment, contrary to AK2. After ultra-centrifugation of MCss-lp fraction, NME6 was more concentrated in the supernatant (MCss-ls-hs), in a similar pattern as PDH-E1 α, and in a lesser extent ATP synthase α, two proteins facing the mitochondrial matrix, slightly bound to the MIM. Worthy to note, the NME6 distribution pattern was completely different from the MIM transmembrane protein OPA1, and the MOM transmembrane protein VDAC, both showing an enrichment in the MCss-lp-hp fraction. </w:t>
      </w:r>
    </w:p>
    <w:p w14:paraId="58269371"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Altogether, the NME6 distribution over the fractions resemble the PDH-E1 α and ATP synthase α distribution, strongly suggesting that NME6 is a matrix facing protein, potentially peripherally bound to the MIM.</w:t>
      </w:r>
    </w:p>
    <w:p w14:paraId="2E8D1CA6" w14:textId="306E2F5A" w:rsidR="00D072AB" w:rsidRPr="002E26D2" w:rsidRDefault="00B834BE" w:rsidP="004927BB">
      <w:pPr>
        <w:keepNext/>
        <w:spacing w:line="360" w:lineRule="auto"/>
        <w:jc w:val="center"/>
        <w:rPr>
          <w:rFonts w:ascii="Times New Roman" w:hAnsi="Times New Roman" w:cs="Times New Roman"/>
          <w:sz w:val="24"/>
          <w:szCs w:val="24"/>
        </w:rPr>
      </w:pPr>
      <w:r w:rsidRPr="00B834BE">
        <w:rPr>
          <w:rFonts w:ascii="Times New Roman" w:hAnsi="Times New Roman" w:cs="Times New Roman"/>
          <w:sz w:val="24"/>
          <w:szCs w:val="24"/>
        </w:rPr>
        <w:drawing>
          <wp:inline distT="0" distB="0" distL="0" distR="0" wp14:anchorId="0E1B63C5" wp14:editId="50A00F25">
            <wp:extent cx="4210050" cy="3784194"/>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51783" cy="3821705"/>
                    </a:xfrm>
                    <a:prstGeom prst="rect">
                      <a:avLst/>
                    </a:prstGeom>
                  </pic:spPr>
                </pic:pic>
              </a:graphicData>
            </a:graphic>
          </wp:inline>
        </w:drawing>
      </w:r>
      <w:bookmarkStart w:id="234" w:name="_GoBack"/>
      <w:bookmarkEnd w:id="234"/>
    </w:p>
    <w:p w14:paraId="5881DFDB" w14:textId="1C496DE5" w:rsidR="008F2006" w:rsidRPr="001A4A72" w:rsidRDefault="00D072AB" w:rsidP="001A4A72">
      <w:pPr>
        <w:pStyle w:val="Caption"/>
        <w:spacing w:line="360" w:lineRule="auto"/>
        <w:rPr>
          <w:rFonts w:ascii="Times New Roman" w:hAnsi="Times New Roman" w:cs="Times New Roman"/>
          <w:sz w:val="24"/>
          <w:szCs w:val="24"/>
        </w:rPr>
      </w:pPr>
      <w:bookmarkStart w:id="235" w:name="_Ref106009815"/>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36</w:t>
      </w:r>
      <w:r w:rsidRPr="002E26D2">
        <w:rPr>
          <w:rFonts w:ascii="Times New Roman" w:hAnsi="Times New Roman" w:cs="Times New Roman"/>
          <w:sz w:val="24"/>
          <w:szCs w:val="24"/>
        </w:rPr>
        <w:fldChar w:fldCharType="end"/>
      </w:r>
      <w:bookmarkStart w:id="236" w:name="_Ref105753447"/>
      <w:bookmarkEnd w:id="235"/>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Sub-mitochondrial NME6 distribution is typical for proteins associated with the inner membrane and matrix space.</w:t>
      </w:r>
      <w:r w:rsidR="000B3AF7" w:rsidRPr="002E26D2">
        <w:rPr>
          <w:rFonts w:ascii="Times New Roman" w:hAnsi="Times New Roman" w:cs="Times New Roman"/>
          <w:sz w:val="24"/>
          <w:szCs w:val="24"/>
        </w:rPr>
        <w:t xml:space="preserve"> Fractions obtained after the swelling/shrinking procedure were evenly loaded and analyzed by Western blot, using antibodies against NME6 and protein markers from the different mitochondrial compartments. These include: pyruvate dehydrogenase E1 component subunit </w:t>
      </w:r>
      <w:r w:rsidR="003C7B43" w:rsidRPr="002E26D2">
        <w:rPr>
          <w:rFonts w:ascii="Times New Roman" w:hAnsi="Times New Roman" w:cs="Times New Roman"/>
          <w:sz w:val="24"/>
          <w:szCs w:val="24"/>
        </w:rPr>
        <w:t>α</w:t>
      </w:r>
      <w:r w:rsidR="000B3AF7" w:rsidRPr="002E26D2">
        <w:rPr>
          <w:rFonts w:ascii="Times New Roman" w:hAnsi="Times New Roman" w:cs="Times New Roman"/>
          <w:sz w:val="24"/>
          <w:szCs w:val="24"/>
        </w:rPr>
        <w:t xml:space="preserve"> (PDH-E1 α; matrix), ATP synthase subunit α (a part of the peripheral F1 subcomplex of the MIM ATP synthase, facing matrix space), optic atrophy 1 (OPA1; transmembrane MIM, facing IMS), cytochrome c (peripherally bound to MIM and soluble in IMS), adenylate kinase 2 (AK2; soluble in IMS) and voltage-dependent anion-selective channel (VDAC; MOM and MIM-MOM contact sites).</w:t>
      </w:r>
      <w:bookmarkEnd w:id="236"/>
    </w:p>
    <w:p w14:paraId="3DFC40FF" w14:textId="5CB6B52F" w:rsidR="000B3AF7" w:rsidRPr="00F836CB" w:rsidRDefault="000B3AF7" w:rsidP="004927BB">
      <w:pPr>
        <w:pStyle w:val="Heading2"/>
        <w:spacing w:line="360" w:lineRule="auto"/>
        <w:rPr>
          <w:rFonts w:cs="Times New Roman"/>
          <w:szCs w:val="28"/>
        </w:rPr>
      </w:pPr>
      <w:bookmarkStart w:id="237" w:name="_Toc117153893"/>
      <w:r w:rsidRPr="00F836CB">
        <w:rPr>
          <w:rFonts w:cs="Times New Roman"/>
          <w:szCs w:val="28"/>
        </w:rPr>
        <w:lastRenderedPageBreak/>
        <w:t>NME6 enzymatic properties</w:t>
      </w:r>
      <w:bookmarkEnd w:id="237"/>
    </w:p>
    <w:p w14:paraId="11564C0F" w14:textId="18E9EAFE"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NDPK activity is the key enzymatic property of Group I NME proteins, which rely on the phosphorylation of a specific histidine within the catalytic site. The </w:t>
      </w:r>
      <w:r w:rsidR="000E7B0E">
        <w:rPr>
          <w:rFonts w:ascii="Times New Roman" w:hAnsi="Times New Roman" w:cs="Times New Roman"/>
          <w:sz w:val="24"/>
          <w:szCs w:val="24"/>
        </w:rPr>
        <w:t xml:space="preserve">oligomerization </w:t>
      </w:r>
      <w:r w:rsidR="00C722E0">
        <w:rPr>
          <w:rFonts w:ascii="Times New Roman" w:hAnsi="Times New Roman" w:cs="Times New Roman"/>
          <w:sz w:val="24"/>
          <w:szCs w:val="24"/>
        </w:rPr>
        <w:t>of the protein</w:t>
      </w:r>
      <w:r w:rsidRPr="002E26D2">
        <w:rPr>
          <w:rFonts w:ascii="Times New Roman" w:hAnsi="Times New Roman" w:cs="Times New Roman"/>
          <w:sz w:val="24"/>
          <w:szCs w:val="24"/>
        </w:rPr>
        <w:t xml:space="preserve"> seems to be a prerequisite for measurable enzymatic activity. Here we aimed to study the enzymatic property of NME6 and the related oligomerization status.</w:t>
      </w:r>
    </w:p>
    <w:p w14:paraId="36B091A0" w14:textId="04494B97" w:rsidR="000B3AF7" w:rsidRPr="002E26D2" w:rsidRDefault="000B3AF7" w:rsidP="003775DE">
      <w:pPr>
        <w:pStyle w:val="Heading3"/>
      </w:pPr>
      <w:bookmarkStart w:id="238" w:name="_Toc117153894"/>
      <w:r w:rsidRPr="002E26D2">
        <w:t>NDPK activity</w:t>
      </w:r>
      <w:bookmarkEnd w:id="238"/>
    </w:p>
    <w:p w14:paraId="2ECF671D" w14:textId="762C1305"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NDPK activity assay was performed as described in </w:t>
      </w:r>
      <w:r w:rsidR="001A4A72">
        <w:rPr>
          <w:rFonts w:ascii="Times New Roman" w:hAnsi="Times New Roman" w:cs="Times New Roman"/>
          <w:sz w:val="24"/>
          <w:szCs w:val="24"/>
        </w:rPr>
        <w:t xml:space="preserve">section </w:t>
      </w:r>
      <w:r w:rsidR="00304ECA" w:rsidRPr="002E26D2">
        <w:rPr>
          <w:rFonts w:ascii="Times New Roman" w:hAnsi="Times New Roman" w:cs="Times New Roman"/>
          <w:sz w:val="24"/>
          <w:szCs w:val="24"/>
        </w:rPr>
        <w:fldChar w:fldCharType="begin"/>
      </w:r>
      <w:r w:rsidR="00304ECA" w:rsidRPr="002E26D2">
        <w:rPr>
          <w:rFonts w:ascii="Times New Roman" w:hAnsi="Times New Roman" w:cs="Times New Roman"/>
          <w:sz w:val="24"/>
          <w:szCs w:val="24"/>
        </w:rPr>
        <w:instrText xml:space="preserve"> REF _Ref105769544 \r \h </w:instrText>
      </w:r>
      <w:r w:rsidR="002E26D2" w:rsidRPr="002E26D2">
        <w:rPr>
          <w:rFonts w:ascii="Times New Roman" w:hAnsi="Times New Roman" w:cs="Times New Roman"/>
          <w:sz w:val="24"/>
          <w:szCs w:val="24"/>
        </w:rPr>
        <w:instrText xml:space="preserve"> \* MERGEFORMAT </w:instrText>
      </w:r>
      <w:r w:rsidR="00304ECA" w:rsidRPr="002E26D2">
        <w:rPr>
          <w:rFonts w:ascii="Times New Roman" w:hAnsi="Times New Roman" w:cs="Times New Roman"/>
          <w:sz w:val="24"/>
          <w:szCs w:val="24"/>
        </w:rPr>
      </w:r>
      <w:r w:rsidR="00304ECA"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3.2.3.7</w:t>
      </w:r>
      <w:r w:rsidR="00304ECA" w:rsidRPr="002E26D2">
        <w:rPr>
          <w:rFonts w:ascii="Times New Roman" w:hAnsi="Times New Roman" w:cs="Times New Roman"/>
          <w:sz w:val="24"/>
          <w:szCs w:val="24"/>
        </w:rPr>
        <w:fldChar w:fldCharType="end"/>
      </w:r>
      <w:r w:rsidRPr="002E26D2">
        <w:rPr>
          <w:rFonts w:ascii="Times New Roman" w:hAnsi="Times New Roman" w:cs="Times New Roman"/>
          <w:sz w:val="24"/>
          <w:szCs w:val="24"/>
        </w:rPr>
        <w:t>. Recombinant NME6-186-His and NME6-194-His were tested while NME1-His was used as a positive control. A reaction mix deprived of NME proteins was used as a negative control. The decrease of absorbance of NADH at 340 nm, directly proportional to NDPK activity, was measured over time. The positive control, NME1-His showed NDPK activity of 155 U/mg, while neither the negative control nor any of the NME6-His isoforms displayed measurable enzymatic activity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_Ref106009829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37</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3657A8EA"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6A061AC1" wp14:editId="073D4631">
            <wp:extent cx="4486910" cy="3176270"/>
            <wp:effectExtent l="0" t="0" r="889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86910" cy="3176270"/>
                    </a:xfrm>
                    <a:prstGeom prst="rect">
                      <a:avLst/>
                    </a:prstGeom>
                    <a:noFill/>
                  </pic:spPr>
                </pic:pic>
              </a:graphicData>
            </a:graphic>
          </wp:inline>
        </w:drawing>
      </w:r>
    </w:p>
    <w:p w14:paraId="375B7588" w14:textId="3BF2AECC" w:rsidR="000E7B0E" w:rsidRDefault="00FE642C" w:rsidP="004927BB">
      <w:pPr>
        <w:pStyle w:val="Caption"/>
        <w:spacing w:line="360" w:lineRule="auto"/>
        <w:rPr>
          <w:rFonts w:ascii="Times New Roman" w:hAnsi="Times New Roman" w:cs="Times New Roman"/>
          <w:sz w:val="24"/>
          <w:szCs w:val="24"/>
        </w:rPr>
      </w:pPr>
      <w:bookmarkStart w:id="239" w:name="_Ref106009829"/>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37</w:t>
      </w:r>
      <w:r w:rsidRPr="002E26D2">
        <w:rPr>
          <w:rFonts w:ascii="Times New Roman" w:hAnsi="Times New Roman" w:cs="Times New Roman"/>
          <w:sz w:val="24"/>
          <w:szCs w:val="24"/>
        </w:rPr>
        <w:fldChar w:fldCharType="end"/>
      </w:r>
      <w:bookmarkStart w:id="240" w:name="_Ref105753486"/>
      <w:bookmarkEnd w:id="239"/>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Recombinant NME6 proteins lack NDP</w:t>
      </w:r>
      <w:r w:rsidR="000E7B0E">
        <w:rPr>
          <w:rFonts w:ascii="Times New Roman" w:hAnsi="Times New Roman" w:cs="Times New Roman"/>
          <w:sz w:val="24"/>
          <w:szCs w:val="24"/>
          <w:u w:val="single"/>
        </w:rPr>
        <w:t>K</w:t>
      </w:r>
      <w:r w:rsidR="000B3AF7" w:rsidRPr="002E26D2">
        <w:rPr>
          <w:rFonts w:ascii="Times New Roman" w:hAnsi="Times New Roman" w:cs="Times New Roman"/>
          <w:sz w:val="24"/>
          <w:szCs w:val="24"/>
          <w:u w:val="single"/>
        </w:rPr>
        <w:t xml:space="preserve"> activity.</w:t>
      </w:r>
      <w:r w:rsidR="000B3AF7" w:rsidRPr="006441AE">
        <w:rPr>
          <w:rFonts w:ascii="Times New Roman" w:hAnsi="Times New Roman" w:cs="Times New Roman"/>
          <w:sz w:val="24"/>
          <w:szCs w:val="24"/>
        </w:rPr>
        <w:t xml:space="preserve"> </w:t>
      </w:r>
      <w:r w:rsidR="000B3AF7" w:rsidRPr="002E26D2">
        <w:rPr>
          <w:rFonts w:ascii="Times New Roman" w:hAnsi="Times New Roman" w:cs="Times New Roman"/>
          <w:sz w:val="24"/>
          <w:szCs w:val="24"/>
        </w:rPr>
        <w:t>Purified NME1-His (positive control), NME6-186-His and NME6-194-His recombinant proteins were subjected to enzymatic activity assay where the decrease of NADH absorbance at 340 nm over time is directly proportional to NDPK activity (n=6).</w:t>
      </w:r>
      <w:bookmarkEnd w:id="240"/>
    </w:p>
    <w:p w14:paraId="7F52E018" w14:textId="77777777" w:rsidR="000E7B0E" w:rsidRDefault="000E7B0E">
      <w:pPr>
        <w:rPr>
          <w:rFonts w:ascii="Times New Roman" w:eastAsia="Calibri" w:hAnsi="Times New Roman" w:cs="Times New Roman"/>
          <w:bCs/>
          <w:i/>
          <w:sz w:val="24"/>
          <w:szCs w:val="24"/>
        </w:rPr>
      </w:pPr>
      <w:r>
        <w:rPr>
          <w:rFonts w:ascii="Times New Roman" w:hAnsi="Times New Roman" w:cs="Times New Roman"/>
          <w:sz w:val="24"/>
          <w:szCs w:val="24"/>
        </w:rPr>
        <w:br w:type="page"/>
      </w:r>
    </w:p>
    <w:p w14:paraId="4AB8A278" w14:textId="64BBBDC0" w:rsidR="000B3AF7" w:rsidRPr="002E26D2" w:rsidRDefault="000B3AF7" w:rsidP="003775DE">
      <w:pPr>
        <w:pStyle w:val="Heading3"/>
      </w:pPr>
      <w:bookmarkStart w:id="241" w:name="_Toc117153895"/>
      <w:r w:rsidRPr="002E26D2">
        <w:lastRenderedPageBreak/>
        <w:t>Histidine phosphorylation status of endogenous NME6</w:t>
      </w:r>
      <w:bookmarkEnd w:id="241"/>
    </w:p>
    <w:p w14:paraId="283DBB0C" w14:textId="54FCF04F"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While recombinant NME6 isoforms showed no NDPK activity, we attempted to reveal the endogenous NME6 enzymatic property by studying its histidine phosphorylation status</w:t>
      </w:r>
      <w:r w:rsidR="00304ECA" w:rsidRPr="002E26D2">
        <w:rPr>
          <w:rFonts w:ascii="Times New Roman" w:hAnsi="Times New Roman" w:cs="Times New Roman"/>
          <w:sz w:val="24"/>
          <w:szCs w:val="24"/>
        </w:rPr>
        <w:t xml:space="preserve"> (</w:t>
      </w:r>
      <w:r w:rsidR="00341F2C">
        <w:rPr>
          <w:rFonts w:ascii="Times New Roman" w:hAnsi="Times New Roman" w:cs="Times New Roman"/>
          <w:sz w:val="24"/>
          <w:szCs w:val="24"/>
        </w:rPr>
        <w:t xml:space="preserve">section </w:t>
      </w:r>
      <w:r w:rsidR="00304ECA" w:rsidRPr="002E26D2">
        <w:rPr>
          <w:rFonts w:ascii="Times New Roman" w:hAnsi="Times New Roman" w:cs="Times New Roman"/>
          <w:sz w:val="24"/>
          <w:szCs w:val="24"/>
        </w:rPr>
        <w:fldChar w:fldCharType="begin"/>
      </w:r>
      <w:r w:rsidR="00304ECA" w:rsidRPr="002E26D2">
        <w:rPr>
          <w:rFonts w:ascii="Times New Roman" w:hAnsi="Times New Roman" w:cs="Times New Roman"/>
          <w:sz w:val="24"/>
          <w:szCs w:val="24"/>
        </w:rPr>
        <w:instrText xml:space="preserve"> REF _Ref105769575 \r \h </w:instrText>
      </w:r>
      <w:r w:rsidR="002E26D2" w:rsidRPr="002E26D2">
        <w:rPr>
          <w:rFonts w:ascii="Times New Roman" w:hAnsi="Times New Roman" w:cs="Times New Roman"/>
          <w:sz w:val="24"/>
          <w:szCs w:val="24"/>
        </w:rPr>
        <w:instrText xml:space="preserve"> \* MERGEFORMAT </w:instrText>
      </w:r>
      <w:r w:rsidR="00304ECA" w:rsidRPr="002E26D2">
        <w:rPr>
          <w:rFonts w:ascii="Times New Roman" w:hAnsi="Times New Roman" w:cs="Times New Roman"/>
          <w:sz w:val="24"/>
          <w:szCs w:val="24"/>
        </w:rPr>
      </w:r>
      <w:r w:rsidR="00304ECA"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3.2.3.4</w:t>
      </w:r>
      <w:r w:rsidR="00304ECA" w:rsidRPr="002E26D2">
        <w:rPr>
          <w:rFonts w:ascii="Times New Roman" w:hAnsi="Times New Roman" w:cs="Times New Roman"/>
          <w:sz w:val="24"/>
          <w:szCs w:val="24"/>
        </w:rPr>
        <w:fldChar w:fldCharType="end"/>
      </w:r>
      <w:r w:rsidR="00304ECA" w:rsidRPr="002E26D2">
        <w:rPr>
          <w:rFonts w:ascii="Times New Roman" w:hAnsi="Times New Roman" w:cs="Times New Roman"/>
          <w:sz w:val="24"/>
          <w:szCs w:val="24"/>
        </w:rPr>
        <w:t>)</w:t>
      </w:r>
      <w:r w:rsidRPr="002E26D2">
        <w:rPr>
          <w:rFonts w:ascii="Times New Roman" w:hAnsi="Times New Roman" w:cs="Times New Roman"/>
          <w:sz w:val="24"/>
          <w:szCs w:val="24"/>
        </w:rPr>
        <w:t>. A Western blot was performed in pHis preserving and non-preserving conditions, using highly specific antibodies against phosphorylated histidine in two conformations (1-pHis and 3-pHis), against NME1 as a positive control, and against NME6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_Ref106009838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38</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633D92F3" w14:textId="7B6C5184"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pHis detection revealed a single band in the preserving conditions, while no band was observed in the non-preserving condition. NME1 detection revealed two bands under preserving condition, and a single band under non-preserving condition. It is to note that in preserving condition, the higher NME1 band completely superimpose with the pHis signal (turquoise overlay), thus corresponding to histidine-phosphorylated NME1 (pHis-NME1), the positive control. The histidine phosphorylation induced a visible migration shift between NME1 and pHis-NME1. NME6 detection displayed a single band both in preserving and non-preserving conditions. The protein appeared just in between NME1 and pHis-NME1 on the overlay, and did not superimpose with the pHis signal. Contrary to NME1, the endogenous NME6 lacks phosphorylation of any histidine residue, thus including the active site histidine mandatory for NDPK activity.</w:t>
      </w:r>
    </w:p>
    <w:p w14:paraId="7BEB31B8" w14:textId="77777777" w:rsidR="00FE642C" w:rsidRPr="002E26D2" w:rsidRDefault="000B3AF7" w:rsidP="004927BB">
      <w:pPr>
        <w:keepNext/>
        <w:spacing w:line="360" w:lineRule="auto"/>
        <w:jc w:val="center"/>
        <w:rPr>
          <w:rFonts w:ascii="Times New Roman" w:hAnsi="Times New Roman" w:cs="Times New Roman"/>
          <w:sz w:val="24"/>
          <w:szCs w:val="24"/>
        </w:rPr>
      </w:pPr>
      <w:r>
        <w:rPr>
          <w:noProof/>
        </w:rPr>
        <w:lastRenderedPageBreak/>
        <w:drawing>
          <wp:inline distT="0" distB="0" distL="0" distR="0" wp14:anchorId="54BA84BD" wp14:editId="7C83027D">
            <wp:extent cx="3600000" cy="3824671"/>
            <wp:effectExtent l="0" t="0" r="635" b="4445"/>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A7988B6E-E277-4B0B-A364-F92D52FC1F37}"/>
                        </a:ext>
                      </a:extLst>
                    </a:blip>
                    <a:srcRect l="62744" t="1221" r="2689" b="60073"/>
                    <a:stretch>
                      <a:fillRect/>
                    </a:stretch>
                  </pic:blipFill>
                  <pic:spPr>
                    <a:xfrm>
                      <a:off x="0" y="0"/>
                      <a:ext cx="3600000" cy="3824671"/>
                    </a:xfrm>
                    <a:prstGeom prst="rect">
                      <a:avLst/>
                    </a:prstGeom>
                  </pic:spPr>
                </pic:pic>
              </a:graphicData>
            </a:graphic>
          </wp:inline>
        </w:drawing>
      </w:r>
    </w:p>
    <w:p w14:paraId="1C21F033" w14:textId="5A7B15BA" w:rsidR="000B3AF7" w:rsidRPr="002E26D2" w:rsidRDefault="00FE642C" w:rsidP="004927BB">
      <w:pPr>
        <w:pStyle w:val="Caption"/>
        <w:spacing w:line="360" w:lineRule="auto"/>
        <w:rPr>
          <w:rFonts w:ascii="Times New Roman" w:hAnsi="Times New Roman" w:cs="Times New Roman"/>
          <w:sz w:val="24"/>
          <w:szCs w:val="24"/>
        </w:rPr>
      </w:pPr>
      <w:bookmarkStart w:id="242" w:name="_Ref106009838"/>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38</w:t>
      </w:r>
      <w:r w:rsidRPr="002E26D2">
        <w:rPr>
          <w:rFonts w:ascii="Times New Roman" w:hAnsi="Times New Roman" w:cs="Times New Roman"/>
          <w:sz w:val="24"/>
          <w:szCs w:val="24"/>
        </w:rPr>
        <w:fldChar w:fldCharType="end"/>
      </w:r>
      <w:bookmarkStart w:id="243" w:name="_Ref105753545"/>
      <w:bookmarkEnd w:id="242"/>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Endogenous NME6 lacks histidine phosphorylation.</w:t>
      </w:r>
      <w:r w:rsidR="000B3AF7" w:rsidRPr="002E26D2">
        <w:rPr>
          <w:rFonts w:ascii="Times New Roman" w:hAnsi="Times New Roman" w:cs="Times New Roman"/>
          <w:sz w:val="24"/>
          <w:szCs w:val="24"/>
        </w:rPr>
        <w:t xml:space="preserve"> MDA-MB-231T cell lysate was immunoblotted with and without preserving histidine phosphorylation, using anti-NME1, a mix of anti-phospho-histidine 1-pHis and 3-pHis and anti-NME6 antibodies. Note: A single overlapping signal is observed only in preserving conditions between NME1 and pHis (turquoise), corresponding to pHis-NME1 (positive control).</w:t>
      </w:r>
      <w:bookmarkEnd w:id="243"/>
    </w:p>
    <w:p w14:paraId="5D089783" w14:textId="52F083EA" w:rsidR="000B3AF7" w:rsidRPr="002E26D2" w:rsidRDefault="000B3AF7" w:rsidP="003775DE">
      <w:pPr>
        <w:pStyle w:val="Heading3"/>
      </w:pPr>
      <w:bookmarkStart w:id="244" w:name="_Ref105769761"/>
      <w:bookmarkStart w:id="245" w:name="_Toc117153896"/>
      <w:r w:rsidRPr="002E26D2">
        <w:t>Homo-oligomerization status</w:t>
      </w:r>
      <w:bookmarkEnd w:id="244"/>
      <w:bookmarkEnd w:id="245"/>
    </w:p>
    <w:p w14:paraId="2DA96544" w14:textId="76935B6C"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The homo-oligomerization of human recombinant NME6-His isoforms was first studied by crosslinking, which force the formation of covalent bounds between close-contact </w:t>
      </w:r>
      <w:r w:rsidR="00022C6B">
        <w:rPr>
          <w:rFonts w:ascii="Times New Roman" w:hAnsi="Times New Roman" w:cs="Times New Roman"/>
          <w:sz w:val="24"/>
          <w:szCs w:val="24"/>
        </w:rPr>
        <w:t>peptides</w:t>
      </w:r>
      <w:r w:rsidRPr="002E26D2">
        <w:rPr>
          <w:rFonts w:ascii="Times New Roman" w:hAnsi="Times New Roman" w:cs="Times New Roman"/>
          <w:sz w:val="24"/>
          <w:szCs w:val="24"/>
        </w:rPr>
        <w:t xml:space="preserve"> </w:t>
      </w:r>
      <w:r w:rsidR="0016549F" w:rsidRPr="002E26D2">
        <w:rPr>
          <w:rFonts w:ascii="Times New Roman" w:hAnsi="Times New Roman" w:cs="Times New Roman"/>
          <w:sz w:val="24"/>
          <w:szCs w:val="24"/>
        </w:rPr>
        <w:t>(</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_Ref105769628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3.2.3.9.1</w:t>
      </w:r>
      <w:r w:rsidR="0016549F" w:rsidRPr="002E26D2">
        <w:rPr>
          <w:rFonts w:ascii="Times New Roman" w:hAnsi="Times New Roman" w:cs="Times New Roman"/>
          <w:sz w:val="24"/>
          <w:szCs w:val="24"/>
        </w:rPr>
        <w:fldChar w:fldCharType="end"/>
      </w:r>
      <w:r w:rsidR="0016549F" w:rsidRPr="002E26D2">
        <w:rPr>
          <w:rFonts w:ascii="Times New Roman" w:hAnsi="Times New Roman" w:cs="Times New Roman"/>
          <w:sz w:val="24"/>
          <w:szCs w:val="24"/>
        </w:rPr>
        <w:t xml:space="preserve">) </w:t>
      </w:r>
      <w:r w:rsidRPr="002E26D2">
        <w:rPr>
          <w:rFonts w:ascii="Times New Roman" w:hAnsi="Times New Roman" w:cs="Times New Roman"/>
          <w:sz w:val="24"/>
          <w:szCs w:val="24"/>
        </w:rPr>
        <w:t>(</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_Ref106009847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39</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Samples were separated by SDS-PAGE, transferred to membrane and stained with naphthol blue. Results showed a predominant monomeric structure for both NME6-186-His and NME6-194-His isoforms. A probable dimeric structure could also be detected, while higher oligomerization species, including hexamers, were practically negligible.</w:t>
      </w:r>
    </w:p>
    <w:p w14:paraId="72CFF828"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4ED579E4" wp14:editId="6EB20102">
            <wp:extent cx="3371215" cy="4048125"/>
            <wp:effectExtent l="0" t="0" r="6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71215" cy="4048125"/>
                    </a:xfrm>
                    <a:prstGeom prst="rect">
                      <a:avLst/>
                    </a:prstGeom>
                    <a:noFill/>
                  </pic:spPr>
                </pic:pic>
              </a:graphicData>
            </a:graphic>
          </wp:inline>
        </w:drawing>
      </w:r>
    </w:p>
    <w:p w14:paraId="21208598" w14:textId="6DC21185" w:rsidR="000B3AF7" w:rsidRPr="002E26D2" w:rsidRDefault="00FE642C" w:rsidP="004927BB">
      <w:pPr>
        <w:pStyle w:val="Caption"/>
        <w:spacing w:line="360" w:lineRule="auto"/>
        <w:rPr>
          <w:rFonts w:ascii="Times New Roman" w:hAnsi="Times New Roman" w:cs="Times New Roman"/>
          <w:sz w:val="24"/>
          <w:szCs w:val="24"/>
        </w:rPr>
      </w:pPr>
      <w:bookmarkStart w:id="246" w:name="_Ref106009847"/>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39</w:t>
      </w:r>
      <w:r w:rsidRPr="002E26D2">
        <w:rPr>
          <w:rFonts w:ascii="Times New Roman" w:hAnsi="Times New Roman" w:cs="Times New Roman"/>
          <w:sz w:val="24"/>
          <w:szCs w:val="24"/>
        </w:rPr>
        <w:fldChar w:fldCharType="end"/>
      </w:r>
      <w:bookmarkStart w:id="247" w:name="_Ref105753585"/>
      <w:bookmarkEnd w:id="246"/>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NME6 recombinant proteins remain mostly monomeric under crosslinking conditions.</w:t>
      </w:r>
      <w:r w:rsidR="000B3AF7" w:rsidRPr="002E26D2">
        <w:rPr>
          <w:rFonts w:ascii="Times New Roman" w:hAnsi="Times New Roman" w:cs="Times New Roman"/>
          <w:sz w:val="24"/>
          <w:szCs w:val="24"/>
        </w:rPr>
        <w:t xml:space="preserve"> Glutaraldehyde crosslinking with pure recombinant NME6-186-His or NME6-194-His proteins were analyzed by SDS-PAGE. Proteins were transferred to the membrane and stained with naphthol blue.</w:t>
      </w:r>
      <w:bookmarkEnd w:id="247"/>
    </w:p>
    <w:p w14:paraId="77B1E3E5" w14:textId="41C21DF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A size exclusion chromatography experiment </w:t>
      </w:r>
      <w:r w:rsidR="0016549F" w:rsidRPr="002E26D2">
        <w:rPr>
          <w:rFonts w:ascii="Times New Roman" w:hAnsi="Times New Roman" w:cs="Times New Roman"/>
          <w:sz w:val="24"/>
          <w:szCs w:val="24"/>
        </w:rPr>
        <w:t>(</w:t>
      </w:r>
      <w:r w:rsidR="005522F1">
        <w:rPr>
          <w:rFonts w:ascii="Times New Roman" w:hAnsi="Times New Roman" w:cs="Times New Roman"/>
          <w:sz w:val="24"/>
          <w:szCs w:val="24"/>
        </w:rPr>
        <w:t xml:space="preserve">section </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_Ref105769646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3.2.3.9.2</w:t>
      </w:r>
      <w:r w:rsidR="0016549F" w:rsidRPr="002E26D2">
        <w:rPr>
          <w:rFonts w:ascii="Times New Roman" w:hAnsi="Times New Roman" w:cs="Times New Roman"/>
          <w:sz w:val="24"/>
          <w:szCs w:val="24"/>
        </w:rPr>
        <w:fldChar w:fldCharType="end"/>
      </w:r>
      <w:r w:rsidR="0016549F" w:rsidRPr="002E26D2">
        <w:rPr>
          <w:rFonts w:ascii="Times New Roman" w:hAnsi="Times New Roman" w:cs="Times New Roman"/>
          <w:sz w:val="24"/>
          <w:szCs w:val="24"/>
        </w:rPr>
        <w:t xml:space="preserve">) </w:t>
      </w:r>
      <w:r w:rsidRPr="002E26D2">
        <w:rPr>
          <w:rFonts w:ascii="Times New Roman" w:hAnsi="Times New Roman" w:cs="Times New Roman"/>
          <w:sz w:val="24"/>
          <w:szCs w:val="24"/>
        </w:rPr>
        <w:t>was performed to confirm the results we obtained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_Ref106009856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40</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resulting chromatogram of both NME6-186-His and NME6-194-His revealed a similar and almost exclusive monomeric population, indicating that recombinant NME6 proteins are unable to organize in homo-hexamers, which is deemed essential for functional enzymatic activity.</w:t>
      </w:r>
    </w:p>
    <w:p w14:paraId="469367C9"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3DDD9A1F" wp14:editId="796E5C6B">
            <wp:extent cx="3191774" cy="4584169"/>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02440" cy="4599488"/>
                    </a:xfrm>
                    <a:prstGeom prst="rect">
                      <a:avLst/>
                    </a:prstGeom>
                    <a:noFill/>
                  </pic:spPr>
                </pic:pic>
              </a:graphicData>
            </a:graphic>
          </wp:inline>
        </w:drawing>
      </w:r>
    </w:p>
    <w:p w14:paraId="2A758064" w14:textId="55506AC2" w:rsidR="000B3AF7" w:rsidRPr="002E26D2" w:rsidRDefault="00FE642C" w:rsidP="004927BB">
      <w:pPr>
        <w:pStyle w:val="Caption"/>
        <w:spacing w:line="360" w:lineRule="auto"/>
        <w:rPr>
          <w:rFonts w:ascii="Times New Roman" w:hAnsi="Times New Roman" w:cs="Times New Roman"/>
          <w:sz w:val="24"/>
          <w:szCs w:val="24"/>
        </w:rPr>
      </w:pPr>
      <w:bookmarkStart w:id="248" w:name="_Ref10600985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40</w:t>
      </w:r>
      <w:r w:rsidRPr="002E26D2">
        <w:rPr>
          <w:rFonts w:ascii="Times New Roman" w:hAnsi="Times New Roman" w:cs="Times New Roman"/>
          <w:sz w:val="24"/>
          <w:szCs w:val="24"/>
        </w:rPr>
        <w:fldChar w:fldCharType="end"/>
      </w:r>
      <w:bookmarkStart w:id="249" w:name="_Ref105753612"/>
      <w:bookmarkEnd w:id="248"/>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NME6 recombinant proteins are mostly monomeric.</w:t>
      </w:r>
      <w:r w:rsidR="000B3AF7" w:rsidRPr="00112513">
        <w:rPr>
          <w:rFonts w:ascii="Times New Roman" w:hAnsi="Times New Roman" w:cs="Times New Roman"/>
          <w:sz w:val="24"/>
          <w:szCs w:val="24"/>
        </w:rPr>
        <w:t xml:space="preserve"> </w:t>
      </w:r>
      <w:r w:rsidR="000B3AF7" w:rsidRPr="002E26D2">
        <w:rPr>
          <w:rFonts w:ascii="Times New Roman" w:hAnsi="Times New Roman" w:cs="Times New Roman"/>
          <w:sz w:val="24"/>
          <w:szCs w:val="24"/>
        </w:rPr>
        <w:t>Size exclusion chromatography was performed by loading purified recombinant proteins NME6-186-His and NME6-194-His onto a Superdex 200 Increase 10/300 GL column, calibrated for molecular mass by a series of standard proteins. The protein elution profile was recorded by absorbance at 215 nm. The elution volume of monomers (M), dimers (D), trimers (T) and hexamers (H) expected from the calibration is indicated by arrows.</w:t>
      </w:r>
      <w:bookmarkEnd w:id="249"/>
    </w:p>
    <w:p w14:paraId="78CB5783" w14:textId="6C2F04B3"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 get insight of the NME6 homo-oligomerization status under the more realistic condition of cellular environment, an immunoprecipitation experiment was performed</w:t>
      </w:r>
      <w:r w:rsidR="0016549F" w:rsidRPr="002E26D2">
        <w:rPr>
          <w:rFonts w:ascii="Times New Roman" w:hAnsi="Times New Roman" w:cs="Times New Roman"/>
          <w:sz w:val="24"/>
          <w:szCs w:val="24"/>
        </w:rPr>
        <w:t xml:space="preserve"> </w:t>
      </w:r>
      <w:r w:rsidR="00090FBE">
        <w:rPr>
          <w:rFonts w:ascii="Times New Roman" w:hAnsi="Times New Roman" w:cs="Times New Roman"/>
          <w:sz w:val="24"/>
          <w:szCs w:val="24"/>
        </w:rPr>
        <w:t xml:space="preserve">as described in section </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_Ref105769665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3.2.3.5</w:t>
      </w:r>
      <w:r w:rsidR="0016549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MDA-MB-231T cells were transfected to express NME6-186-FLAG or NME6-194-FLAG and proteins were extracted 48</w:t>
      </w:r>
      <w:r w:rsidR="00090FBE">
        <w:rPr>
          <w:rFonts w:ascii="Times New Roman" w:hAnsi="Times New Roman" w:cs="Times New Roman"/>
          <w:sz w:val="24"/>
          <w:szCs w:val="24"/>
        </w:rPr>
        <w:t xml:space="preserve"> </w:t>
      </w:r>
      <w:r w:rsidRPr="002E26D2">
        <w:rPr>
          <w:rFonts w:ascii="Times New Roman" w:hAnsi="Times New Roman" w:cs="Times New Roman"/>
          <w:sz w:val="24"/>
          <w:szCs w:val="24"/>
        </w:rPr>
        <w:t>h post transfection. Cell lysates were subjected to immunoprecipitation using FLAG agarose, in order to pull down NME6-FLAG proteins. Western blot was conducted using NME6 antibody to reveal both endogenous and exogenous proteins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_Ref106009865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41</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Results clearly showed that the pull-down of NME6-FLAG, either 186 or 194, did not co-immunoprecipitate the endogenous NME6 in the IP fraction. This confirmed the lack of homo-oligomerization of NME6 in live cell.</w:t>
      </w:r>
    </w:p>
    <w:p w14:paraId="75AD2284"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19DC67D0" wp14:editId="3787629E">
            <wp:extent cx="3416061" cy="251709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43738" cy="2537492"/>
                    </a:xfrm>
                    <a:prstGeom prst="rect">
                      <a:avLst/>
                    </a:prstGeom>
                    <a:noFill/>
                  </pic:spPr>
                </pic:pic>
              </a:graphicData>
            </a:graphic>
          </wp:inline>
        </w:drawing>
      </w:r>
    </w:p>
    <w:p w14:paraId="2E2165AB" w14:textId="09ACCCE1" w:rsidR="000B3AF7" w:rsidRPr="002E26D2" w:rsidRDefault="00FE642C" w:rsidP="004927BB">
      <w:pPr>
        <w:pStyle w:val="Caption"/>
        <w:spacing w:line="360" w:lineRule="auto"/>
        <w:rPr>
          <w:rFonts w:ascii="Times New Roman" w:hAnsi="Times New Roman" w:cs="Times New Roman"/>
          <w:sz w:val="24"/>
          <w:szCs w:val="24"/>
        </w:rPr>
      </w:pPr>
      <w:bookmarkStart w:id="250" w:name="_Ref106009865"/>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41</w:t>
      </w:r>
      <w:r w:rsidRPr="002E26D2">
        <w:rPr>
          <w:rFonts w:ascii="Times New Roman" w:hAnsi="Times New Roman" w:cs="Times New Roman"/>
          <w:sz w:val="24"/>
          <w:szCs w:val="24"/>
        </w:rPr>
        <w:fldChar w:fldCharType="end"/>
      </w:r>
      <w:bookmarkStart w:id="251" w:name="_Ref105753641"/>
      <w:bookmarkEnd w:id="250"/>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Endogenous NME6 and exogenous NME6-FLAG do not interact in the cellular environment.</w:t>
      </w:r>
      <w:r w:rsidR="000B3AF7" w:rsidRPr="002E26D2">
        <w:rPr>
          <w:rFonts w:ascii="Times New Roman" w:hAnsi="Times New Roman" w:cs="Times New Roman"/>
          <w:sz w:val="24"/>
          <w:szCs w:val="24"/>
        </w:rPr>
        <w:t xml:space="preserve"> Cell lysates from MDA-MB-231T cells transiently transfected to express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NME6-186-FLAG and </w:t>
      </w:r>
      <w:r w:rsidR="000B3AF7" w:rsidRPr="002E26D2">
        <w:rPr>
          <w:rFonts w:ascii="Times New Roman" w:hAnsi="Times New Roman" w:cs="Times New Roman"/>
          <w:b/>
          <w:sz w:val="24"/>
          <w:szCs w:val="24"/>
        </w:rPr>
        <w:t>b</w:t>
      </w:r>
      <w:r w:rsidR="000B3AF7" w:rsidRPr="002E26D2">
        <w:rPr>
          <w:rFonts w:ascii="Times New Roman" w:hAnsi="Times New Roman" w:cs="Times New Roman"/>
          <w:sz w:val="24"/>
          <w:szCs w:val="24"/>
        </w:rPr>
        <w:t xml:space="preserve"> NME6-194-FLAG were pulled-down with FLAG-agarose. Input proteins (I), supernatant depleted of pulled-down proteins (Sn) and eluted proteins (IP) were analyzed by immunoblot with anti-NME6 antibody. FLAG-agarose efficiently immunoprecipitated NME6-FLAG, but failed to co-immunoprecipitate the endogenous NME6, revealing a lack of homo-oligomerization.</w:t>
      </w:r>
      <w:bookmarkEnd w:id="251"/>
    </w:p>
    <w:p w14:paraId="52462617" w14:textId="4E6DFB4A" w:rsidR="000B3AF7" w:rsidRPr="002E26D2" w:rsidRDefault="000B3AF7" w:rsidP="003775DE">
      <w:pPr>
        <w:pStyle w:val="Heading3"/>
      </w:pPr>
      <w:bookmarkStart w:id="252" w:name="_Toc117153897"/>
      <w:r w:rsidRPr="002E26D2">
        <w:t>Hetero-oligomerization status</w:t>
      </w:r>
      <w:bookmarkEnd w:id="252"/>
    </w:p>
    <w:p w14:paraId="68301971" w14:textId="6E0A616E"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It has been demonstrated that NME1 and NME2 can assemble as hetero-oligomers to form enzymatically active NME complexes. As NME6 was unable to form homo-oligomers, we studied its ability to form hetero-oligomers with the Group I NME proteins. Immunoprecipitations were performed</w:t>
      </w:r>
      <w:r w:rsidR="0016549F" w:rsidRPr="002E26D2">
        <w:rPr>
          <w:rFonts w:ascii="Times New Roman" w:hAnsi="Times New Roman" w:cs="Times New Roman"/>
          <w:sz w:val="24"/>
          <w:szCs w:val="24"/>
        </w:rPr>
        <w:t xml:space="preserve"> </w:t>
      </w:r>
      <w:r w:rsidR="006073F8">
        <w:rPr>
          <w:rFonts w:ascii="Times New Roman" w:hAnsi="Times New Roman" w:cs="Times New Roman"/>
          <w:sz w:val="24"/>
          <w:szCs w:val="24"/>
        </w:rPr>
        <w:t xml:space="preserve">as described in section </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_Ref105769665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3.2.3.5</w:t>
      </w:r>
      <w:r w:rsidR="0016549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in a forward and reverse manner and analyzed by Western blot, using NME6, NME1, NME1/NME2 and FLAG antibodies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_Ref106009873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42</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First NME1 was immunoprecipitated with a highly specific NME1 antibody that does not recognize NME2. The Western blot was performed using NME6 and NME1/NME2 antibody that recognize both NME1 and NME2. Results show that NME1 is able to co-immunoprecipitate NME2, but not NME6. The reverse experiment confirmed the lack of interaction between endogenous NME1/NME2 and NME6. As endogenous NME3 and NME4 displayed almost undetectable levels by Western blot in our model, MDA-MB-231T cells were transfected to express exogenous NME3-FLAG and NME4-FLAG. Expression of NME4-FLAG generated two detectable bands with the FLAG antibody: a full-length protein and a truncated one after import, due to the cleavage of the mitochondrial targeting sequence. </w:t>
      </w:r>
      <w:r w:rsidRPr="002E26D2">
        <w:rPr>
          <w:rFonts w:ascii="Times New Roman" w:hAnsi="Times New Roman" w:cs="Times New Roman"/>
          <w:sz w:val="24"/>
          <w:szCs w:val="24"/>
        </w:rPr>
        <w:lastRenderedPageBreak/>
        <w:t>NME3 and NME4 were efficiently pulled down using FLAG-agarose, but endogenous NME6 was never co-immunoprecipitated. The reverse experiment ended to confirm the lack of interaction between endogenous NME6 and NME3 or NME4. As a result, we can confirm that NME6 is not interacting with any of the Group I NME proteins in the cellular environment, and, therefore, cannot form higher hetero-oligomers.</w:t>
      </w:r>
    </w:p>
    <w:p w14:paraId="3B5E19EC"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5FDF08E2" wp14:editId="0A64BCDE">
            <wp:extent cx="5731510" cy="3714650"/>
            <wp:effectExtent l="0" t="0" r="254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3714650"/>
                    </a:xfrm>
                    <a:prstGeom prst="rect">
                      <a:avLst/>
                    </a:prstGeom>
                    <a:noFill/>
                    <a:ln>
                      <a:noFill/>
                    </a:ln>
                  </pic:spPr>
                </pic:pic>
              </a:graphicData>
            </a:graphic>
          </wp:inline>
        </w:drawing>
      </w:r>
    </w:p>
    <w:p w14:paraId="5D7DE539" w14:textId="3EDDDCCD" w:rsidR="00112513" w:rsidRDefault="00FE642C" w:rsidP="004927BB">
      <w:pPr>
        <w:pStyle w:val="Caption"/>
        <w:spacing w:line="360" w:lineRule="auto"/>
        <w:rPr>
          <w:rFonts w:ascii="Times New Roman" w:hAnsi="Times New Roman" w:cs="Times New Roman"/>
          <w:sz w:val="24"/>
          <w:szCs w:val="24"/>
        </w:rPr>
      </w:pPr>
      <w:bookmarkStart w:id="253" w:name="_Ref106009873"/>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42</w:t>
      </w:r>
      <w:r w:rsidRPr="002E26D2">
        <w:rPr>
          <w:rFonts w:ascii="Times New Roman" w:hAnsi="Times New Roman" w:cs="Times New Roman"/>
          <w:sz w:val="24"/>
          <w:szCs w:val="24"/>
        </w:rPr>
        <w:fldChar w:fldCharType="end"/>
      </w:r>
      <w:bookmarkStart w:id="254" w:name="_Ref105753676"/>
      <w:bookmarkEnd w:id="253"/>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Endogenous NME6 does not interact with Group I NME proteins.</w:t>
      </w:r>
      <w:r w:rsidR="000B3AF7" w:rsidRPr="006441AE">
        <w:rPr>
          <w:rFonts w:ascii="Times New Roman" w:hAnsi="Times New Roman" w:cs="Times New Roman"/>
          <w:sz w:val="24"/>
          <w:szCs w:val="24"/>
        </w:rPr>
        <w:t xml:space="preserve"> </w:t>
      </w:r>
      <w:r w:rsidR="000B3AF7" w:rsidRPr="002E26D2">
        <w:rPr>
          <w:rFonts w:ascii="Times New Roman" w:hAnsi="Times New Roman" w:cs="Times New Roman"/>
          <w:sz w:val="24"/>
          <w:szCs w:val="24"/>
        </w:rPr>
        <w:t xml:space="preserve">Co-immunoprecipitations were performed in a forward and reverse manner between Group I NME proteins and endogenous NME6 protein in MDA-MB-231T cells. Input proteins (I), supernatant depleted of immunoprecipitated proteins (Sn) and eluted proteins (IP) were analyzed by Western blot.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Endogenous NME proteins were immunoprecipitated using anti-NME1 or anti-NME6 coupled with Dynabeads™ protein G. Western blots were performed using anti-NME1/2 antibody against NME1 (</w:t>
      </w:r>
      <w:r w:rsidR="000B3AF7" w:rsidRPr="002E26D2">
        <w:rPr>
          <w:rFonts w:ascii="Times New Roman" w:hAnsi="Times New Roman" w:cs="Times New Roman"/>
          <w:sz w:val="24"/>
          <w:szCs w:val="24"/>
          <w14:textOutline w14:w="9525" w14:cap="rnd" w14:cmpd="sng" w14:algn="ctr">
            <w14:solidFill>
              <w14:srgbClr w14:val="000000"/>
            </w14:solidFill>
            <w14:prstDash w14:val="solid"/>
            <w14:bevel/>
          </w14:textOutline>
        </w:rPr>
        <w:t>►</w:t>
      </w:r>
      <w:r w:rsidR="000B3AF7" w:rsidRPr="002E26D2">
        <w:rPr>
          <w:rFonts w:ascii="Times New Roman" w:hAnsi="Times New Roman" w:cs="Times New Roman"/>
          <w:sz w:val="24"/>
          <w:szCs w:val="24"/>
        </w:rPr>
        <w:t>) and NME2 (</w:t>
      </w:r>
      <w:r w:rsidR="000B3AF7" w:rsidRPr="002E26D2">
        <w:rPr>
          <w:rFonts w:ascii="Times New Roman" w:hAnsi="Times New Roman" w:cs="Times New Roman"/>
          <w:color w:val="FFFFFF" w:themeColor="background1"/>
          <w:sz w:val="24"/>
          <w:szCs w:val="24"/>
          <w14:textOutline w14:w="9525" w14:cap="rnd" w14:cmpd="sng" w14:algn="ctr">
            <w14:solidFill>
              <w14:srgbClr w14:val="000000"/>
            </w14:solidFill>
            <w14:prstDash w14:val="solid"/>
            <w14:bevel/>
          </w14:textOutline>
        </w:rPr>
        <w:t>►</w:t>
      </w:r>
      <w:r w:rsidR="000B3AF7" w:rsidRPr="002E26D2">
        <w:rPr>
          <w:rFonts w:ascii="Times New Roman" w:hAnsi="Times New Roman" w:cs="Times New Roman"/>
          <w:sz w:val="24"/>
          <w:szCs w:val="24"/>
        </w:rPr>
        <w:t xml:space="preserve">), and anti-NME6. Proteins from cells transiently transfected to express </w:t>
      </w:r>
      <w:r w:rsidR="000B3AF7" w:rsidRPr="002E26D2">
        <w:rPr>
          <w:rFonts w:ascii="Times New Roman" w:hAnsi="Times New Roman" w:cs="Times New Roman"/>
          <w:b/>
          <w:sz w:val="24"/>
          <w:szCs w:val="24"/>
        </w:rPr>
        <w:t>b</w:t>
      </w:r>
      <w:r w:rsidR="000B3AF7" w:rsidRPr="002E26D2">
        <w:rPr>
          <w:rFonts w:ascii="Times New Roman" w:hAnsi="Times New Roman" w:cs="Times New Roman"/>
          <w:sz w:val="24"/>
          <w:szCs w:val="24"/>
        </w:rPr>
        <w:t xml:space="preserve"> NME3-FLAG or </w:t>
      </w:r>
      <w:r w:rsidR="000B3AF7" w:rsidRPr="002E26D2">
        <w:rPr>
          <w:rFonts w:ascii="Times New Roman" w:hAnsi="Times New Roman" w:cs="Times New Roman"/>
          <w:b/>
          <w:sz w:val="24"/>
          <w:szCs w:val="24"/>
        </w:rPr>
        <w:t>c</w:t>
      </w:r>
      <w:r w:rsidR="000B3AF7" w:rsidRPr="002E26D2">
        <w:rPr>
          <w:rFonts w:ascii="Times New Roman" w:hAnsi="Times New Roman" w:cs="Times New Roman"/>
          <w:sz w:val="24"/>
          <w:szCs w:val="24"/>
        </w:rPr>
        <w:t xml:space="preserve"> NME4-FLAG were pulled-down using FLAG-agarose or anti-NME6 coupled with Dynabeads™ protein G. Western blots were revealed using anti-FLAG and anti-NME6. NME4-FLAG displays two bands corresponding to NME4-full-length (</w:t>
      </w:r>
      <w:r w:rsidR="000B3AF7" w:rsidRPr="002E26D2">
        <w:rPr>
          <w:rFonts w:ascii="Times New Roman" w:hAnsi="Times New Roman" w:cs="Times New Roman"/>
          <w:noProof/>
          <w:sz w:val="24"/>
          <w:szCs w:val="24"/>
          <w:lang w:val="hr-HR" w:eastAsia="hr-HR"/>
        </w:rPr>
        <mc:AlternateContent>
          <mc:Choice Requires="wps">
            <w:drawing>
              <wp:inline distT="0" distB="0" distL="0" distR="0" wp14:anchorId="55AE404D" wp14:editId="18E5B7E5">
                <wp:extent cx="143510" cy="71755"/>
                <wp:effectExtent l="19050" t="19050" r="27940" b="42545"/>
                <wp:docPr id="24" name="Flowchart: Decision 86"/>
                <wp:cNvGraphicFramePr/>
                <a:graphic xmlns:a="http://schemas.openxmlformats.org/drawingml/2006/main">
                  <a:graphicData uri="http://schemas.microsoft.com/office/word/2010/wordprocessingShape">
                    <wps:wsp>
                      <wps:cNvSpPr/>
                      <wps:spPr>
                        <a:xfrm>
                          <a:off x="0" y="0"/>
                          <a:ext cx="143510" cy="71755"/>
                        </a:xfrm>
                        <a:prstGeom prst="flowChartDecisio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pic="http://schemas.openxmlformats.org/drawingml/2006/picture" xmlns:a14="http://schemas.microsoft.com/office/drawing/2010/main" xmlns:a16="http://schemas.microsoft.com/office/drawing/2014/main" xmlns:w16sdtdh="http://schemas.microsoft.com/office/word/2020/wordml/sdtdatahash" xmlns:w16="http://schemas.microsoft.com/office/word/2018/wordml" xmlns:w16cex="http://schemas.microsoft.com/office/word/2018/wordml/cex">
            <w:pict w14:anchorId="1D01CCC9">
              <v:shapetype id="_x0000_t110" coordsize="21600,21600" o:spt="110" path="m10800,l,10800,10800,21600,21600,10800xe" w14:anchorId="6981AAAA">
                <v:stroke joinstyle="miter"/>
                <v:path textboxrect="5400,5400,16200,16200" gradientshapeok="t" o:connecttype="rect"/>
              </v:shapetype>
              <v:shape id="Flowchart: Decision 86" style="width:11.3pt;height:5.65pt;visibility:visible;mso-wrap-style:square;mso-left-percent:-10001;mso-top-percent:-10001;mso-position-horizontal:absolute;mso-position-horizontal-relative:char;mso-position-vertical:absolute;mso-position-vertical-relative:line;mso-left-percent:-10001;mso-top-percent:-10001;v-text-anchor:middle" o:spid="_x0000_s1026" fillcolor="windowText" strokecolor="windowText" strokeweight="1pt" type="#_x0000_t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">
                <w10:anchorlock/>
              </v:shape>
            </w:pict>
          </mc:Fallback>
        </mc:AlternateContent>
      </w:r>
      <w:r w:rsidR="000B3AF7" w:rsidRPr="002E26D2">
        <w:rPr>
          <w:rFonts w:ascii="Times New Roman" w:hAnsi="Times New Roman" w:cs="Times New Roman"/>
          <w:sz w:val="24"/>
          <w:szCs w:val="24"/>
        </w:rPr>
        <w:t xml:space="preserve">) and NME4-truncated </w:t>
      </w:r>
      <w:r w:rsidR="00E20C32">
        <w:rPr>
          <w:rFonts w:ascii="Times New Roman" w:hAnsi="Times New Roman" w:cs="Times New Roman"/>
          <w:sz w:val="24"/>
          <w:szCs w:val="24"/>
        </w:rPr>
        <w:t>(</w:t>
      </w:r>
      <w:r w:rsidR="00E20C32" w:rsidRPr="002E26D2">
        <w:rPr>
          <w:rFonts w:ascii="Times New Roman" w:hAnsi="Times New Roman" w:cs="Times New Roman"/>
          <w:noProof/>
          <w:sz w:val="24"/>
          <w:szCs w:val="24"/>
          <w:lang w:val="hr-HR" w:eastAsia="hr-HR"/>
        </w:rPr>
        <mc:AlternateContent>
          <mc:Choice Requires="wps">
            <w:drawing>
              <wp:inline distT="0" distB="0" distL="0" distR="0" wp14:anchorId="075CF79A" wp14:editId="1493796F">
                <wp:extent cx="143510" cy="71755"/>
                <wp:effectExtent l="19050" t="19050" r="27940" b="42545"/>
                <wp:docPr id="25" name="Flowchart: Decision 87"/>
                <wp:cNvGraphicFramePr/>
                <a:graphic xmlns:a="http://schemas.openxmlformats.org/drawingml/2006/main">
                  <a:graphicData uri="http://schemas.microsoft.com/office/word/2010/wordprocessingShape">
                    <wps:wsp>
                      <wps:cNvSpPr/>
                      <wps:spPr>
                        <a:xfrm>
                          <a:off x="0" y="0"/>
                          <a:ext cx="143510" cy="71755"/>
                        </a:xfrm>
                        <a:prstGeom prst="flowChartDecision">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xmlns:pic="http://schemas.openxmlformats.org/drawingml/2006/picture" xmlns:a14="http://schemas.microsoft.com/office/drawing/2010/main" xmlns:a16="http://schemas.microsoft.com/office/drawing/2014/main" xmlns:w16sdtdh="http://schemas.microsoft.com/office/word/2020/wordml/sdtdatahash" xmlns:w16="http://schemas.microsoft.com/office/word/2018/wordml" xmlns:w16cex="http://schemas.microsoft.com/office/word/2018/wordml/cex">
            <w:pict w14:anchorId="0A68D857">
              <v:shape id="Flowchart: Decision 87" style="width:11.3pt;height:5.65pt;visibility:visible;mso-wrap-style:square;mso-left-percent:-10001;mso-top-percent:-10001;mso-position-horizontal:absolute;mso-position-horizontal-relative:char;mso-position-vertical:absolute;mso-position-vertical-relative:line;mso-left-percent:-10001;mso-top-percent:-10001;v-text-anchor:middle" o:spid="_x0000_s1026" fillcolor="window" strokecolor="windowText" strokeweight="1pt" type="#_x0000_t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" w14:anchorId="0575FEF6">
                <w10:anchorlock/>
              </v:shape>
            </w:pict>
          </mc:Fallback>
        </mc:AlternateContent>
      </w:r>
      <w:r w:rsidR="00E20C32">
        <w:rPr>
          <w:rFonts w:ascii="Times New Roman" w:hAnsi="Times New Roman" w:cs="Times New Roman"/>
          <w:sz w:val="24"/>
          <w:szCs w:val="24"/>
        </w:rPr>
        <w:t xml:space="preserve">) </w:t>
      </w:r>
      <w:r w:rsidR="000B3AF7" w:rsidRPr="002E26D2">
        <w:rPr>
          <w:rFonts w:ascii="Times New Roman" w:hAnsi="Times New Roman" w:cs="Times New Roman"/>
          <w:sz w:val="24"/>
          <w:szCs w:val="24"/>
        </w:rPr>
        <w:t>after mitochondrial import. NME6 shows no interaction with Group I NME proteins.</w:t>
      </w:r>
      <w:bookmarkEnd w:id="254"/>
    </w:p>
    <w:p w14:paraId="67C6E4D5" w14:textId="77777777" w:rsidR="00112513" w:rsidRDefault="00112513">
      <w:pPr>
        <w:rPr>
          <w:rFonts w:ascii="Times New Roman" w:eastAsia="Calibri" w:hAnsi="Times New Roman" w:cs="Times New Roman"/>
          <w:bCs/>
          <w:i/>
          <w:sz w:val="24"/>
          <w:szCs w:val="24"/>
        </w:rPr>
      </w:pPr>
      <w:r>
        <w:rPr>
          <w:rFonts w:ascii="Times New Roman" w:hAnsi="Times New Roman" w:cs="Times New Roman"/>
          <w:sz w:val="24"/>
          <w:szCs w:val="24"/>
        </w:rPr>
        <w:br w:type="page"/>
      </w:r>
    </w:p>
    <w:p w14:paraId="41CFAC8D" w14:textId="7038B3CC" w:rsidR="000B3AF7" w:rsidRPr="00F836CB" w:rsidRDefault="000B3AF7" w:rsidP="004927BB">
      <w:pPr>
        <w:pStyle w:val="Heading2"/>
        <w:spacing w:line="360" w:lineRule="auto"/>
        <w:rPr>
          <w:rFonts w:cs="Times New Roman"/>
          <w:szCs w:val="28"/>
        </w:rPr>
      </w:pPr>
      <w:bookmarkStart w:id="255" w:name="_Toc117153898"/>
      <w:r w:rsidRPr="00F836CB">
        <w:rPr>
          <w:rFonts w:cs="Times New Roman"/>
          <w:szCs w:val="28"/>
        </w:rPr>
        <w:lastRenderedPageBreak/>
        <w:t>NME6 interacting partners</w:t>
      </w:r>
      <w:bookmarkEnd w:id="255"/>
    </w:p>
    <w:p w14:paraId="571B65D4" w14:textId="22193F85" w:rsidR="000B3AF7" w:rsidRPr="002E26D2" w:rsidRDefault="000B3AF7" w:rsidP="003775DE">
      <w:pPr>
        <w:pStyle w:val="Heading3"/>
      </w:pPr>
      <w:bookmarkStart w:id="256" w:name="_Toc117153899"/>
      <w:r w:rsidRPr="002E26D2">
        <w:t>Interaction</w:t>
      </w:r>
      <w:r w:rsidR="00396D3C">
        <w:t>s</w:t>
      </w:r>
      <w:r w:rsidRPr="002E26D2">
        <w:t xml:space="preserve"> with other proteins</w:t>
      </w:r>
      <w:bookmarkEnd w:id="256"/>
    </w:p>
    <w:p w14:paraId="511E503B" w14:textId="052211E5"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 foresee the possible NME6 functions, we attempted to find interacting partners. Several potential targets based on available literature were tested by immunoprecipitation</w:t>
      </w:r>
      <w:r w:rsidR="0016549F" w:rsidRPr="002E26D2">
        <w:rPr>
          <w:rFonts w:ascii="Times New Roman" w:hAnsi="Times New Roman" w:cs="Times New Roman"/>
          <w:sz w:val="24"/>
          <w:szCs w:val="24"/>
        </w:rPr>
        <w:t xml:space="preserve"> (</w:t>
      </w:r>
      <w:r w:rsidR="00555A16">
        <w:rPr>
          <w:rFonts w:ascii="Times New Roman" w:hAnsi="Times New Roman" w:cs="Times New Roman"/>
          <w:sz w:val="24"/>
          <w:szCs w:val="24"/>
        </w:rPr>
        <w:t xml:space="preserve">section </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_Ref105769665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3.2.3.5</w:t>
      </w:r>
      <w:r w:rsidR="0016549F" w:rsidRPr="002E26D2">
        <w:rPr>
          <w:rFonts w:ascii="Times New Roman" w:hAnsi="Times New Roman" w:cs="Times New Roman"/>
          <w:sz w:val="24"/>
          <w:szCs w:val="24"/>
        </w:rPr>
        <w:fldChar w:fldCharType="end"/>
      </w:r>
      <w:r w:rsidR="0016549F" w:rsidRPr="002E26D2">
        <w:rPr>
          <w:rFonts w:ascii="Times New Roman" w:hAnsi="Times New Roman" w:cs="Times New Roman"/>
          <w:sz w:val="24"/>
          <w:szCs w:val="24"/>
        </w:rPr>
        <w:t>)</w:t>
      </w:r>
      <w:r w:rsidRPr="002E26D2">
        <w:rPr>
          <w:rFonts w:ascii="Times New Roman" w:hAnsi="Times New Roman" w:cs="Times New Roman"/>
          <w:sz w:val="24"/>
          <w:szCs w:val="24"/>
        </w:rPr>
        <w:t xml:space="preserve">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_Ref106009882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43</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Among targets, </w:t>
      </w:r>
      <w:r w:rsidR="001B7A11" w:rsidRPr="002E26D2">
        <w:rPr>
          <w:rFonts w:ascii="Times New Roman" w:hAnsi="Times New Roman" w:cs="Times New Roman"/>
          <w:sz w:val="24"/>
          <w:szCs w:val="24"/>
        </w:rPr>
        <w:t xml:space="preserve">RCC1L was selected upon its frequent detection as a NME6 interactor in large scale protein-protein interaction mapping studies. </w:t>
      </w:r>
      <w:r w:rsidRPr="002E26D2">
        <w:rPr>
          <w:rFonts w:ascii="Times New Roman" w:hAnsi="Times New Roman" w:cs="Times New Roman"/>
          <w:sz w:val="24"/>
          <w:szCs w:val="24"/>
        </w:rPr>
        <w:t xml:space="preserve">OPA1 was selected due to its already described interaction with NME4 and RCC1L. Immunoprecipitations were performed </w:t>
      </w:r>
      <w:r w:rsidR="001B7A11">
        <w:rPr>
          <w:rFonts w:ascii="Times New Roman" w:hAnsi="Times New Roman" w:cs="Times New Roman"/>
          <w:sz w:val="24"/>
          <w:szCs w:val="24"/>
        </w:rPr>
        <w:t>using</w:t>
      </w:r>
      <w:r w:rsidRPr="002E26D2">
        <w:rPr>
          <w:rFonts w:ascii="Times New Roman" w:hAnsi="Times New Roman" w:cs="Times New Roman"/>
          <w:sz w:val="24"/>
          <w:szCs w:val="24"/>
        </w:rPr>
        <w:t xml:space="preserve"> MDA-MB-231T cells or clones overexpressing NME6-186-FLAG and NME6-194-FLAG, using FLAG, NME6 and RCC1L antibodies to pull down proteins. Irrelevant IgGs were used as a negative control. Results show that OPA1 was not co-immunoprecipitated, either with NME6 or RCC1L protein. RCC1L was successfully co-immunoprecipitated with both endogenous and exogenous NME6. The reverse experiment showed that endogenous NME6 and NME6-FLAG were both co-immunoprecipitated by RCC1L, thus demonstrating the presence of a strong and stable interaction between NME6 and RCC1L. Interestingly, as reported in the section </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_Ref105769761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4.4.3</w:t>
      </w:r>
      <w:r w:rsidR="0016549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NME6-FLAG failed to co-immunoprecipitate the endogenous NME6 (IP: α-FLAG), confirming the absence of an interaction between NME6 monomers, impairing the formation of higher homo-oligomers.</w:t>
      </w:r>
    </w:p>
    <w:p w14:paraId="7001B6A7"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72F7E500" wp14:editId="6DE247DF">
            <wp:extent cx="5760000" cy="4601108"/>
            <wp:effectExtent l="0" t="0" r="0" b="9525"/>
            <wp:docPr id="53" name="Picture 2">
              <a:extLst xmlns:a="http://schemas.openxmlformats.org/drawingml/2006/main">
                <a:ext uri="{FF2B5EF4-FFF2-40B4-BE49-F238E27FC236}">
                  <a16:creationId xmlns:a16="http://schemas.microsoft.com/office/drawing/2014/main" id="{CCFB538C-EB19-4D3B-B7FA-CEA9DA2CAE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CFB538C-EB19-4D3B-B7FA-CEA9DA2CAE01}"/>
                        </a:ext>
                      </a:extLst>
                    </pic:cNvPr>
                    <pic:cNvPicPr>
                      <a:picLocks noChangeAspect="1"/>
                    </pic:cNvPicPr>
                  </pic:nvPicPr>
                  <pic:blipFill>
                    <a:blip r:embed="rId55"/>
                    <a:stretch>
                      <a:fillRect/>
                    </a:stretch>
                  </pic:blipFill>
                  <pic:spPr>
                    <a:xfrm>
                      <a:off x="0" y="0"/>
                      <a:ext cx="5760000" cy="4601108"/>
                    </a:xfrm>
                    <a:prstGeom prst="rect">
                      <a:avLst/>
                    </a:prstGeom>
                  </pic:spPr>
                </pic:pic>
              </a:graphicData>
            </a:graphic>
          </wp:inline>
        </w:drawing>
      </w:r>
    </w:p>
    <w:p w14:paraId="315F9F02" w14:textId="4E84E9F5" w:rsidR="006B21CA" w:rsidRDefault="00FE642C" w:rsidP="006B21CA">
      <w:pPr>
        <w:pStyle w:val="Caption"/>
        <w:spacing w:line="360" w:lineRule="auto"/>
        <w:rPr>
          <w:rFonts w:ascii="Times New Roman" w:hAnsi="Times New Roman" w:cs="Times New Roman"/>
          <w:sz w:val="24"/>
          <w:szCs w:val="24"/>
        </w:rPr>
      </w:pPr>
      <w:bookmarkStart w:id="257" w:name="_Ref106009882"/>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43</w:t>
      </w:r>
      <w:r w:rsidRPr="002E26D2">
        <w:rPr>
          <w:rFonts w:ascii="Times New Roman" w:hAnsi="Times New Roman" w:cs="Times New Roman"/>
          <w:sz w:val="24"/>
          <w:szCs w:val="24"/>
        </w:rPr>
        <w:fldChar w:fldCharType="end"/>
      </w:r>
      <w:bookmarkStart w:id="258" w:name="_Ref105753706"/>
      <w:bookmarkEnd w:id="257"/>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Co-immunoprecipitation of RCC1L and NME6 reveal physical interaction.</w:t>
      </w:r>
      <w:r w:rsidR="000B3AF7" w:rsidRPr="006B21CA">
        <w:rPr>
          <w:rFonts w:ascii="Times New Roman" w:hAnsi="Times New Roman" w:cs="Times New Roman"/>
          <w:sz w:val="24"/>
          <w:szCs w:val="24"/>
        </w:rPr>
        <w:t xml:space="preserve"> </w:t>
      </w:r>
      <w:r w:rsidR="000B3AF7" w:rsidRPr="002E26D2">
        <w:rPr>
          <w:rFonts w:ascii="Times New Roman" w:hAnsi="Times New Roman" w:cs="Times New Roman"/>
          <w:sz w:val="24"/>
          <w:szCs w:val="24"/>
        </w:rPr>
        <w:t xml:space="preserve">MDA-MB-231T cells were either transiently transfected to express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NME6-194-FLAG or </w:t>
      </w:r>
      <w:r w:rsidR="000B3AF7" w:rsidRPr="002E26D2">
        <w:rPr>
          <w:rFonts w:ascii="Times New Roman" w:hAnsi="Times New Roman" w:cs="Times New Roman"/>
          <w:b/>
          <w:sz w:val="24"/>
          <w:szCs w:val="24"/>
        </w:rPr>
        <w:t xml:space="preserve">b </w:t>
      </w:r>
      <w:r w:rsidR="000B3AF7" w:rsidRPr="002E26D2">
        <w:rPr>
          <w:rFonts w:ascii="Times New Roman" w:hAnsi="Times New Roman" w:cs="Times New Roman"/>
          <w:sz w:val="24"/>
          <w:szCs w:val="24"/>
        </w:rPr>
        <w:t xml:space="preserve">NME6-186-FLAG, or </w:t>
      </w:r>
      <w:r w:rsidR="000B3AF7" w:rsidRPr="002E26D2">
        <w:rPr>
          <w:rFonts w:ascii="Times New Roman" w:hAnsi="Times New Roman" w:cs="Times New Roman"/>
          <w:b/>
          <w:sz w:val="24"/>
          <w:szCs w:val="24"/>
        </w:rPr>
        <w:t>c</w:t>
      </w:r>
      <w:r w:rsidR="000B3AF7" w:rsidRPr="002E26D2">
        <w:rPr>
          <w:rFonts w:ascii="Times New Roman" w:hAnsi="Times New Roman" w:cs="Times New Roman"/>
          <w:sz w:val="24"/>
          <w:szCs w:val="24"/>
        </w:rPr>
        <w:t xml:space="preserve"> non-transfected control cells were used. Cell lysates were subjected to pull-down with FLAG-agarose, or anti-NME6 and anti-RCC1L antibodies coupled to protein G-Dynabeads™. Immunoprecipitation with irrelevant immunoglobulins from mouse (IgG-M) or from rabbit (IgG-R) were used as a negative control. Input proteins (I), supernatant depleted of pulled-down proteins (Sn) and eluted proteins (IP) were analyzed by immunoblot with anti-OPA1, anti-RCC1L and anti-NME6 antibodies.</w:t>
      </w:r>
      <w:bookmarkEnd w:id="258"/>
    </w:p>
    <w:p w14:paraId="2AD777A1" w14:textId="77777777" w:rsidR="006B21CA" w:rsidRDefault="006B21CA">
      <w:pPr>
        <w:rPr>
          <w:rFonts w:ascii="Times New Roman" w:eastAsia="Calibri" w:hAnsi="Times New Roman" w:cs="Times New Roman"/>
          <w:bCs/>
          <w:i/>
          <w:sz w:val="24"/>
          <w:szCs w:val="24"/>
        </w:rPr>
      </w:pPr>
      <w:r>
        <w:rPr>
          <w:rFonts w:ascii="Times New Roman" w:hAnsi="Times New Roman" w:cs="Times New Roman"/>
          <w:sz w:val="24"/>
          <w:szCs w:val="24"/>
        </w:rPr>
        <w:br w:type="page"/>
      </w:r>
    </w:p>
    <w:p w14:paraId="402673E4" w14:textId="08093152" w:rsidR="000B3AF7" w:rsidRPr="00F836CB" w:rsidRDefault="000B3AF7" w:rsidP="004927BB">
      <w:pPr>
        <w:pStyle w:val="Heading2"/>
        <w:spacing w:line="360" w:lineRule="auto"/>
        <w:rPr>
          <w:rFonts w:cs="Times New Roman"/>
          <w:szCs w:val="28"/>
        </w:rPr>
      </w:pPr>
      <w:bookmarkStart w:id="259" w:name="_Toc117153900"/>
      <w:r w:rsidRPr="00F836CB">
        <w:rPr>
          <w:rFonts w:cs="Times New Roman"/>
          <w:szCs w:val="28"/>
        </w:rPr>
        <w:lastRenderedPageBreak/>
        <w:t>NME6 impact on cellular functions</w:t>
      </w:r>
      <w:bookmarkEnd w:id="259"/>
    </w:p>
    <w:p w14:paraId="1E38D257"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To further understand the role of human NME6 on cellular functions, we aimed to explore the impact of NME6 silencing and overexpression on basic processes such as apoptosis, cell cycle and mitochondrial respiration.</w:t>
      </w:r>
    </w:p>
    <w:p w14:paraId="04EA0549" w14:textId="1124149C" w:rsidR="000B3AF7" w:rsidRPr="002E26D2" w:rsidRDefault="000B3AF7" w:rsidP="003775DE">
      <w:pPr>
        <w:pStyle w:val="Heading3"/>
      </w:pPr>
      <w:bookmarkStart w:id="260" w:name="_Toc117153901"/>
      <w:r w:rsidRPr="002E26D2">
        <w:t>Apoptosis</w:t>
      </w:r>
      <w:bookmarkEnd w:id="260"/>
    </w:p>
    <w:p w14:paraId="20D98568" w14:textId="0480976F" w:rsidR="000B3AF7" w:rsidRPr="002E26D2" w:rsidRDefault="000B3AF7" w:rsidP="004927BB">
      <w:pPr>
        <w:spacing w:line="360" w:lineRule="auto"/>
        <w:jc w:val="both"/>
        <w:rPr>
          <w:rFonts w:ascii="Times New Roman" w:hAnsi="Times New Roman" w:cs="Times New Roman"/>
          <w:noProof/>
          <w:sz w:val="24"/>
          <w:szCs w:val="24"/>
        </w:rPr>
      </w:pPr>
      <w:r w:rsidRPr="002E26D2">
        <w:rPr>
          <w:rFonts w:ascii="Times New Roman" w:hAnsi="Times New Roman" w:cs="Times New Roman"/>
          <w:sz w:val="24"/>
          <w:szCs w:val="24"/>
        </w:rPr>
        <w:t>Impact of NME6 overexpression or silencing on apoptosis was studied by flow cytometry (</w:t>
      </w:r>
      <w:r w:rsidR="00E426D1">
        <w:rPr>
          <w:rFonts w:ascii="Times New Roman" w:hAnsi="Times New Roman" w:cs="Times New Roman"/>
          <w:sz w:val="24"/>
          <w:szCs w:val="24"/>
        </w:rPr>
        <w:t xml:space="preserve">section </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_Ref105769793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3.2.5.1</w:t>
      </w:r>
      <w:r w:rsidR="0016549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after annexin V/propidium iodide staining of RKO cells. Those cells were chosen over MDA-MB-231T because of their p53 status. Indeed, p53 is mutated in MDA-MB-231T cells, which can </w:t>
      </w:r>
      <w:r w:rsidR="00113392">
        <w:rPr>
          <w:rFonts w:ascii="Times New Roman" w:hAnsi="Times New Roman" w:cs="Times New Roman"/>
          <w:sz w:val="24"/>
          <w:szCs w:val="24"/>
        </w:rPr>
        <w:t>influence</w:t>
      </w:r>
      <w:r w:rsidRPr="002E26D2">
        <w:rPr>
          <w:rFonts w:ascii="Times New Roman" w:hAnsi="Times New Roman" w:cs="Times New Roman"/>
          <w:sz w:val="24"/>
          <w:szCs w:val="24"/>
        </w:rPr>
        <w:t xml:space="preserve"> apoptosis </w:t>
      </w:r>
      <w:r w:rsidR="00113392">
        <w:rPr>
          <w:rFonts w:ascii="Times New Roman" w:hAnsi="Times New Roman" w:cs="Times New Roman"/>
          <w:sz w:val="24"/>
          <w:szCs w:val="24"/>
        </w:rPr>
        <w:t xml:space="preserve">and the acquired </w:t>
      </w:r>
      <w:r w:rsidRPr="002E26D2">
        <w:rPr>
          <w:rFonts w:ascii="Times New Roman" w:hAnsi="Times New Roman" w:cs="Times New Roman"/>
          <w:sz w:val="24"/>
          <w:szCs w:val="24"/>
        </w:rPr>
        <w:t>results, while in RKO cells the p53 display a wild type profile. We could not use our stable clones overexpressing NME6-FLAG for this experiment</w:t>
      </w:r>
      <w:r w:rsidRPr="002E26D2" w:rsidDel="008E0C22">
        <w:rPr>
          <w:rFonts w:ascii="Times New Roman" w:hAnsi="Times New Roman" w:cs="Times New Roman"/>
          <w:sz w:val="24"/>
          <w:szCs w:val="24"/>
        </w:rPr>
        <w:t xml:space="preserve"> </w:t>
      </w:r>
      <w:r w:rsidRPr="002E26D2">
        <w:rPr>
          <w:rFonts w:ascii="Times New Roman" w:hAnsi="Times New Roman" w:cs="Times New Roman"/>
          <w:sz w:val="24"/>
          <w:szCs w:val="24"/>
        </w:rPr>
        <w:t>as they were made in MDA-MB-231T cells. We thus performed apoptosis experiment</w:t>
      </w:r>
      <w:r w:rsidR="00113392">
        <w:rPr>
          <w:rFonts w:ascii="Times New Roman" w:hAnsi="Times New Roman" w:cs="Times New Roman"/>
          <w:sz w:val="24"/>
          <w:szCs w:val="24"/>
        </w:rPr>
        <w:t>s</w:t>
      </w:r>
      <w:r w:rsidRPr="002E26D2">
        <w:rPr>
          <w:rFonts w:ascii="Times New Roman" w:hAnsi="Times New Roman" w:cs="Times New Roman"/>
          <w:sz w:val="24"/>
          <w:szCs w:val="24"/>
        </w:rPr>
        <w:t xml:space="preserve"> in RKO cells </w:t>
      </w:r>
      <w:r w:rsidR="00BA3D71">
        <w:rPr>
          <w:rFonts w:ascii="Times New Roman" w:hAnsi="Times New Roman" w:cs="Times New Roman"/>
          <w:sz w:val="24"/>
          <w:szCs w:val="24"/>
        </w:rPr>
        <w:t xml:space="preserve">transiently </w:t>
      </w:r>
      <w:r w:rsidRPr="002E26D2">
        <w:rPr>
          <w:rFonts w:ascii="Times New Roman" w:hAnsi="Times New Roman" w:cs="Times New Roman"/>
          <w:sz w:val="24"/>
          <w:szCs w:val="24"/>
        </w:rPr>
        <w:t xml:space="preserve">overexpressing NME6-FLAG (KI-186 and KI-194), or silenced for NME6 expression, both after transient transfection, using two different transfection </w:t>
      </w:r>
      <w:r w:rsidR="00BA3D71">
        <w:rPr>
          <w:rFonts w:ascii="Times New Roman" w:hAnsi="Times New Roman" w:cs="Times New Roman"/>
          <w:sz w:val="24"/>
          <w:szCs w:val="24"/>
        </w:rPr>
        <w:t>methods</w:t>
      </w:r>
      <w:r w:rsidRPr="002E26D2">
        <w:rPr>
          <w:rFonts w:ascii="Times New Roman" w:hAnsi="Times New Roman" w:cs="Times New Roman"/>
          <w:sz w:val="24"/>
          <w:szCs w:val="24"/>
        </w:rPr>
        <w:t xml:space="preserve"> as presented in </w:t>
      </w:r>
      <w:r w:rsidR="00E426D1">
        <w:rPr>
          <w:rFonts w:ascii="Times New Roman" w:hAnsi="Times New Roman" w:cs="Times New Roman"/>
          <w:sz w:val="24"/>
          <w:szCs w:val="24"/>
        </w:rPr>
        <w:t xml:space="preserve">sections </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_Ref105767753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3.2.2.5</w:t>
      </w:r>
      <w:r w:rsidR="0016549F" w:rsidRPr="002E26D2">
        <w:rPr>
          <w:rFonts w:ascii="Times New Roman" w:hAnsi="Times New Roman" w:cs="Times New Roman"/>
          <w:sz w:val="24"/>
          <w:szCs w:val="24"/>
        </w:rPr>
        <w:fldChar w:fldCharType="end"/>
      </w:r>
      <w:r w:rsidR="0016549F" w:rsidRPr="002E26D2">
        <w:rPr>
          <w:rFonts w:ascii="Times New Roman" w:hAnsi="Times New Roman" w:cs="Times New Roman"/>
          <w:sz w:val="24"/>
          <w:szCs w:val="24"/>
        </w:rPr>
        <w:t xml:space="preserve"> and </w:t>
      </w:r>
      <w:r w:rsidR="0016549F" w:rsidRPr="002E26D2">
        <w:rPr>
          <w:rFonts w:ascii="Times New Roman" w:hAnsi="Times New Roman" w:cs="Times New Roman"/>
          <w:sz w:val="24"/>
          <w:szCs w:val="24"/>
        </w:rPr>
        <w:fldChar w:fldCharType="begin"/>
      </w:r>
      <w:r w:rsidR="0016549F" w:rsidRPr="002E26D2">
        <w:rPr>
          <w:rFonts w:ascii="Times New Roman" w:hAnsi="Times New Roman" w:cs="Times New Roman"/>
          <w:sz w:val="24"/>
          <w:szCs w:val="24"/>
        </w:rPr>
        <w:instrText xml:space="preserve"> REF _Ref105768720 \r \h </w:instrText>
      </w:r>
      <w:r w:rsidR="002E26D2" w:rsidRPr="002E26D2">
        <w:rPr>
          <w:rFonts w:ascii="Times New Roman" w:hAnsi="Times New Roman" w:cs="Times New Roman"/>
          <w:sz w:val="24"/>
          <w:szCs w:val="24"/>
        </w:rPr>
        <w:instrText xml:space="preserve"> \* MERGEFORMAT </w:instrText>
      </w:r>
      <w:r w:rsidR="0016549F" w:rsidRPr="002E26D2">
        <w:rPr>
          <w:rFonts w:ascii="Times New Roman" w:hAnsi="Times New Roman" w:cs="Times New Roman"/>
          <w:sz w:val="24"/>
          <w:szCs w:val="24"/>
        </w:rPr>
      </w:r>
      <w:r w:rsidR="0016549F"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3.2.2.6</w:t>
      </w:r>
      <w:r w:rsidR="0016549F"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r w:rsidR="00113392">
        <w:rPr>
          <w:rFonts w:ascii="Times New Roman" w:hAnsi="Times New Roman" w:cs="Times New Roman"/>
          <w:sz w:val="24"/>
          <w:szCs w:val="24"/>
        </w:rPr>
        <w:t>C</w:t>
      </w:r>
      <w:r w:rsidR="00113392" w:rsidRPr="002E26D2">
        <w:rPr>
          <w:rFonts w:ascii="Times New Roman" w:hAnsi="Times New Roman" w:cs="Times New Roman"/>
          <w:sz w:val="24"/>
          <w:szCs w:val="24"/>
        </w:rPr>
        <w:t xml:space="preserve">ells transiently transfected with empty vector </w:t>
      </w:r>
      <w:r w:rsidR="00113392">
        <w:rPr>
          <w:rFonts w:ascii="Times New Roman" w:hAnsi="Times New Roman" w:cs="Times New Roman"/>
          <w:sz w:val="24"/>
          <w:szCs w:val="24"/>
        </w:rPr>
        <w:t>served as a</w:t>
      </w:r>
      <w:r w:rsidRPr="002E26D2">
        <w:rPr>
          <w:rFonts w:ascii="Times New Roman" w:hAnsi="Times New Roman" w:cs="Times New Roman"/>
          <w:sz w:val="24"/>
          <w:szCs w:val="24"/>
        </w:rPr>
        <w:t xml:space="preserve"> knock-in </w:t>
      </w:r>
      <w:r w:rsidR="00113392">
        <w:rPr>
          <w:rFonts w:ascii="Times New Roman" w:hAnsi="Times New Roman" w:cs="Times New Roman"/>
          <w:sz w:val="24"/>
          <w:szCs w:val="24"/>
        </w:rPr>
        <w:t>control</w:t>
      </w:r>
      <w:r w:rsidR="00BA3D71">
        <w:rPr>
          <w:rFonts w:ascii="Times New Roman" w:hAnsi="Times New Roman" w:cs="Times New Roman"/>
          <w:sz w:val="24"/>
          <w:szCs w:val="24"/>
        </w:rPr>
        <w:t xml:space="preserve"> </w:t>
      </w:r>
      <w:r w:rsidR="00BA3D71" w:rsidRPr="002E26D2">
        <w:rPr>
          <w:rFonts w:ascii="Times New Roman" w:hAnsi="Times New Roman" w:cs="Times New Roman"/>
          <w:sz w:val="24"/>
          <w:szCs w:val="24"/>
        </w:rPr>
        <w:t>(KI-CTRL)</w:t>
      </w:r>
      <w:r w:rsidRPr="002E26D2">
        <w:rPr>
          <w:rFonts w:ascii="Times New Roman" w:hAnsi="Times New Roman" w:cs="Times New Roman"/>
          <w:sz w:val="24"/>
          <w:szCs w:val="24"/>
        </w:rPr>
        <w:t xml:space="preserve">, </w:t>
      </w:r>
      <w:r w:rsidR="00113392" w:rsidRPr="002E26D2">
        <w:rPr>
          <w:rFonts w:ascii="Times New Roman" w:hAnsi="Times New Roman" w:cs="Times New Roman"/>
          <w:sz w:val="24"/>
          <w:szCs w:val="24"/>
        </w:rPr>
        <w:t xml:space="preserve">cells transfected with scramble siRNA </w:t>
      </w:r>
      <w:r w:rsidR="00113392">
        <w:rPr>
          <w:rFonts w:ascii="Times New Roman" w:hAnsi="Times New Roman" w:cs="Times New Roman"/>
          <w:sz w:val="24"/>
          <w:szCs w:val="24"/>
        </w:rPr>
        <w:t xml:space="preserve">represent the </w:t>
      </w:r>
      <w:r w:rsidRPr="002E26D2">
        <w:rPr>
          <w:rFonts w:ascii="Times New Roman" w:hAnsi="Times New Roman" w:cs="Times New Roman"/>
          <w:sz w:val="24"/>
          <w:szCs w:val="24"/>
        </w:rPr>
        <w:t xml:space="preserve">silencing </w:t>
      </w:r>
      <w:r w:rsidR="00113392">
        <w:rPr>
          <w:rFonts w:ascii="Times New Roman" w:hAnsi="Times New Roman" w:cs="Times New Roman"/>
          <w:sz w:val="24"/>
          <w:szCs w:val="24"/>
        </w:rPr>
        <w:t>control</w:t>
      </w:r>
      <w:r w:rsidR="00BA3D71">
        <w:rPr>
          <w:rFonts w:ascii="Times New Roman" w:hAnsi="Times New Roman" w:cs="Times New Roman"/>
          <w:sz w:val="24"/>
          <w:szCs w:val="24"/>
        </w:rPr>
        <w:t xml:space="preserve"> </w:t>
      </w:r>
      <w:r w:rsidR="00BA3D71" w:rsidRPr="002E26D2">
        <w:rPr>
          <w:rFonts w:ascii="Times New Roman" w:hAnsi="Times New Roman" w:cs="Times New Roman"/>
          <w:sz w:val="24"/>
          <w:szCs w:val="24"/>
        </w:rPr>
        <w:t>(siCTRL)</w:t>
      </w:r>
      <w:r w:rsidRPr="002E26D2">
        <w:rPr>
          <w:rFonts w:ascii="Times New Roman" w:hAnsi="Times New Roman" w:cs="Times New Roman"/>
          <w:sz w:val="24"/>
          <w:szCs w:val="24"/>
        </w:rPr>
        <w:t xml:space="preserve">. The apoptosis status was first measured in absence (RKO) and in presence of camptothecin (CAMPTO), a chemical compound triggering apoptosis, and thus used as a positive control. </w:t>
      </w:r>
      <w:r w:rsidR="00113392">
        <w:rPr>
          <w:rFonts w:ascii="Times New Roman" w:hAnsi="Times New Roman" w:cs="Times New Roman"/>
          <w:sz w:val="24"/>
          <w:szCs w:val="24"/>
        </w:rPr>
        <w:t>Afterwards</w:t>
      </w:r>
      <w:r w:rsidRPr="002E26D2">
        <w:rPr>
          <w:rFonts w:ascii="Times New Roman" w:hAnsi="Times New Roman" w:cs="Times New Roman"/>
          <w:sz w:val="24"/>
          <w:szCs w:val="24"/>
        </w:rPr>
        <w:t>, the apopto</w:t>
      </w:r>
      <w:r w:rsidR="00113392">
        <w:rPr>
          <w:rFonts w:ascii="Times New Roman" w:hAnsi="Times New Roman" w:cs="Times New Roman"/>
          <w:sz w:val="24"/>
          <w:szCs w:val="24"/>
        </w:rPr>
        <w:t>tic</w:t>
      </w:r>
      <w:r w:rsidRPr="002E26D2">
        <w:rPr>
          <w:rFonts w:ascii="Times New Roman" w:hAnsi="Times New Roman" w:cs="Times New Roman"/>
          <w:sz w:val="24"/>
          <w:szCs w:val="24"/>
        </w:rPr>
        <w:t xml:space="preserve"> status of negative</w:t>
      </w:r>
      <w:r w:rsidR="00113392">
        <w:rPr>
          <w:rFonts w:ascii="Times New Roman" w:hAnsi="Times New Roman" w:cs="Times New Roman"/>
          <w:sz w:val="24"/>
          <w:szCs w:val="24"/>
        </w:rPr>
        <w:t xml:space="preserve"> </w:t>
      </w:r>
      <w:r w:rsidRPr="002E26D2">
        <w:rPr>
          <w:rFonts w:ascii="Times New Roman" w:hAnsi="Times New Roman" w:cs="Times New Roman"/>
          <w:sz w:val="24"/>
          <w:szCs w:val="24"/>
        </w:rPr>
        <w:t>controls (KI-CTRL and siCTRL) was measured</w:t>
      </w:r>
      <w:r w:rsidR="00E83423" w:rsidRPr="002E26D2">
        <w:rPr>
          <w:rFonts w:ascii="Times New Roman" w:hAnsi="Times New Roman" w:cs="Times New Roman"/>
          <w:sz w:val="24"/>
          <w:szCs w:val="24"/>
        </w:rPr>
        <w:t xml:space="preserve">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_Ref106009894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44</w:t>
      </w:r>
      <w:r w:rsidR="00534B64" w:rsidRPr="002E26D2">
        <w:rPr>
          <w:rFonts w:ascii="Times New Roman" w:hAnsi="Times New Roman" w:cs="Times New Roman"/>
          <w:sz w:val="24"/>
          <w:szCs w:val="24"/>
        </w:rPr>
        <w:fldChar w:fldCharType="end"/>
      </w:r>
      <w:r w:rsidR="00E83423" w:rsidRPr="002E26D2">
        <w:rPr>
          <w:rFonts w:ascii="Times New Roman" w:hAnsi="Times New Roman" w:cs="Times New Roman"/>
          <w:sz w:val="24"/>
          <w:szCs w:val="24"/>
        </w:rPr>
        <w:t>)</w:t>
      </w:r>
      <w:r w:rsidRPr="002E26D2">
        <w:rPr>
          <w:rFonts w:ascii="Times New Roman" w:hAnsi="Times New Roman" w:cs="Times New Roman"/>
          <w:sz w:val="24"/>
          <w:szCs w:val="24"/>
        </w:rPr>
        <w:t>. Results showed that camptothecin was efficiently triggering apoptosis. Compared to RKO, camptothecin treated cells shown a drop of live cells from 90% to 60%, while the fraction of apoptotic cells increased from 10% to 40% and the fraction of dead cells remained unchanged. The transfection method used for silencing (siCTRL) was gentle and resulted in cell distribution highly similar to wild type RKO. On the contrary, the transfection method used for knock-in (KI-CTRL) was stressful for the cells, and led to a drop of live cells (from 90% to 45%) and the accumulation of apoptotic (from 10% to 35%) as well as dead cells (from 2% to 25%) when compared to RKO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_Ref106009894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44</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r w:rsidRPr="002E26D2">
        <w:rPr>
          <w:rFonts w:ascii="Times New Roman" w:hAnsi="Times New Roman" w:cs="Times New Roman"/>
          <w:noProof/>
          <w:sz w:val="24"/>
          <w:szCs w:val="24"/>
        </w:rPr>
        <w:t xml:space="preserve"> </w:t>
      </w:r>
    </w:p>
    <w:p w14:paraId="53DFAFFC" w14:textId="39576C09"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 xml:space="preserve">To resume, the transfection </w:t>
      </w:r>
      <w:r w:rsidR="00BA3D71">
        <w:rPr>
          <w:rFonts w:ascii="Times New Roman" w:hAnsi="Times New Roman" w:cs="Times New Roman"/>
          <w:sz w:val="24"/>
          <w:szCs w:val="24"/>
        </w:rPr>
        <w:t>method</w:t>
      </w:r>
      <w:r w:rsidRPr="002E26D2">
        <w:rPr>
          <w:rFonts w:ascii="Times New Roman" w:hAnsi="Times New Roman" w:cs="Times New Roman"/>
          <w:sz w:val="24"/>
          <w:szCs w:val="24"/>
        </w:rPr>
        <w:t xml:space="preserve"> used for KI induced apoptosis and cell death, while transfection </w:t>
      </w:r>
      <w:r w:rsidR="00BA3D71">
        <w:rPr>
          <w:rFonts w:ascii="Times New Roman" w:hAnsi="Times New Roman" w:cs="Times New Roman"/>
          <w:sz w:val="24"/>
          <w:szCs w:val="24"/>
        </w:rPr>
        <w:t>method</w:t>
      </w:r>
      <w:r w:rsidRPr="002E26D2">
        <w:rPr>
          <w:rFonts w:ascii="Times New Roman" w:hAnsi="Times New Roman" w:cs="Times New Roman"/>
          <w:sz w:val="24"/>
          <w:szCs w:val="24"/>
        </w:rPr>
        <w:t xml:space="preserve"> used for silencing did not impact apoptosis.</w:t>
      </w:r>
    </w:p>
    <w:p w14:paraId="476F4225" w14:textId="77777777" w:rsidR="000B3AF7" w:rsidRPr="002E26D2" w:rsidRDefault="000B3AF7" w:rsidP="004927BB">
      <w:pPr>
        <w:spacing w:line="360" w:lineRule="auto"/>
        <w:jc w:val="both"/>
        <w:rPr>
          <w:rFonts w:ascii="Times New Roman" w:hAnsi="Times New Roman" w:cs="Times New Roman"/>
          <w:sz w:val="24"/>
          <w:szCs w:val="24"/>
        </w:rPr>
      </w:pPr>
    </w:p>
    <w:p w14:paraId="0B0FB959"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00AF6793" wp14:editId="642510D2">
            <wp:extent cx="4299045" cy="3510563"/>
            <wp:effectExtent l="0" t="0" r="6350" b="0"/>
            <wp:docPr id="12" name="Picture 14">
              <a:extLst xmlns:a="http://schemas.openxmlformats.org/drawingml/2006/main">
                <a:ext uri="{FF2B5EF4-FFF2-40B4-BE49-F238E27FC236}">
                  <a16:creationId xmlns:a16="http://schemas.microsoft.com/office/drawing/2014/main" id="{A127CFDD-CF8B-4E29-A25C-B284FA4B5D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A127CFDD-CF8B-4E29-A25C-B284FA4B5D19}"/>
                        </a:ext>
                      </a:extLst>
                    </pic:cNvPr>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4301756" cy="3512777"/>
                    </a:xfrm>
                    <a:prstGeom prst="rect">
                      <a:avLst/>
                    </a:prstGeom>
                  </pic:spPr>
                </pic:pic>
              </a:graphicData>
            </a:graphic>
          </wp:inline>
        </w:drawing>
      </w:r>
    </w:p>
    <w:p w14:paraId="22E7A9B2" w14:textId="6FA4F675" w:rsidR="000B3AF7" w:rsidRPr="002E26D2" w:rsidRDefault="00FE642C" w:rsidP="004927BB">
      <w:pPr>
        <w:pStyle w:val="Caption"/>
        <w:spacing w:line="360" w:lineRule="auto"/>
        <w:rPr>
          <w:rFonts w:ascii="Times New Roman" w:hAnsi="Times New Roman" w:cs="Times New Roman"/>
          <w:sz w:val="24"/>
          <w:szCs w:val="24"/>
        </w:rPr>
      </w:pPr>
      <w:bookmarkStart w:id="261" w:name="_Ref106009894"/>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44</w:t>
      </w:r>
      <w:r w:rsidRPr="002E26D2">
        <w:rPr>
          <w:rFonts w:ascii="Times New Roman" w:hAnsi="Times New Roman" w:cs="Times New Roman"/>
          <w:sz w:val="24"/>
          <w:szCs w:val="24"/>
        </w:rPr>
        <w:fldChar w:fldCharType="end"/>
      </w:r>
      <w:bookmarkStart w:id="262" w:name="_Ref105753762"/>
      <w:bookmarkEnd w:id="261"/>
      <w:r w:rsidRPr="002E26D2">
        <w:rPr>
          <w:rFonts w:ascii="Times New Roman" w:hAnsi="Times New Roman" w:cs="Times New Roman"/>
          <w:sz w:val="24"/>
          <w:szCs w:val="24"/>
        </w:rPr>
        <w:t xml:space="preserve"> </w:t>
      </w:r>
      <w:r w:rsidR="000B3AF7" w:rsidRPr="00A04A3B">
        <w:rPr>
          <w:rFonts w:ascii="Times New Roman" w:hAnsi="Times New Roman" w:cs="Times New Roman"/>
          <w:sz w:val="24"/>
          <w:szCs w:val="24"/>
          <w:u w:val="single"/>
        </w:rPr>
        <w:t>: Transfection reagents can trigger apoptosis and cell death.</w:t>
      </w:r>
      <w:r w:rsidR="000B3AF7" w:rsidRPr="002E26D2">
        <w:rPr>
          <w:rFonts w:ascii="Times New Roman" w:hAnsi="Times New Roman" w:cs="Times New Roman"/>
          <w:sz w:val="24"/>
          <w:szCs w:val="24"/>
        </w:rPr>
        <w:t xml:space="preserve"> RKO cells (RKO), transfected with empty plasmid as a negative control for KI (KI-CTRL), or transfected with scramble siRNA as </w:t>
      </w:r>
      <w:r w:rsidR="00113392">
        <w:rPr>
          <w:rFonts w:ascii="Times New Roman" w:hAnsi="Times New Roman" w:cs="Times New Roman"/>
          <w:sz w:val="24"/>
          <w:szCs w:val="24"/>
        </w:rPr>
        <w:t xml:space="preserve">a </w:t>
      </w:r>
      <w:r w:rsidR="000B3AF7" w:rsidRPr="002E26D2">
        <w:rPr>
          <w:rFonts w:ascii="Times New Roman" w:hAnsi="Times New Roman" w:cs="Times New Roman"/>
          <w:sz w:val="24"/>
          <w:szCs w:val="24"/>
        </w:rPr>
        <w:t>negative control for silencing (siCTRL) were assayed by flow cytometry after annexin V/Propidium iodide (AV/PI) staining. RKO cells treated with camptothecin were used as a positive control for apoptosis. Live cells were negative for both markers (AV</w:t>
      </w:r>
      <w:r w:rsidR="000B3AF7" w:rsidRPr="002E26D2">
        <w:rPr>
          <w:rFonts w:ascii="Times New Roman" w:hAnsi="Times New Roman" w:cs="Times New Roman"/>
          <w:sz w:val="24"/>
          <w:szCs w:val="24"/>
          <w:vertAlign w:val="superscript"/>
        </w:rPr>
        <w:t>-</w:t>
      </w:r>
      <w:r w:rsidR="000B3AF7" w:rsidRPr="002E26D2">
        <w:rPr>
          <w:rFonts w:ascii="Times New Roman" w:hAnsi="Times New Roman" w:cs="Times New Roman"/>
          <w:sz w:val="24"/>
          <w:szCs w:val="24"/>
        </w:rPr>
        <w:t>/PI</w:t>
      </w:r>
      <w:r w:rsidR="000B3AF7" w:rsidRPr="002E26D2">
        <w:rPr>
          <w:rFonts w:ascii="Times New Roman" w:hAnsi="Times New Roman" w:cs="Times New Roman"/>
          <w:sz w:val="24"/>
          <w:szCs w:val="24"/>
          <w:vertAlign w:val="superscript"/>
        </w:rPr>
        <w:t>-</w:t>
      </w:r>
      <w:r w:rsidR="000B3AF7" w:rsidRPr="002E26D2">
        <w:rPr>
          <w:rFonts w:ascii="Times New Roman" w:hAnsi="Times New Roman" w:cs="Times New Roman"/>
          <w:sz w:val="24"/>
          <w:szCs w:val="24"/>
        </w:rPr>
        <w:t>). Apoptotic category regroups both the early (AV</w:t>
      </w:r>
      <w:r w:rsidR="000B3AF7" w:rsidRPr="002E26D2">
        <w:rPr>
          <w:rFonts w:ascii="Times New Roman" w:hAnsi="Times New Roman" w:cs="Times New Roman"/>
          <w:sz w:val="24"/>
          <w:szCs w:val="24"/>
          <w:vertAlign w:val="superscript"/>
        </w:rPr>
        <w:t>+</w:t>
      </w:r>
      <w:r w:rsidR="000B3AF7" w:rsidRPr="002E26D2">
        <w:rPr>
          <w:rFonts w:ascii="Times New Roman" w:hAnsi="Times New Roman" w:cs="Times New Roman"/>
          <w:sz w:val="24"/>
          <w:szCs w:val="24"/>
        </w:rPr>
        <w:t>/PI</w:t>
      </w:r>
      <w:r w:rsidR="000B3AF7" w:rsidRPr="002E26D2">
        <w:rPr>
          <w:rFonts w:ascii="Times New Roman" w:hAnsi="Times New Roman" w:cs="Times New Roman"/>
          <w:sz w:val="24"/>
          <w:szCs w:val="24"/>
          <w:vertAlign w:val="superscript"/>
        </w:rPr>
        <w:t>-</w:t>
      </w:r>
      <w:r w:rsidR="000B3AF7" w:rsidRPr="002E26D2">
        <w:rPr>
          <w:rFonts w:ascii="Times New Roman" w:hAnsi="Times New Roman" w:cs="Times New Roman"/>
          <w:sz w:val="24"/>
          <w:szCs w:val="24"/>
        </w:rPr>
        <w:t>) and late (AV</w:t>
      </w:r>
      <w:r w:rsidR="000B3AF7" w:rsidRPr="002E26D2">
        <w:rPr>
          <w:rFonts w:ascii="Times New Roman" w:hAnsi="Times New Roman" w:cs="Times New Roman"/>
          <w:sz w:val="24"/>
          <w:szCs w:val="24"/>
          <w:vertAlign w:val="superscript"/>
        </w:rPr>
        <w:t>+</w:t>
      </w:r>
      <w:r w:rsidR="000B3AF7" w:rsidRPr="002E26D2">
        <w:rPr>
          <w:rFonts w:ascii="Times New Roman" w:hAnsi="Times New Roman" w:cs="Times New Roman"/>
          <w:sz w:val="24"/>
          <w:szCs w:val="24"/>
        </w:rPr>
        <w:t>/PI</w:t>
      </w:r>
      <w:r w:rsidR="000B3AF7" w:rsidRPr="002E26D2">
        <w:rPr>
          <w:rFonts w:ascii="Times New Roman" w:hAnsi="Times New Roman" w:cs="Times New Roman"/>
          <w:sz w:val="24"/>
          <w:szCs w:val="24"/>
          <w:vertAlign w:val="superscript"/>
        </w:rPr>
        <w:t>+</w:t>
      </w:r>
      <w:r w:rsidR="000B3AF7" w:rsidRPr="002E26D2">
        <w:rPr>
          <w:rFonts w:ascii="Times New Roman" w:hAnsi="Times New Roman" w:cs="Times New Roman"/>
          <w:sz w:val="24"/>
          <w:szCs w:val="24"/>
        </w:rPr>
        <w:t>) apoptotic cells. Remaining cells compose the dead category (AV</w:t>
      </w:r>
      <w:r w:rsidR="000B3AF7" w:rsidRPr="002E26D2">
        <w:rPr>
          <w:rFonts w:ascii="Times New Roman" w:hAnsi="Times New Roman" w:cs="Times New Roman"/>
          <w:sz w:val="24"/>
          <w:szCs w:val="24"/>
          <w:vertAlign w:val="superscript"/>
        </w:rPr>
        <w:t>-</w:t>
      </w:r>
      <w:r w:rsidR="000B3AF7" w:rsidRPr="002E26D2">
        <w:rPr>
          <w:rFonts w:ascii="Times New Roman" w:hAnsi="Times New Roman" w:cs="Times New Roman"/>
          <w:sz w:val="24"/>
          <w:szCs w:val="24"/>
        </w:rPr>
        <w:t>/PI</w:t>
      </w:r>
      <w:r w:rsidR="000B3AF7" w:rsidRPr="002E26D2">
        <w:rPr>
          <w:rFonts w:ascii="Times New Roman" w:hAnsi="Times New Roman" w:cs="Times New Roman"/>
          <w:sz w:val="24"/>
          <w:szCs w:val="24"/>
          <w:vertAlign w:val="superscript"/>
        </w:rPr>
        <w:t>+</w:t>
      </w:r>
      <w:r w:rsidR="000B3AF7" w:rsidRPr="002E26D2">
        <w:rPr>
          <w:rFonts w:ascii="Times New Roman" w:hAnsi="Times New Roman" w:cs="Times New Roman"/>
          <w:sz w:val="24"/>
          <w:szCs w:val="24"/>
        </w:rPr>
        <w:t>). Data are given as mean ± SD (n=4). For comparison between RKO and other conditions, significance is given as **** p&lt;0.0001; ** p&lt; 0.01; * p&lt; 0.05 (Two-way ANOVA).</w:t>
      </w:r>
      <w:bookmarkEnd w:id="262"/>
    </w:p>
    <w:p w14:paraId="33CA657C" w14:textId="3B04FB5F"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The analysis of apoptotic status after overexpression of NME6-FLAG, either 186 or 194, did not reveal differences compared to control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_Ref106009913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45</w:t>
      </w:r>
      <w:r w:rsidR="00534B64" w:rsidRPr="002E26D2">
        <w:rPr>
          <w:rFonts w:ascii="Times New Roman" w:hAnsi="Times New Roman" w:cs="Times New Roman"/>
          <w:sz w:val="24"/>
          <w:szCs w:val="24"/>
        </w:rPr>
        <w:fldChar w:fldCharType="end"/>
      </w:r>
      <w:r w:rsidR="003A5DB0" w:rsidRPr="002E26D2">
        <w:rPr>
          <w:rFonts w:ascii="Times New Roman" w:hAnsi="Times New Roman" w:cs="Times New Roman"/>
          <w:sz w:val="24"/>
          <w:szCs w:val="24"/>
        </w:rPr>
        <w:t>a</w:t>
      </w:r>
      <w:r w:rsidRPr="002E26D2">
        <w:rPr>
          <w:rFonts w:ascii="Times New Roman" w:hAnsi="Times New Roman" w:cs="Times New Roman"/>
          <w:sz w:val="24"/>
          <w:szCs w:val="24"/>
        </w:rPr>
        <w:t>). About 35 to 40% of cells were labeled as live, 35-40% were apoptotic and 25-30% were dead. Similarly, the silencing of NME6 did not impact apoptosis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_Ref106009913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45</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b), with a distribution of cells highly similar between siCTRL and siNME6 (80% live, 15% apoptotic, 5% dead). As a result, the overexpression or silencing of NME6 seems to have no impact on apoptosis in RKO cells. However, results should be considered carefully regarding the KI experiment, giving the fact that </w:t>
      </w:r>
      <w:r w:rsidR="00AF79AD">
        <w:rPr>
          <w:rFonts w:ascii="Times New Roman" w:hAnsi="Times New Roman" w:cs="Times New Roman"/>
          <w:sz w:val="24"/>
          <w:szCs w:val="24"/>
        </w:rPr>
        <w:t xml:space="preserve">the </w:t>
      </w:r>
      <w:r w:rsidRPr="002E26D2">
        <w:rPr>
          <w:rFonts w:ascii="Times New Roman" w:hAnsi="Times New Roman" w:cs="Times New Roman"/>
          <w:sz w:val="24"/>
          <w:szCs w:val="24"/>
        </w:rPr>
        <w:t>transfection itself trigger</w:t>
      </w:r>
      <w:r w:rsidR="00E05792">
        <w:rPr>
          <w:rFonts w:ascii="Times New Roman" w:hAnsi="Times New Roman" w:cs="Times New Roman"/>
          <w:sz w:val="24"/>
          <w:szCs w:val="24"/>
        </w:rPr>
        <w:t>ed</w:t>
      </w:r>
      <w:r w:rsidRPr="002E26D2">
        <w:rPr>
          <w:rFonts w:ascii="Times New Roman" w:hAnsi="Times New Roman" w:cs="Times New Roman"/>
          <w:sz w:val="24"/>
          <w:szCs w:val="24"/>
        </w:rPr>
        <w:t xml:space="preserve"> massiv</w:t>
      </w:r>
      <w:r w:rsidR="00E05792">
        <w:rPr>
          <w:rFonts w:ascii="Times New Roman" w:hAnsi="Times New Roman" w:cs="Times New Roman"/>
          <w:sz w:val="24"/>
          <w:szCs w:val="24"/>
        </w:rPr>
        <w:t>e</w:t>
      </w:r>
      <w:r w:rsidRPr="002E26D2">
        <w:rPr>
          <w:rFonts w:ascii="Times New Roman" w:hAnsi="Times New Roman" w:cs="Times New Roman"/>
          <w:sz w:val="24"/>
          <w:szCs w:val="24"/>
        </w:rPr>
        <w:t xml:space="preserve"> apoptosis and cell death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_Ref106009894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44</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 </w:t>
      </w:r>
    </w:p>
    <w:p w14:paraId="607F7BAF" w14:textId="77777777" w:rsidR="00FE642C" w:rsidRPr="002E26D2" w:rsidRDefault="0046652E"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48A91016" wp14:editId="6FEC2B3C">
            <wp:extent cx="5731510" cy="2451176"/>
            <wp:effectExtent l="0" t="0" r="254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2451176"/>
                    </a:xfrm>
                    <a:prstGeom prst="rect">
                      <a:avLst/>
                    </a:prstGeom>
                    <a:noFill/>
                  </pic:spPr>
                </pic:pic>
              </a:graphicData>
            </a:graphic>
          </wp:inline>
        </w:drawing>
      </w:r>
    </w:p>
    <w:p w14:paraId="16C42951" w14:textId="41065032" w:rsidR="0046652E" w:rsidRPr="002E26D2" w:rsidRDefault="00FE642C" w:rsidP="004927BB">
      <w:pPr>
        <w:pStyle w:val="Caption"/>
        <w:spacing w:line="360" w:lineRule="auto"/>
        <w:rPr>
          <w:rFonts w:ascii="Times New Roman" w:hAnsi="Times New Roman" w:cs="Times New Roman"/>
          <w:sz w:val="24"/>
          <w:szCs w:val="24"/>
        </w:rPr>
      </w:pPr>
      <w:bookmarkStart w:id="263" w:name="_Ref106009913"/>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45</w:t>
      </w:r>
      <w:r w:rsidRPr="002E26D2">
        <w:rPr>
          <w:rFonts w:ascii="Times New Roman" w:hAnsi="Times New Roman" w:cs="Times New Roman"/>
          <w:sz w:val="24"/>
          <w:szCs w:val="24"/>
        </w:rPr>
        <w:fldChar w:fldCharType="end"/>
      </w:r>
      <w:bookmarkStart w:id="264" w:name="_Ref105753913"/>
      <w:bookmarkEnd w:id="263"/>
      <w:r w:rsidRPr="002E26D2">
        <w:rPr>
          <w:rFonts w:ascii="Times New Roman" w:hAnsi="Times New Roman" w:cs="Times New Roman"/>
          <w:sz w:val="24"/>
          <w:szCs w:val="24"/>
        </w:rPr>
        <w:t xml:space="preserve"> </w:t>
      </w:r>
      <w:r w:rsidR="0046652E" w:rsidRPr="00F35B12">
        <w:rPr>
          <w:rFonts w:ascii="Times New Roman" w:hAnsi="Times New Roman" w:cs="Times New Roman"/>
          <w:sz w:val="24"/>
          <w:szCs w:val="24"/>
          <w:u w:val="single"/>
        </w:rPr>
        <w:t>: NME6 overexpression or silencing do</w:t>
      </w:r>
      <w:r w:rsidR="007A1EDA">
        <w:rPr>
          <w:rFonts w:ascii="Times New Roman" w:hAnsi="Times New Roman" w:cs="Times New Roman"/>
          <w:sz w:val="24"/>
          <w:szCs w:val="24"/>
          <w:u w:val="single"/>
        </w:rPr>
        <w:t>es</w:t>
      </w:r>
      <w:r w:rsidR="0046652E" w:rsidRPr="00F35B12">
        <w:rPr>
          <w:rFonts w:ascii="Times New Roman" w:hAnsi="Times New Roman" w:cs="Times New Roman"/>
          <w:sz w:val="24"/>
          <w:szCs w:val="24"/>
          <w:u w:val="single"/>
        </w:rPr>
        <w:t xml:space="preserve"> not impact apoptosis.</w:t>
      </w:r>
      <w:r w:rsidR="0046652E" w:rsidRPr="002E26D2">
        <w:rPr>
          <w:rFonts w:ascii="Times New Roman" w:hAnsi="Times New Roman" w:cs="Times New Roman"/>
          <w:sz w:val="24"/>
          <w:szCs w:val="24"/>
        </w:rPr>
        <w:t xml:space="preserve"> RKO cells (RKO), transfected </w:t>
      </w:r>
      <w:r w:rsidR="00F35B12" w:rsidRPr="002E26D2">
        <w:rPr>
          <w:rFonts w:ascii="Times New Roman" w:hAnsi="Times New Roman" w:cs="Times New Roman"/>
          <w:b/>
          <w:sz w:val="24"/>
          <w:szCs w:val="24"/>
        </w:rPr>
        <w:t>a</w:t>
      </w:r>
      <w:r w:rsidR="0046652E" w:rsidRPr="002E26D2">
        <w:rPr>
          <w:rFonts w:ascii="Times New Roman" w:hAnsi="Times New Roman" w:cs="Times New Roman"/>
          <w:b/>
          <w:sz w:val="24"/>
          <w:szCs w:val="24"/>
        </w:rPr>
        <w:t xml:space="preserve"> </w:t>
      </w:r>
      <w:r w:rsidR="0046652E" w:rsidRPr="002E26D2">
        <w:rPr>
          <w:rFonts w:ascii="Times New Roman" w:hAnsi="Times New Roman" w:cs="Times New Roman"/>
          <w:sz w:val="24"/>
          <w:szCs w:val="24"/>
        </w:rPr>
        <w:t xml:space="preserve">with empty plasmid as a negative control for KI (KI-CTRL), transfected to overexpress NME6-186-FLAG (KI-186) or NME6-194-FLAG (KI-194) and </w:t>
      </w:r>
      <w:r w:rsidR="00F35B12" w:rsidRPr="002E26D2">
        <w:rPr>
          <w:rFonts w:ascii="Times New Roman" w:hAnsi="Times New Roman" w:cs="Times New Roman"/>
          <w:b/>
          <w:sz w:val="24"/>
          <w:szCs w:val="24"/>
        </w:rPr>
        <w:t>b</w:t>
      </w:r>
      <w:r w:rsidR="0046652E" w:rsidRPr="002E26D2">
        <w:rPr>
          <w:rFonts w:ascii="Times New Roman" w:hAnsi="Times New Roman" w:cs="Times New Roman"/>
          <w:sz w:val="24"/>
          <w:szCs w:val="24"/>
        </w:rPr>
        <w:t xml:space="preserve"> transfected with scramble siRNA as negative control for silencing (siCTRL) or with NME6 silencers (siNME6) were assayed by flow cytometry after annexin V/Propidium iodide (AV/PI) staining. RKO cells treated with camptothecin were used as a positive control for apoptosis. Live cells were negative for both markers (AV</w:t>
      </w:r>
      <w:r w:rsidR="0046652E" w:rsidRPr="002E26D2">
        <w:rPr>
          <w:rFonts w:ascii="Times New Roman" w:hAnsi="Times New Roman" w:cs="Times New Roman"/>
          <w:sz w:val="24"/>
          <w:szCs w:val="24"/>
          <w:vertAlign w:val="superscript"/>
        </w:rPr>
        <w:t>-</w:t>
      </w:r>
      <w:r w:rsidR="0046652E" w:rsidRPr="002E26D2">
        <w:rPr>
          <w:rFonts w:ascii="Times New Roman" w:hAnsi="Times New Roman" w:cs="Times New Roman"/>
          <w:sz w:val="24"/>
          <w:szCs w:val="24"/>
        </w:rPr>
        <w:t>/PI</w:t>
      </w:r>
      <w:r w:rsidR="0046652E" w:rsidRPr="002E26D2">
        <w:rPr>
          <w:rFonts w:ascii="Times New Roman" w:hAnsi="Times New Roman" w:cs="Times New Roman"/>
          <w:sz w:val="24"/>
          <w:szCs w:val="24"/>
          <w:vertAlign w:val="superscript"/>
        </w:rPr>
        <w:t>-</w:t>
      </w:r>
      <w:r w:rsidR="0046652E" w:rsidRPr="002E26D2">
        <w:rPr>
          <w:rFonts w:ascii="Times New Roman" w:hAnsi="Times New Roman" w:cs="Times New Roman"/>
          <w:sz w:val="24"/>
          <w:szCs w:val="24"/>
        </w:rPr>
        <w:t>). Apoptotic category regroups both the early (AV</w:t>
      </w:r>
      <w:r w:rsidR="0046652E" w:rsidRPr="002E26D2">
        <w:rPr>
          <w:rFonts w:ascii="Times New Roman" w:hAnsi="Times New Roman" w:cs="Times New Roman"/>
          <w:sz w:val="24"/>
          <w:szCs w:val="24"/>
          <w:vertAlign w:val="superscript"/>
        </w:rPr>
        <w:t>+</w:t>
      </w:r>
      <w:r w:rsidR="0046652E" w:rsidRPr="002E26D2">
        <w:rPr>
          <w:rFonts w:ascii="Times New Roman" w:hAnsi="Times New Roman" w:cs="Times New Roman"/>
          <w:sz w:val="24"/>
          <w:szCs w:val="24"/>
        </w:rPr>
        <w:t>/PI</w:t>
      </w:r>
      <w:r w:rsidR="0046652E" w:rsidRPr="002E26D2">
        <w:rPr>
          <w:rFonts w:ascii="Times New Roman" w:hAnsi="Times New Roman" w:cs="Times New Roman"/>
          <w:sz w:val="24"/>
          <w:szCs w:val="24"/>
          <w:vertAlign w:val="superscript"/>
        </w:rPr>
        <w:t>-</w:t>
      </w:r>
      <w:r w:rsidR="0046652E" w:rsidRPr="002E26D2">
        <w:rPr>
          <w:rFonts w:ascii="Times New Roman" w:hAnsi="Times New Roman" w:cs="Times New Roman"/>
          <w:sz w:val="24"/>
          <w:szCs w:val="24"/>
        </w:rPr>
        <w:t>) and late (AV</w:t>
      </w:r>
      <w:r w:rsidR="0046652E" w:rsidRPr="002E26D2">
        <w:rPr>
          <w:rFonts w:ascii="Times New Roman" w:hAnsi="Times New Roman" w:cs="Times New Roman"/>
          <w:sz w:val="24"/>
          <w:szCs w:val="24"/>
          <w:vertAlign w:val="superscript"/>
        </w:rPr>
        <w:t>+</w:t>
      </w:r>
      <w:r w:rsidR="0046652E" w:rsidRPr="002E26D2">
        <w:rPr>
          <w:rFonts w:ascii="Times New Roman" w:hAnsi="Times New Roman" w:cs="Times New Roman"/>
          <w:sz w:val="24"/>
          <w:szCs w:val="24"/>
        </w:rPr>
        <w:t>/PI</w:t>
      </w:r>
      <w:r w:rsidR="0046652E" w:rsidRPr="002E26D2">
        <w:rPr>
          <w:rFonts w:ascii="Times New Roman" w:hAnsi="Times New Roman" w:cs="Times New Roman"/>
          <w:sz w:val="24"/>
          <w:szCs w:val="24"/>
          <w:vertAlign w:val="superscript"/>
        </w:rPr>
        <w:t>+</w:t>
      </w:r>
      <w:r w:rsidR="0046652E" w:rsidRPr="002E26D2">
        <w:rPr>
          <w:rFonts w:ascii="Times New Roman" w:hAnsi="Times New Roman" w:cs="Times New Roman"/>
          <w:sz w:val="24"/>
          <w:szCs w:val="24"/>
        </w:rPr>
        <w:t>) apoptotic cells. Remaining cells compose the dead category (AV</w:t>
      </w:r>
      <w:r w:rsidR="0046652E" w:rsidRPr="002E26D2">
        <w:rPr>
          <w:rFonts w:ascii="Times New Roman" w:hAnsi="Times New Roman" w:cs="Times New Roman"/>
          <w:sz w:val="24"/>
          <w:szCs w:val="24"/>
          <w:vertAlign w:val="superscript"/>
        </w:rPr>
        <w:t>-</w:t>
      </w:r>
      <w:r w:rsidR="0046652E" w:rsidRPr="002E26D2">
        <w:rPr>
          <w:rFonts w:ascii="Times New Roman" w:hAnsi="Times New Roman" w:cs="Times New Roman"/>
          <w:sz w:val="24"/>
          <w:szCs w:val="24"/>
        </w:rPr>
        <w:t>/PI</w:t>
      </w:r>
      <w:r w:rsidR="0046652E" w:rsidRPr="002E26D2">
        <w:rPr>
          <w:rFonts w:ascii="Times New Roman" w:hAnsi="Times New Roman" w:cs="Times New Roman"/>
          <w:sz w:val="24"/>
          <w:szCs w:val="24"/>
          <w:vertAlign w:val="superscript"/>
        </w:rPr>
        <w:t>+</w:t>
      </w:r>
      <w:r w:rsidR="0046652E" w:rsidRPr="002E26D2">
        <w:rPr>
          <w:rFonts w:ascii="Times New Roman" w:hAnsi="Times New Roman" w:cs="Times New Roman"/>
          <w:sz w:val="24"/>
          <w:szCs w:val="24"/>
        </w:rPr>
        <w:t>). Data are given as mean ± SD (n=4).</w:t>
      </w:r>
      <w:bookmarkEnd w:id="264"/>
      <w:r w:rsidR="0046652E" w:rsidRPr="002E26D2">
        <w:rPr>
          <w:rFonts w:ascii="Times New Roman" w:hAnsi="Times New Roman" w:cs="Times New Roman"/>
          <w:sz w:val="24"/>
          <w:szCs w:val="24"/>
        </w:rPr>
        <w:t xml:space="preserve"> </w:t>
      </w:r>
    </w:p>
    <w:p w14:paraId="76A41684" w14:textId="5CFBAAD4" w:rsidR="000B3AF7" w:rsidRPr="002E26D2" w:rsidRDefault="000B3AF7" w:rsidP="003775DE">
      <w:pPr>
        <w:pStyle w:val="Heading3"/>
      </w:pPr>
      <w:bookmarkStart w:id="265" w:name="_Toc117153902"/>
      <w:r w:rsidRPr="002E26D2">
        <w:t>Cell cycle</w:t>
      </w:r>
      <w:bookmarkEnd w:id="265"/>
    </w:p>
    <w:p w14:paraId="1000C94E" w14:textId="37D3BAA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Analysis of the cell cycle was performed by flow cytometry (</w:t>
      </w:r>
      <w:r w:rsidR="00837DCF">
        <w:rPr>
          <w:rFonts w:ascii="Times New Roman" w:hAnsi="Times New Roman" w:cs="Times New Roman"/>
          <w:sz w:val="24"/>
          <w:szCs w:val="24"/>
        </w:rPr>
        <w:t xml:space="preserve">section </w:t>
      </w:r>
      <w:r w:rsidR="00EE70DB" w:rsidRPr="002E26D2">
        <w:rPr>
          <w:rFonts w:ascii="Times New Roman" w:hAnsi="Times New Roman" w:cs="Times New Roman"/>
          <w:sz w:val="24"/>
          <w:szCs w:val="24"/>
        </w:rPr>
        <w:fldChar w:fldCharType="begin"/>
      </w:r>
      <w:r w:rsidR="00EE70DB" w:rsidRPr="002E26D2">
        <w:rPr>
          <w:rFonts w:ascii="Times New Roman" w:hAnsi="Times New Roman" w:cs="Times New Roman"/>
          <w:sz w:val="24"/>
          <w:szCs w:val="24"/>
        </w:rPr>
        <w:instrText xml:space="preserve"> REF _Ref105769861 \r \h </w:instrText>
      </w:r>
      <w:r w:rsidR="002E26D2" w:rsidRPr="002E26D2">
        <w:rPr>
          <w:rFonts w:ascii="Times New Roman" w:hAnsi="Times New Roman" w:cs="Times New Roman"/>
          <w:sz w:val="24"/>
          <w:szCs w:val="24"/>
        </w:rPr>
        <w:instrText xml:space="preserve"> \* MERGEFORMAT </w:instrText>
      </w:r>
      <w:r w:rsidR="00EE70DB" w:rsidRPr="002E26D2">
        <w:rPr>
          <w:rFonts w:ascii="Times New Roman" w:hAnsi="Times New Roman" w:cs="Times New Roman"/>
          <w:sz w:val="24"/>
          <w:szCs w:val="24"/>
        </w:rPr>
      </w:r>
      <w:r w:rsidR="00EE70DB"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3.2.5.2</w:t>
      </w:r>
      <w:r w:rsidR="00EE70DB" w:rsidRPr="002E26D2">
        <w:rPr>
          <w:rFonts w:ascii="Times New Roman" w:hAnsi="Times New Roman" w:cs="Times New Roman"/>
          <w:sz w:val="24"/>
          <w:szCs w:val="24"/>
        </w:rPr>
        <w:fldChar w:fldCharType="end"/>
      </w:r>
      <w:r w:rsidRPr="002E26D2">
        <w:rPr>
          <w:rFonts w:ascii="Times New Roman" w:hAnsi="Times New Roman" w:cs="Times New Roman"/>
          <w:sz w:val="24"/>
          <w:szCs w:val="24"/>
        </w:rPr>
        <w:t>) on MDA-MB-231T cells after propidium iodide staining. For studying the impact of NME6-FLAG overexpression, the cell cycle status of wild type MDA-MB-231T, three empty clones (KI-CTRL; Neg 5, 6 and 7), three NME6-186-FLAG KI clones (KI-186; 186-7, 18 and 26) and three NME6-194-FLAG KI clones (KI-194; 194-8, 13 and 17) were analyzed. The experiment was repeated three time</w:t>
      </w:r>
      <w:r w:rsidR="00E05792">
        <w:rPr>
          <w:rFonts w:ascii="Times New Roman" w:hAnsi="Times New Roman" w:cs="Times New Roman"/>
          <w:sz w:val="24"/>
          <w:szCs w:val="24"/>
        </w:rPr>
        <w:t>s</w:t>
      </w:r>
      <w:r w:rsidRPr="002E26D2">
        <w:rPr>
          <w:rFonts w:ascii="Times New Roman" w:hAnsi="Times New Roman" w:cs="Times New Roman"/>
          <w:sz w:val="24"/>
          <w:szCs w:val="24"/>
        </w:rPr>
        <w:t xml:space="preserve"> (n=3), and results from related clones were combined. Wild type MDA-MB-231T cells, empty clones (KI-CTRL) and clones overexpressing NME6-FLAG (KI-186 and KI-194) displayed similar distribution over the different phases of the cell cycle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_Ref106009941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46</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a). About 35-40% of cells were in the G0/G1 phase, 35-40% were in the S phase and 20% were in the G2/M phase. No statistical differences were observed by comparing the groups. In fine, the overexpression of NME6-FLAG did not impact the cell cycle of MDA-MB-231T cells.</w:t>
      </w:r>
    </w:p>
    <w:p w14:paraId="093778DA" w14:textId="2C9E838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lastRenderedPageBreak/>
        <w:t>We further investigated the impact of NME6 silencing on cell cycle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_Ref106009941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46</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b). Wild type MDA-MB-231T, cells silenced with scramble silencer (siCTRL) and cells silenced for NME6 (siNME6) were analyzed, and experiment was repeated three time</w:t>
      </w:r>
      <w:r w:rsidR="00E05792">
        <w:rPr>
          <w:rFonts w:ascii="Times New Roman" w:hAnsi="Times New Roman" w:cs="Times New Roman"/>
          <w:sz w:val="24"/>
          <w:szCs w:val="24"/>
        </w:rPr>
        <w:t>s</w:t>
      </w:r>
      <w:r w:rsidRPr="002E26D2">
        <w:rPr>
          <w:rFonts w:ascii="Times New Roman" w:hAnsi="Times New Roman" w:cs="Times New Roman"/>
          <w:sz w:val="24"/>
          <w:szCs w:val="24"/>
        </w:rPr>
        <w:t xml:space="preserve"> (n=3). No statistical differences could be observed between groups. Wild type MDA-MB-231T cells, scramble silenced (siCTRL) or NME6 silenced (siNME6) displayed about 45% of cells in G0/G1 phase, 30% in S phase and 25% in G2/M phase. Results indicate that the transfection itself did not impact cell cycle (MDA-MB-231T vs siCTRL). Furthermore, the silencing of NME6 did not impact cell cycle as well (siCTRL vs siNME6).</w:t>
      </w:r>
    </w:p>
    <w:p w14:paraId="3023E98F" w14:textId="77777777"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Overall, the cell cycle was not affected by the relative changes of NME6 protein abundance within the cell.</w:t>
      </w:r>
    </w:p>
    <w:p w14:paraId="5E1E557F"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drawing>
          <wp:inline distT="0" distB="0" distL="0" distR="0" wp14:anchorId="77E5844D" wp14:editId="3B1184D8">
            <wp:extent cx="5755005" cy="23958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5005" cy="2395855"/>
                    </a:xfrm>
                    <a:prstGeom prst="rect">
                      <a:avLst/>
                    </a:prstGeom>
                    <a:noFill/>
                  </pic:spPr>
                </pic:pic>
              </a:graphicData>
            </a:graphic>
          </wp:inline>
        </w:drawing>
      </w:r>
    </w:p>
    <w:p w14:paraId="335FD30E" w14:textId="7241DE5C" w:rsidR="000B3AF7" w:rsidRPr="002E26D2" w:rsidRDefault="00FE642C" w:rsidP="004927BB">
      <w:pPr>
        <w:pStyle w:val="Caption"/>
        <w:spacing w:line="360" w:lineRule="auto"/>
        <w:rPr>
          <w:rFonts w:ascii="Times New Roman" w:hAnsi="Times New Roman" w:cs="Times New Roman"/>
          <w:sz w:val="24"/>
          <w:szCs w:val="24"/>
        </w:rPr>
      </w:pPr>
      <w:bookmarkStart w:id="266" w:name="_Ref106009941"/>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46</w:t>
      </w:r>
      <w:r w:rsidRPr="002E26D2">
        <w:rPr>
          <w:rFonts w:ascii="Times New Roman" w:hAnsi="Times New Roman" w:cs="Times New Roman"/>
          <w:sz w:val="24"/>
          <w:szCs w:val="24"/>
        </w:rPr>
        <w:fldChar w:fldCharType="end"/>
      </w:r>
      <w:bookmarkStart w:id="267" w:name="_Ref105754024"/>
      <w:bookmarkEnd w:id="266"/>
      <w:r w:rsidRPr="002E26D2">
        <w:rPr>
          <w:rFonts w:ascii="Times New Roman" w:hAnsi="Times New Roman" w:cs="Times New Roman"/>
          <w:sz w:val="24"/>
          <w:szCs w:val="24"/>
        </w:rPr>
        <w:t xml:space="preserve"> </w:t>
      </w:r>
      <w:r w:rsidR="000B3AF7" w:rsidRPr="00F35B12">
        <w:rPr>
          <w:rFonts w:ascii="Times New Roman" w:hAnsi="Times New Roman" w:cs="Times New Roman"/>
          <w:sz w:val="24"/>
          <w:szCs w:val="24"/>
          <w:u w:val="single"/>
        </w:rPr>
        <w:t>: NME6 overexpression or silencing do</w:t>
      </w:r>
      <w:r w:rsidR="007A1EDA">
        <w:rPr>
          <w:rFonts w:ascii="Times New Roman" w:hAnsi="Times New Roman" w:cs="Times New Roman"/>
          <w:sz w:val="24"/>
          <w:szCs w:val="24"/>
          <w:u w:val="single"/>
        </w:rPr>
        <w:t>es</w:t>
      </w:r>
      <w:r w:rsidR="000B3AF7" w:rsidRPr="00F35B12">
        <w:rPr>
          <w:rFonts w:ascii="Times New Roman" w:hAnsi="Times New Roman" w:cs="Times New Roman"/>
          <w:sz w:val="24"/>
          <w:szCs w:val="24"/>
          <w:u w:val="single"/>
        </w:rPr>
        <w:t xml:space="preserve"> not impact </w:t>
      </w:r>
      <w:r w:rsidR="00E05792" w:rsidRPr="00F35B12">
        <w:rPr>
          <w:rFonts w:ascii="Times New Roman" w:hAnsi="Times New Roman" w:cs="Times New Roman"/>
          <w:sz w:val="24"/>
          <w:szCs w:val="24"/>
          <w:u w:val="single"/>
        </w:rPr>
        <w:t xml:space="preserve">the </w:t>
      </w:r>
      <w:r w:rsidR="000B3AF7" w:rsidRPr="00F35B12">
        <w:rPr>
          <w:rFonts w:ascii="Times New Roman" w:hAnsi="Times New Roman" w:cs="Times New Roman"/>
          <w:sz w:val="24"/>
          <w:szCs w:val="24"/>
          <w:u w:val="single"/>
        </w:rPr>
        <w:t>cell cycle.</w:t>
      </w:r>
      <w:r w:rsidR="000B3AF7" w:rsidRPr="002E26D2">
        <w:rPr>
          <w:rFonts w:ascii="Times New Roman" w:hAnsi="Times New Roman" w:cs="Times New Roman"/>
          <w:sz w:val="24"/>
          <w:szCs w:val="24"/>
        </w:rPr>
        <w:t xml:space="preserve"> MDA-MB-231T cells, together with </w:t>
      </w:r>
      <w:r w:rsidR="00F35B12"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w:t>
      </w:r>
      <w:r w:rsidR="00F35B12" w:rsidRPr="002E26D2">
        <w:rPr>
          <w:rFonts w:ascii="Times New Roman" w:hAnsi="Times New Roman" w:cs="Times New Roman"/>
          <w:sz w:val="24"/>
          <w:szCs w:val="24"/>
        </w:rPr>
        <w:t>stable clone</w:t>
      </w:r>
      <w:r w:rsidR="00F35B12">
        <w:rPr>
          <w:rFonts w:ascii="Times New Roman" w:hAnsi="Times New Roman" w:cs="Times New Roman"/>
          <w:sz w:val="24"/>
          <w:szCs w:val="24"/>
        </w:rPr>
        <w:t>s</w:t>
      </w:r>
      <w:r w:rsidR="000B3AF7" w:rsidRPr="002E26D2">
        <w:rPr>
          <w:rFonts w:ascii="Times New Roman" w:hAnsi="Times New Roman" w:cs="Times New Roman"/>
          <w:sz w:val="24"/>
          <w:szCs w:val="24"/>
        </w:rPr>
        <w:t xml:space="preserve"> carrying empty vector as a negative control for clones (KI-CTRL) and overexpressing NME6-186-FLAG (KI-186) or NME6-194-FLAG (KI-194) and </w:t>
      </w:r>
      <w:r w:rsidR="00F35B12" w:rsidRPr="002E26D2">
        <w:rPr>
          <w:rFonts w:ascii="Times New Roman" w:hAnsi="Times New Roman" w:cs="Times New Roman"/>
          <w:b/>
          <w:sz w:val="24"/>
          <w:szCs w:val="24"/>
        </w:rPr>
        <w:t>b</w:t>
      </w:r>
      <w:r w:rsidR="000B3AF7" w:rsidRPr="002E26D2">
        <w:rPr>
          <w:rFonts w:ascii="Times New Roman" w:hAnsi="Times New Roman" w:cs="Times New Roman"/>
          <w:sz w:val="24"/>
          <w:szCs w:val="24"/>
        </w:rPr>
        <w:t xml:space="preserve"> cells transfected with scramble siRNA as negative control for silencing (siCTRL) or with NME6 silencers (siNME6) were assayed by flow cytometry after propidium iodide staining (n=3).</w:t>
      </w:r>
      <w:bookmarkEnd w:id="267"/>
    </w:p>
    <w:p w14:paraId="29826B4A" w14:textId="6DA3C00F" w:rsidR="000B3AF7" w:rsidRPr="002E26D2" w:rsidRDefault="000D68C1" w:rsidP="003775DE">
      <w:pPr>
        <w:pStyle w:val="Heading3"/>
      </w:pPr>
      <w:bookmarkStart w:id="268" w:name="_Toc117153903"/>
      <w:r w:rsidRPr="002E26D2">
        <w:t>Mitochondrial respiration</w:t>
      </w:r>
      <w:bookmarkEnd w:id="268"/>
    </w:p>
    <w:p w14:paraId="7C07A8D0" w14:textId="0F7C8CFE" w:rsidR="00A33081"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As we localized NME6 in the mitochondrial matrix, and interacting with RCC1L protein which was shown to negatively impact the abundance of mitochondria-encoded proteins of the respiratory chain</w:t>
      </w:r>
      <w:r w:rsidR="00CD24F8" w:rsidRPr="002E26D2">
        <w:rPr>
          <w:rFonts w:ascii="Times New Roman" w:hAnsi="Times New Roman" w:cs="Times New Roman"/>
          <w:sz w:val="24"/>
          <w:szCs w:val="24"/>
        </w:rPr>
        <w:t xml:space="preserve"> </w:t>
      </w:r>
      <w:r w:rsidR="00CD24F8" w:rsidRPr="002E26D2">
        <w:rPr>
          <w:rFonts w:ascii="Times New Roman" w:hAnsi="Times New Roman" w:cs="Times New Roman"/>
          <w:sz w:val="24"/>
          <w:szCs w:val="24"/>
        </w:rPr>
        <w:fldChar w:fldCharType="begin" w:fldLock="1"/>
      </w:r>
      <w:r w:rsidR="00517C5E">
        <w:rPr>
          <w:rFonts w:ascii="Times New Roman" w:hAnsi="Times New Roman" w:cs="Times New Roman"/>
          <w:sz w:val="24"/>
          <w:szCs w:val="24"/>
        </w:rPr>
        <w:instrText>ADDIN CSL_CITATION {"citationItems":[{"id":"ITEM-1","itemData":{"DOI":"10.1371/journal.pgen.1008923","ISSN":"1553-7404","author":[{"dropping-particle":"","family":"Reyes","given":"Aurelio","non-dropping-particle":"","parse-names":false,"suffix":""},{"dropping-particle":"","family":"Favia","given":"Paola","non-dropping-particle":"","parse-names":false,"suffix":""},{"dropping-particle":"","family":"Vidoni","given":"Sara","non-dropping-particle":"","parse-names":false,"suffix":""},{"dropping-particle":"","family":"Petruzzella","given":"Vittoria","non-dropping-particle":"","parse-names":false,"suffix":""},{"dropping-particle":"","family":"Zeviani","given":"Massimo","non-dropping-particle":"","parse-names":false,"suffix":""}],"container-title":"PLOS Genetics","editor":[{"dropping-particle":"","family":"Filipovska","given":"Aleksandra","non-dropping-particle":"","parse-names":false,"suffix":""}],"id":"ITEM-1","issue":"7","issued":{"date-parts":[["2020","7","31"]]},"page":"e1008923","title":"RCC1L (WBSCR16) isoforms coordinate mitochondrial ribosome assembly through their interaction with GTPases","type":"article-journal","volume":"16"},"uris":["http://www.mendeley.com/documents/?uuid=429858cc-8986-40b1-b986-310c09b10d00"]}],"mendeley":{"formattedCitation":"[128]","plainTextFormattedCitation":"[128]","previouslyFormattedCitation":"[128]"},"properties":{"noteIndex":0},"schema":"https://github.com/citation-style-language/schema/raw/master/csl-citation.json"}</w:instrText>
      </w:r>
      <w:r w:rsidR="00CD24F8" w:rsidRPr="002E26D2">
        <w:rPr>
          <w:rFonts w:ascii="Times New Roman" w:hAnsi="Times New Roman" w:cs="Times New Roman"/>
          <w:sz w:val="24"/>
          <w:szCs w:val="24"/>
        </w:rPr>
        <w:fldChar w:fldCharType="separate"/>
      </w:r>
      <w:r w:rsidR="00517C5E" w:rsidRPr="00517C5E">
        <w:rPr>
          <w:rFonts w:ascii="Times New Roman" w:hAnsi="Times New Roman" w:cs="Times New Roman"/>
          <w:noProof/>
          <w:sz w:val="24"/>
          <w:szCs w:val="24"/>
        </w:rPr>
        <w:t>[128]</w:t>
      </w:r>
      <w:r w:rsidR="00CD24F8" w:rsidRPr="002E26D2">
        <w:rPr>
          <w:rFonts w:ascii="Times New Roman" w:hAnsi="Times New Roman" w:cs="Times New Roman"/>
          <w:sz w:val="24"/>
          <w:szCs w:val="24"/>
        </w:rPr>
        <w:fldChar w:fldCharType="end"/>
      </w:r>
      <w:r w:rsidRPr="002E26D2">
        <w:rPr>
          <w:rFonts w:ascii="Times New Roman" w:hAnsi="Times New Roman" w:cs="Times New Roman"/>
          <w:sz w:val="24"/>
          <w:szCs w:val="24"/>
        </w:rPr>
        <w:t>, we verified mitochondria functional parameters under NME6 overexpression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_Ref106009962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47</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or silencing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_Ref106009969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48</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Oxygen consumption rate (OCR) of digitonin-permeabilized cells was measured, using the complex I-linked substrates glutamate/malate or the complex II-linked substrate succinate</w:t>
      </w:r>
      <w:r w:rsidR="00EE70DB" w:rsidRPr="002E26D2">
        <w:rPr>
          <w:rFonts w:ascii="Times New Roman" w:hAnsi="Times New Roman" w:cs="Times New Roman"/>
          <w:sz w:val="24"/>
          <w:szCs w:val="24"/>
        </w:rPr>
        <w:t xml:space="preserve"> (</w:t>
      </w:r>
      <w:r w:rsidR="00526D8E">
        <w:rPr>
          <w:rFonts w:ascii="Times New Roman" w:hAnsi="Times New Roman" w:cs="Times New Roman"/>
          <w:sz w:val="24"/>
          <w:szCs w:val="24"/>
        </w:rPr>
        <w:t xml:space="preserve">section </w:t>
      </w:r>
      <w:r w:rsidR="00EE70DB" w:rsidRPr="002E26D2">
        <w:rPr>
          <w:rFonts w:ascii="Times New Roman" w:hAnsi="Times New Roman" w:cs="Times New Roman"/>
          <w:sz w:val="24"/>
          <w:szCs w:val="24"/>
        </w:rPr>
        <w:fldChar w:fldCharType="begin"/>
      </w:r>
      <w:r w:rsidR="00EE70DB" w:rsidRPr="002E26D2">
        <w:rPr>
          <w:rFonts w:ascii="Times New Roman" w:hAnsi="Times New Roman" w:cs="Times New Roman"/>
          <w:sz w:val="24"/>
          <w:szCs w:val="24"/>
        </w:rPr>
        <w:instrText xml:space="preserve"> REF _Ref105769914 \r \h </w:instrText>
      </w:r>
      <w:r w:rsidR="002E26D2" w:rsidRPr="002E26D2">
        <w:rPr>
          <w:rFonts w:ascii="Times New Roman" w:hAnsi="Times New Roman" w:cs="Times New Roman"/>
          <w:sz w:val="24"/>
          <w:szCs w:val="24"/>
        </w:rPr>
        <w:instrText xml:space="preserve"> \* MERGEFORMAT </w:instrText>
      </w:r>
      <w:r w:rsidR="00EE70DB" w:rsidRPr="002E26D2">
        <w:rPr>
          <w:rFonts w:ascii="Times New Roman" w:hAnsi="Times New Roman" w:cs="Times New Roman"/>
          <w:sz w:val="24"/>
          <w:szCs w:val="24"/>
        </w:rPr>
      </w:r>
      <w:r w:rsidR="00EE70DB" w:rsidRPr="002E26D2">
        <w:rPr>
          <w:rFonts w:ascii="Times New Roman" w:hAnsi="Times New Roman" w:cs="Times New Roman"/>
          <w:sz w:val="24"/>
          <w:szCs w:val="24"/>
        </w:rPr>
        <w:fldChar w:fldCharType="separate"/>
      </w:r>
      <w:r w:rsidR="00790F77">
        <w:rPr>
          <w:rFonts w:ascii="Times New Roman" w:hAnsi="Times New Roman" w:cs="Times New Roman"/>
          <w:sz w:val="24"/>
          <w:szCs w:val="24"/>
        </w:rPr>
        <w:t>3.2.5.3</w:t>
      </w:r>
      <w:r w:rsidR="00EE70DB" w:rsidRPr="002E26D2">
        <w:rPr>
          <w:rFonts w:ascii="Times New Roman" w:hAnsi="Times New Roman" w:cs="Times New Roman"/>
          <w:sz w:val="24"/>
          <w:szCs w:val="24"/>
        </w:rPr>
        <w:fldChar w:fldCharType="end"/>
      </w:r>
      <w:r w:rsidR="00EE70DB" w:rsidRPr="002E26D2">
        <w:rPr>
          <w:rFonts w:ascii="Times New Roman" w:hAnsi="Times New Roman" w:cs="Times New Roman"/>
          <w:sz w:val="24"/>
          <w:szCs w:val="24"/>
        </w:rPr>
        <w:t>)</w:t>
      </w:r>
      <w:r w:rsidRPr="002E26D2">
        <w:rPr>
          <w:rFonts w:ascii="Times New Roman" w:hAnsi="Times New Roman" w:cs="Times New Roman"/>
          <w:sz w:val="24"/>
          <w:szCs w:val="24"/>
        </w:rPr>
        <w:t>.</w:t>
      </w:r>
    </w:p>
    <w:p w14:paraId="0B5AB98C" w14:textId="4BD7DAB1" w:rsidR="000B3AF7" w:rsidRPr="002E26D2" w:rsidRDefault="00A33081"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lastRenderedPageBreak/>
        <w:t xml:space="preserve">Upon NME6 overexpression, </w:t>
      </w:r>
      <w:r w:rsidR="000B3AF7" w:rsidRPr="002E26D2">
        <w:rPr>
          <w:rFonts w:ascii="Times New Roman" w:hAnsi="Times New Roman" w:cs="Times New Roman"/>
          <w:sz w:val="24"/>
          <w:szCs w:val="24"/>
        </w:rPr>
        <w:t xml:space="preserve">respiration </w:t>
      </w:r>
      <w:r w:rsidRPr="002E26D2">
        <w:rPr>
          <w:rFonts w:ascii="Times New Roman" w:hAnsi="Times New Roman" w:cs="Times New Roman"/>
          <w:sz w:val="24"/>
          <w:szCs w:val="24"/>
        </w:rPr>
        <w:t>fueled over complex-I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_Ref106009962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47</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a) or complex-II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_Ref106009962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47</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xml:space="preserve">b) </w:t>
      </w:r>
      <w:r w:rsidR="000B3AF7" w:rsidRPr="002E26D2">
        <w:rPr>
          <w:rFonts w:ascii="Times New Roman" w:hAnsi="Times New Roman" w:cs="Times New Roman"/>
          <w:sz w:val="24"/>
          <w:szCs w:val="24"/>
        </w:rPr>
        <w:t>was similar between control and KI-clones (LEAK). Upon addition of ADP (OXPHOS), significant differences occurred. All the NME6 KI clones displayed lower ADP-stimulated respiration compared to control. Accordingly, the ratio OXPHOS/LEAK was significantly reduced in KI clones. A further addition of Cytochrome C did not increase oxygen consumption compared to OXPHOS, indicating in all cases that mitochondria were intact upon measurement. The same set of experiments was realized with NME6 silenced cells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_Ref106009969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48</w:t>
      </w:r>
      <w:r w:rsidR="00534B64" w:rsidRPr="002E26D2">
        <w:rPr>
          <w:rFonts w:ascii="Times New Roman" w:hAnsi="Times New Roman" w:cs="Times New Roman"/>
          <w:sz w:val="24"/>
          <w:szCs w:val="24"/>
        </w:rPr>
        <w:fldChar w:fldCharType="end"/>
      </w:r>
      <w:r w:rsidR="000B3AF7" w:rsidRPr="002E26D2">
        <w:rPr>
          <w:rFonts w:ascii="Times New Roman" w:hAnsi="Times New Roman" w:cs="Times New Roman"/>
          <w:sz w:val="24"/>
          <w:szCs w:val="24"/>
        </w:rPr>
        <w:t>). Upon addition of ADP (OXPHOS), silenced cells displayed higher ADP-stimulated respiration compared to control, which is the opposite effect from the one observed for KI clones. However, the difference was lost when calculating the ratio OXPHOS/LEAK. As a result, NME6 overexpression negatively impacts cellular respiration in KI clones, and an inverse tendency can be observed in silenced cells, even though not statistically significant.</w:t>
      </w:r>
    </w:p>
    <w:p w14:paraId="4285E4DD" w14:textId="77777777" w:rsidR="00FE642C"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2A22360D" wp14:editId="50B759AC">
            <wp:extent cx="5785083" cy="5498966"/>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85083" cy="5498966"/>
                    </a:xfrm>
                    <a:prstGeom prst="rect">
                      <a:avLst/>
                    </a:prstGeom>
                    <a:noFill/>
                  </pic:spPr>
                </pic:pic>
              </a:graphicData>
            </a:graphic>
          </wp:inline>
        </w:drawing>
      </w:r>
    </w:p>
    <w:p w14:paraId="6219CA7D" w14:textId="79BE176F" w:rsidR="000B3AF7" w:rsidRPr="002E26D2" w:rsidRDefault="00FE642C" w:rsidP="004927BB">
      <w:pPr>
        <w:pStyle w:val="Caption"/>
        <w:spacing w:line="360" w:lineRule="auto"/>
        <w:rPr>
          <w:rFonts w:ascii="Times New Roman" w:hAnsi="Times New Roman" w:cs="Times New Roman"/>
          <w:sz w:val="24"/>
          <w:szCs w:val="24"/>
        </w:rPr>
      </w:pPr>
      <w:bookmarkStart w:id="269" w:name="_Ref106009962"/>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47</w:t>
      </w:r>
      <w:r w:rsidRPr="002E26D2">
        <w:rPr>
          <w:rFonts w:ascii="Times New Roman" w:hAnsi="Times New Roman" w:cs="Times New Roman"/>
          <w:sz w:val="24"/>
          <w:szCs w:val="24"/>
        </w:rPr>
        <w:fldChar w:fldCharType="end"/>
      </w:r>
      <w:bookmarkStart w:id="270" w:name="_Ref105754260"/>
      <w:bookmarkEnd w:id="269"/>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NME6 overexpression negatively affects ADP-stimulated respiration of mitochondria.</w:t>
      </w:r>
      <w:r w:rsidR="000B3AF7" w:rsidRPr="002E26D2">
        <w:rPr>
          <w:rFonts w:ascii="Times New Roman" w:hAnsi="Times New Roman" w:cs="Times New Roman"/>
          <w:sz w:val="24"/>
          <w:szCs w:val="24"/>
        </w:rPr>
        <w:t xml:space="preserve"> Oxygraphy analysis of respiration in three MDA-MB-231T stable clones overexpressing NME6-186-FLAG (KI-186-7, KI-186-18, KI-186-26), that were digitonin-permeabilized and supplied with substrate (LEAK), stimulated with ADP (OXPHOS), and tested for mitochondrial membrane integrity (addition of cytochrome c).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Cellular oxygen consumption with glutamate/malate and associated OXPHOS/LEAK ratios. </w:t>
      </w:r>
      <w:r w:rsidR="000B3AF7" w:rsidRPr="002E26D2">
        <w:rPr>
          <w:rFonts w:ascii="Times New Roman" w:hAnsi="Times New Roman" w:cs="Times New Roman"/>
          <w:b/>
          <w:sz w:val="24"/>
          <w:szCs w:val="24"/>
        </w:rPr>
        <w:t>b</w:t>
      </w:r>
      <w:r w:rsidR="000B3AF7" w:rsidRPr="002E26D2">
        <w:rPr>
          <w:rFonts w:ascii="Times New Roman" w:hAnsi="Times New Roman" w:cs="Times New Roman"/>
          <w:sz w:val="24"/>
          <w:szCs w:val="24"/>
        </w:rPr>
        <w:t xml:space="preserve"> Cellular oxygen consumption with succinate and associated OXPHOS/LEAK ratios. All data are given as mean ± SEM (n=3). For comparison between Ctrl and NME6 overexpressing clones, significance is given as ** p&lt; 0.01; * p&lt; 0.05 (Student’s test).</w:t>
      </w:r>
      <w:bookmarkEnd w:id="270"/>
    </w:p>
    <w:p w14:paraId="55CC22E7" w14:textId="77777777" w:rsidR="0054289E"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3F126FB0" wp14:editId="41538B94">
            <wp:extent cx="3486150" cy="601599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01113" cy="6041816"/>
                    </a:xfrm>
                    <a:prstGeom prst="rect">
                      <a:avLst/>
                    </a:prstGeom>
                    <a:noFill/>
                  </pic:spPr>
                </pic:pic>
              </a:graphicData>
            </a:graphic>
          </wp:inline>
        </w:drawing>
      </w:r>
    </w:p>
    <w:p w14:paraId="70B24E82" w14:textId="6C026013" w:rsidR="000B3AF7" w:rsidRPr="002E26D2" w:rsidRDefault="0054289E" w:rsidP="004927BB">
      <w:pPr>
        <w:pStyle w:val="Caption"/>
        <w:spacing w:line="360" w:lineRule="auto"/>
        <w:rPr>
          <w:rFonts w:ascii="Times New Roman" w:hAnsi="Times New Roman" w:cs="Times New Roman"/>
          <w:sz w:val="24"/>
          <w:szCs w:val="24"/>
        </w:rPr>
      </w:pPr>
      <w:bookmarkStart w:id="271" w:name="_Ref106009969"/>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48</w:t>
      </w:r>
      <w:r w:rsidRPr="002E26D2">
        <w:rPr>
          <w:rFonts w:ascii="Times New Roman" w:hAnsi="Times New Roman" w:cs="Times New Roman"/>
          <w:sz w:val="24"/>
          <w:szCs w:val="24"/>
        </w:rPr>
        <w:fldChar w:fldCharType="end"/>
      </w:r>
      <w:bookmarkStart w:id="272" w:name="_Ref105754270"/>
      <w:bookmarkEnd w:id="271"/>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NME6 silencing tend to increase ADP-stimulated respiration of mitochondria.</w:t>
      </w:r>
      <w:r w:rsidR="000B3AF7" w:rsidRPr="002E26D2">
        <w:rPr>
          <w:rFonts w:ascii="Times New Roman" w:hAnsi="Times New Roman" w:cs="Times New Roman"/>
          <w:sz w:val="24"/>
          <w:szCs w:val="24"/>
        </w:rPr>
        <w:t xml:space="preserve"> Oxygraphy analysis of respiration in MDA-MB-231T cells transfected with scramble siRNA (siCtrl) or transfected with siRNA against NME6 (siNME6), that were digitonin-permeabilized and supplied with substrate (LEAK) and stimulated with ADP (OXPHOS).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Cellular oxygen consumption with glutamate/malate and associated OXPHOS/LEAK ratios. </w:t>
      </w:r>
      <w:r w:rsidR="000B3AF7" w:rsidRPr="002E26D2">
        <w:rPr>
          <w:rFonts w:ascii="Times New Roman" w:hAnsi="Times New Roman" w:cs="Times New Roman"/>
          <w:b/>
          <w:sz w:val="24"/>
          <w:szCs w:val="24"/>
        </w:rPr>
        <w:t>b</w:t>
      </w:r>
      <w:r w:rsidR="000B3AF7" w:rsidRPr="002E26D2">
        <w:rPr>
          <w:rFonts w:ascii="Times New Roman" w:hAnsi="Times New Roman" w:cs="Times New Roman"/>
          <w:sz w:val="24"/>
          <w:szCs w:val="24"/>
        </w:rPr>
        <w:t xml:space="preserve"> Cellular oxygen consumption with succinate and associated OXPHOS/LEAK ratios. All data are given as mean ± SEM (n=3). For comparison between Ctrl and NME6 overexpressing clones, significance is given as ** p&lt; 0.01; * p&lt; 0.05 (Student’s test).</w:t>
      </w:r>
      <w:bookmarkEnd w:id="272"/>
    </w:p>
    <w:p w14:paraId="037AC2F9" w14:textId="77777777" w:rsidR="000B3AF7" w:rsidRPr="002E26D2" w:rsidRDefault="000B3AF7" w:rsidP="004927BB">
      <w:pPr>
        <w:spacing w:line="360" w:lineRule="auto"/>
        <w:jc w:val="both"/>
        <w:rPr>
          <w:rFonts w:ascii="Times New Roman" w:hAnsi="Times New Roman" w:cs="Times New Roman"/>
          <w:sz w:val="24"/>
          <w:szCs w:val="24"/>
        </w:rPr>
      </w:pPr>
    </w:p>
    <w:p w14:paraId="179673BF" w14:textId="15E7970A" w:rsidR="000B3AF7" w:rsidRPr="002E26D2" w:rsidRDefault="000B3AF7" w:rsidP="003775DE">
      <w:pPr>
        <w:pStyle w:val="Heading3"/>
      </w:pPr>
      <w:bookmarkStart w:id="273" w:name="_Toc117153904"/>
      <w:r w:rsidRPr="002E26D2">
        <w:lastRenderedPageBreak/>
        <w:t>Respiratory chain complexes abundance</w:t>
      </w:r>
      <w:bookmarkEnd w:id="273"/>
    </w:p>
    <w:p w14:paraId="01E31D17" w14:textId="386C93C6" w:rsidR="000B3AF7" w:rsidRPr="002E26D2" w:rsidRDefault="000B3AF7" w:rsidP="004927BB">
      <w:pPr>
        <w:spacing w:line="360" w:lineRule="auto"/>
        <w:jc w:val="both"/>
        <w:rPr>
          <w:rFonts w:ascii="Times New Roman" w:hAnsi="Times New Roman" w:cs="Times New Roman"/>
          <w:sz w:val="24"/>
          <w:szCs w:val="24"/>
        </w:rPr>
      </w:pPr>
      <w:r w:rsidRPr="002E26D2">
        <w:rPr>
          <w:rFonts w:ascii="Times New Roman" w:hAnsi="Times New Roman" w:cs="Times New Roman"/>
          <w:sz w:val="24"/>
          <w:szCs w:val="24"/>
        </w:rPr>
        <w:t>The deficiency of ADP-stimulated respiration upon NME6 overexpression raised the question of its impact of respiratory chain complexes abundance. To address this question, a Western blot was conducted on MDA-MB-231T cells lysates (Ctrl), silenced with scramble control (siCtrl), silenced for NME6 (siNME6), and clones overexpressing NME6-186-FLAG (KI-186-7, KI-186-18, KI-186-26). Immunoblotting was performed using an antibody cocktail against OXPHOS complexes C-I to C-V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_Ref106010006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49</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The experiment was repeated three times, the band intensities were extracted by densitometry and statistical analysis was performed by comparing siCtrl to siNME6 on one hand, and Ctrl to NME6 KI clones on the other hand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_Ref106010016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50</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 Results show that NME6 silencing does not have statistically significant effect on respiratory complexes abundance. However, the overexpression of NME6-186-FLAG strongly decreases the abundance of C-III protein UQCRC2, in all overexpressing clones tested. Similarly, C-I protein NDUFA9 and C-IV protein COX IV tended to be downregulated upon NME6-FLAG overexpression, even though this was not observed for all three NME6 KI clones. C-II protein SDHA and C-V protein ATP5A were unaffected by NME6-FLAG overexpression. The overexpression of NME6 had a direct negative impact on respiratory complexes proteins abundance, which could be responsible for the deficiency of ADP-stimulated respiration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_Ref106009962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47</w:t>
      </w:r>
      <w:r w:rsidR="00534B64" w:rsidRPr="002E26D2">
        <w:rPr>
          <w:rFonts w:ascii="Times New Roman" w:hAnsi="Times New Roman" w:cs="Times New Roman"/>
          <w:sz w:val="24"/>
          <w:szCs w:val="24"/>
        </w:rPr>
        <w:fldChar w:fldCharType="end"/>
      </w:r>
      <w:r w:rsidRPr="002E26D2">
        <w:rPr>
          <w:rFonts w:ascii="Times New Roman" w:hAnsi="Times New Roman" w:cs="Times New Roman"/>
          <w:sz w:val="24"/>
          <w:szCs w:val="24"/>
        </w:rPr>
        <w:t>).</w:t>
      </w:r>
    </w:p>
    <w:p w14:paraId="405453F6" w14:textId="77777777" w:rsidR="006C58F9" w:rsidRPr="002E26D2" w:rsidRDefault="000B3AF7" w:rsidP="004927BB">
      <w:pPr>
        <w:keepNext/>
        <w:spacing w:line="360" w:lineRule="auto"/>
        <w:jc w:val="center"/>
        <w:rPr>
          <w:rFonts w:ascii="Times New Roman" w:hAnsi="Times New Roman" w:cs="Times New Roman"/>
          <w:sz w:val="24"/>
          <w:szCs w:val="24"/>
        </w:rPr>
      </w:pPr>
      <w:r>
        <w:rPr>
          <w:noProof/>
        </w:rPr>
        <w:lastRenderedPageBreak/>
        <w:drawing>
          <wp:inline distT="0" distB="0" distL="0" distR="0" wp14:anchorId="3D1E8209" wp14:editId="79CF42C7">
            <wp:extent cx="5298106" cy="6334126"/>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1732AE57-7A85-401A-8F6A-25863EA235CE}"/>
                        </a:ext>
                      </a:extLst>
                    </a:blip>
                    <a:srcRect t="5833" r="54275" b="1806"/>
                    <a:stretch>
                      <a:fillRect/>
                    </a:stretch>
                  </pic:blipFill>
                  <pic:spPr>
                    <a:xfrm>
                      <a:off x="0" y="0"/>
                      <a:ext cx="5298106" cy="6334126"/>
                    </a:xfrm>
                    <a:prstGeom prst="rect">
                      <a:avLst/>
                    </a:prstGeom>
                  </pic:spPr>
                </pic:pic>
              </a:graphicData>
            </a:graphic>
          </wp:inline>
        </w:drawing>
      </w:r>
    </w:p>
    <w:p w14:paraId="1DF2CDB2" w14:textId="13C0237B" w:rsidR="000B3AF7" w:rsidRPr="002E26D2" w:rsidRDefault="006C58F9" w:rsidP="004927BB">
      <w:pPr>
        <w:pStyle w:val="Caption"/>
        <w:spacing w:line="360" w:lineRule="auto"/>
        <w:rPr>
          <w:rFonts w:ascii="Times New Roman" w:hAnsi="Times New Roman" w:cs="Times New Roman"/>
          <w:sz w:val="24"/>
          <w:szCs w:val="24"/>
        </w:rPr>
      </w:pPr>
      <w:bookmarkStart w:id="274" w:name="_Ref10601000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49</w:t>
      </w:r>
      <w:r w:rsidRPr="002E26D2">
        <w:rPr>
          <w:rFonts w:ascii="Times New Roman" w:hAnsi="Times New Roman" w:cs="Times New Roman"/>
          <w:sz w:val="24"/>
          <w:szCs w:val="24"/>
        </w:rPr>
        <w:fldChar w:fldCharType="end"/>
      </w:r>
      <w:bookmarkStart w:id="275" w:name="_Ref105754673"/>
      <w:bookmarkEnd w:id="274"/>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xml:space="preserve">: Stable overexpression of NME6 reduces </w:t>
      </w:r>
      <w:r w:rsidR="00FE56D5">
        <w:rPr>
          <w:rFonts w:ascii="Times New Roman" w:hAnsi="Times New Roman" w:cs="Times New Roman"/>
          <w:sz w:val="24"/>
          <w:szCs w:val="24"/>
          <w:u w:val="single"/>
        </w:rPr>
        <w:t xml:space="preserve">Complex-III </w:t>
      </w:r>
      <w:r w:rsidR="000B3AF7" w:rsidRPr="002E26D2">
        <w:rPr>
          <w:rFonts w:ascii="Times New Roman" w:hAnsi="Times New Roman" w:cs="Times New Roman"/>
          <w:sz w:val="24"/>
          <w:szCs w:val="24"/>
          <w:u w:val="single"/>
        </w:rPr>
        <w:t>respiratory chain protein abundance.</w:t>
      </w:r>
      <w:r w:rsidR="000B3AF7" w:rsidRPr="006B5293">
        <w:rPr>
          <w:rFonts w:ascii="Times New Roman" w:hAnsi="Times New Roman" w:cs="Times New Roman"/>
          <w:sz w:val="24"/>
          <w:szCs w:val="24"/>
        </w:rPr>
        <w:t xml:space="preserve">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Ten micrograms of cell lysate from MDA-MB-231T (Ctrl), silenced with scramble control (siCtrl), silenced for NME6 (siNME6) and stable clones overexpressing NME6-186-FLAG (KI-186-7, KI-186-18, KI-186-26) were analyzed by Western blot, using the antibody cocktail against OXPHOS complexes C-I to C-V.</w:t>
      </w:r>
      <w:bookmarkEnd w:id="275"/>
      <w:r w:rsidR="000B3AF7" w:rsidRPr="002E26D2">
        <w:rPr>
          <w:rFonts w:ascii="Times New Roman" w:hAnsi="Times New Roman" w:cs="Times New Roman"/>
          <w:sz w:val="24"/>
          <w:szCs w:val="24"/>
        </w:rPr>
        <w:t xml:space="preserve"> </w:t>
      </w:r>
    </w:p>
    <w:p w14:paraId="06C9F4A3" w14:textId="77777777" w:rsidR="000B3AF7" w:rsidRPr="002E26D2" w:rsidRDefault="000B3AF7" w:rsidP="004927BB">
      <w:pPr>
        <w:spacing w:line="360" w:lineRule="auto"/>
        <w:jc w:val="both"/>
        <w:rPr>
          <w:rFonts w:ascii="Times New Roman" w:hAnsi="Times New Roman" w:cs="Times New Roman"/>
          <w:sz w:val="24"/>
          <w:szCs w:val="24"/>
        </w:rPr>
      </w:pPr>
    </w:p>
    <w:p w14:paraId="66FBD8FA" w14:textId="77777777" w:rsidR="006C58F9" w:rsidRPr="002E26D2" w:rsidRDefault="000B3AF7" w:rsidP="004927BB">
      <w:pPr>
        <w:keepNext/>
        <w:spacing w:line="360" w:lineRule="auto"/>
        <w:jc w:val="center"/>
        <w:rPr>
          <w:rFonts w:ascii="Times New Roman" w:hAnsi="Times New Roman" w:cs="Times New Roman"/>
          <w:sz w:val="24"/>
          <w:szCs w:val="24"/>
        </w:rPr>
      </w:pPr>
      <w:r w:rsidRPr="002E26D2">
        <w:rPr>
          <w:rFonts w:ascii="Times New Roman" w:hAnsi="Times New Roman" w:cs="Times New Roman"/>
          <w:noProof/>
          <w:sz w:val="24"/>
          <w:szCs w:val="24"/>
          <w:lang w:val="hr-HR" w:eastAsia="hr-HR"/>
        </w:rPr>
        <w:lastRenderedPageBreak/>
        <w:drawing>
          <wp:inline distT="0" distB="0" distL="0" distR="0" wp14:anchorId="0A0A703F" wp14:editId="4D80D842">
            <wp:extent cx="5535930" cy="6901180"/>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35930" cy="6901180"/>
                    </a:xfrm>
                    <a:prstGeom prst="rect">
                      <a:avLst/>
                    </a:prstGeom>
                    <a:noFill/>
                  </pic:spPr>
                </pic:pic>
              </a:graphicData>
            </a:graphic>
          </wp:inline>
        </w:drawing>
      </w:r>
    </w:p>
    <w:p w14:paraId="42D3C764" w14:textId="32CE6271" w:rsidR="008F00E1" w:rsidRDefault="006C58F9" w:rsidP="008F00E1">
      <w:pPr>
        <w:pStyle w:val="Caption"/>
        <w:spacing w:line="360" w:lineRule="auto"/>
        <w:rPr>
          <w:rFonts w:ascii="Times New Roman" w:hAnsi="Times New Roman" w:cs="Times New Roman"/>
          <w:bCs w:val="0"/>
          <w:i w:val="0"/>
          <w:sz w:val="24"/>
          <w:szCs w:val="24"/>
        </w:rPr>
      </w:pPr>
      <w:bookmarkStart w:id="276" w:name="_Ref106010016"/>
      <w:r w:rsidRPr="002E26D2">
        <w:rPr>
          <w:rFonts w:ascii="Times New Roman" w:hAnsi="Times New Roman" w:cs="Times New Roman"/>
          <w:sz w:val="24"/>
          <w:szCs w:val="24"/>
        </w:rPr>
        <w:t xml:space="preserve">Figure </w:t>
      </w:r>
      <w:r w:rsidRPr="002E26D2">
        <w:rPr>
          <w:rFonts w:ascii="Times New Roman" w:hAnsi="Times New Roman" w:cs="Times New Roman"/>
          <w:sz w:val="24"/>
          <w:szCs w:val="24"/>
        </w:rPr>
        <w:fldChar w:fldCharType="begin"/>
      </w:r>
      <w:r w:rsidRPr="002E26D2">
        <w:rPr>
          <w:rFonts w:ascii="Times New Roman" w:hAnsi="Times New Roman" w:cs="Times New Roman"/>
          <w:sz w:val="24"/>
          <w:szCs w:val="24"/>
        </w:rPr>
        <w:instrText xml:space="preserve"> SEQ Figure \* ARABIC </w:instrText>
      </w:r>
      <w:r w:rsidRPr="002E26D2">
        <w:rPr>
          <w:rFonts w:ascii="Times New Roman" w:hAnsi="Times New Roman" w:cs="Times New Roman"/>
          <w:sz w:val="24"/>
          <w:szCs w:val="24"/>
        </w:rPr>
        <w:fldChar w:fldCharType="separate"/>
      </w:r>
      <w:r w:rsidR="00790F77">
        <w:rPr>
          <w:rFonts w:ascii="Times New Roman" w:hAnsi="Times New Roman" w:cs="Times New Roman"/>
          <w:noProof/>
          <w:sz w:val="24"/>
          <w:szCs w:val="24"/>
        </w:rPr>
        <w:t>50</w:t>
      </w:r>
      <w:r w:rsidRPr="002E26D2">
        <w:rPr>
          <w:rFonts w:ascii="Times New Roman" w:hAnsi="Times New Roman" w:cs="Times New Roman"/>
          <w:sz w:val="24"/>
          <w:szCs w:val="24"/>
        </w:rPr>
        <w:fldChar w:fldCharType="end"/>
      </w:r>
      <w:bookmarkStart w:id="277" w:name="_Ref105754702"/>
      <w:bookmarkEnd w:id="276"/>
      <w:r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u w:val="single"/>
        </w:rPr>
        <w:t xml:space="preserve">: Statistical analysis of the </w:t>
      </w:r>
      <w:r w:rsidR="008F00E1" w:rsidRPr="002E26D2">
        <w:rPr>
          <w:rFonts w:ascii="Times New Roman" w:hAnsi="Times New Roman" w:cs="Times New Roman"/>
          <w:sz w:val="24"/>
          <w:szCs w:val="24"/>
          <w:u w:val="single"/>
        </w:rPr>
        <w:t>protein</w:t>
      </w:r>
      <w:r w:rsidR="008F00E1">
        <w:rPr>
          <w:rFonts w:ascii="Times New Roman" w:hAnsi="Times New Roman" w:cs="Times New Roman"/>
          <w:sz w:val="24"/>
          <w:szCs w:val="24"/>
          <w:u w:val="single"/>
        </w:rPr>
        <w:t>’s</w:t>
      </w:r>
      <w:r w:rsidR="006F3E10" w:rsidRPr="002E26D2">
        <w:rPr>
          <w:rFonts w:ascii="Times New Roman" w:hAnsi="Times New Roman" w:cs="Times New Roman"/>
          <w:sz w:val="24"/>
          <w:szCs w:val="24"/>
          <w:u w:val="single"/>
        </w:rPr>
        <w:t xml:space="preserve"> abundance </w:t>
      </w:r>
      <w:r w:rsidR="006F3E10">
        <w:rPr>
          <w:rFonts w:ascii="Times New Roman" w:hAnsi="Times New Roman" w:cs="Times New Roman"/>
          <w:sz w:val="24"/>
          <w:szCs w:val="24"/>
          <w:u w:val="single"/>
        </w:rPr>
        <w:t xml:space="preserve">of </w:t>
      </w:r>
      <w:r w:rsidR="000B3AF7" w:rsidRPr="002E26D2">
        <w:rPr>
          <w:rFonts w:ascii="Times New Roman" w:hAnsi="Times New Roman" w:cs="Times New Roman"/>
          <w:sz w:val="24"/>
          <w:szCs w:val="24"/>
          <w:u w:val="single"/>
        </w:rPr>
        <w:t>respiratory complexes</w:t>
      </w:r>
      <w:r w:rsidR="000B3AF7" w:rsidRPr="002E26D2">
        <w:rPr>
          <w:rFonts w:ascii="Times New Roman" w:hAnsi="Times New Roman" w:cs="Times New Roman"/>
          <w:sz w:val="24"/>
          <w:szCs w:val="24"/>
        </w:rPr>
        <w:t xml:space="preserve">. Experiment described in </w:t>
      </w:r>
      <w:r w:rsidR="00534B64" w:rsidRPr="002E26D2">
        <w:rPr>
          <w:rFonts w:ascii="Times New Roman" w:hAnsi="Times New Roman" w:cs="Times New Roman"/>
          <w:sz w:val="24"/>
          <w:szCs w:val="24"/>
        </w:rPr>
        <w:fldChar w:fldCharType="begin"/>
      </w:r>
      <w:r w:rsidR="00534B64" w:rsidRPr="002E26D2">
        <w:rPr>
          <w:rFonts w:ascii="Times New Roman" w:hAnsi="Times New Roman" w:cs="Times New Roman"/>
          <w:sz w:val="24"/>
          <w:szCs w:val="24"/>
        </w:rPr>
        <w:instrText xml:space="preserve"> REF _Ref106010006 \h </w:instrText>
      </w:r>
      <w:r w:rsidR="002E26D2" w:rsidRPr="002E26D2">
        <w:rPr>
          <w:rFonts w:ascii="Times New Roman" w:hAnsi="Times New Roman" w:cs="Times New Roman"/>
          <w:sz w:val="24"/>
          <w:szCs w:val="24"/>
        </w:rPr>
        <w:instrText xml:space="preserve"> \* MERGEFORMAT </w:instrText>
      </w:r>
      <w:r w:rsidR="00534B64" w:rsidRPr="002E26D2">
        <w:rPr>
          <w:rFonts w:ascii="Times New Roman" w:hAnsi="Times New Roman" w:cs="Times New Roman"/>
          <w:sz w:val="24"/>
          <w:szCs w:val="24"/>
        </w:rPr>
      </w:r>
      <w:r w:rsidR="00534B64" w:rsidRPr="002E26D2">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49</w:t>
      </w:r>
      <w:r w:rsidR="00534B64" w:rsidRPr="002E26D2">
        <w:rPr>
          <w:rFonts w:ascii="Times New Roman" w:hAnsi="Times New Roman" w:cs="Times New Roman"/>
          <w:sz w:val="24"/>
          <w:szCs w:val="24"/>
        </w:rPr>
        <w:fldChar w:fldCharType="end"/>
      </w:r>
      <w:r w:rsidR="00534B64" w:rsidRPr="002E26D2">
        <w:rPr>
          <w:rFonts w:ascii="Times New Roman" w:hAnsi="Times New Roman" w:cs="Times New Roman"/>
          <w:sz w:val="24"/>
          <w:szCs w:val="24"/>
        </w:rPr>
        <w:t xml:space="preserve"> </w:t>
      </w:r>
      <w:r w:rsidR="000B3AF7" w:rsidRPr="002E26D2">
        <w:rPr>
          <w:rFonts w:ascii="Times New Roman" w:hAnsi="Times New Roman" w:cs="Times New Roman"/>
          <w:sz w:val="24"/>
          <w:szCs w:val="24"/>
        </w:rPr>
        <w:t xml:space="preserve">was realized in triplicate (n=3). Band intensity values were extracted by densitometry, normalized to naphthol blue staining, and displayed as a ratio relative to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siCtrl or </w:t>
      </w:r>
      <w:r w:rsidR="000B3AF7" w:rsidRPr="002E26D2">
        <w:rPr>
          <w:rFonts w:ascii="Times New Roman" w:hAnsi="Times New Roman" w:cs="Times New Roman"/>
          <w:b/>
          <w:sz w:val="24"/>
          <w:szCs w:val="24"/>
        </w:rPr>
        <w:t>b</w:t>
      </w:r>
      <w:r w:rsidR="000B3AF7" w:rsidRPr="002E26D2">
        <w:rPr>
          <w:rFonts w:ascii="Times New Roman" w:hAnsi="Times New Roman" w:cs="Times New Roman"/>
          <w:sz w:val="24"/>
          <w:szCs w:val="24"/>
        </w:rPr>
        <w:t xml:space="preserve"> Ctrl. Statistical analysis was performed using </w:t>
      </w:r>
      <w:r w:rsidR="000B3AF7" w:rsidRPr="002E26D2">
        <w:rPr>
          <w:rFonts w:ascii="Times New Roman" w:hAnsi="Times New Roman" w:cs="Times New Roman"/>
          <w:b/>
          <w:sz w:val="24"/>
          <w:szCs w:val="24"/>
        </w:rPr>
        <w:t>a</w:t>
      </w:r>
      <w:r w:rsidR="000B3AF7" w:rsidRPr="002E26D2">
        <w:rPr>
          <w:rFonts w:ascii="Times New Roman" w:hAnsi="Times New Roman" w:cs="Times New Roman"/>
          <w:sz w:val="24"/>
          <w:szCs w:val="24"/>
        </w:rPr>
        <w:t xml:space="preserve"> Student’s test or </w:t>
      </w:r>
      <w:r w:rsidR="000B3AF7" w:rsidRPr="002E26D2">
        <w:rPr>
          <w:rFonts w:ascii="Times New Roman" w:hAnsi="Times New Roman" w:cs="Times New Roman"/>
          <w:b/>
          <w:sz w:val="24"/>
          <w:szCs w:val="24"/>
        </w:rPr>
        <w:t>b</w:t>
      </w:r>
      <w:r w:rsidR="000B3AF7" w:rsidRPr="002E26D2">
        <w:rPr>
          <w:rFonts w:ascii="Times New Roman" w:hAnsi="Times New Roman" w:cs="Times New Roman"/>
          <w:sz w:val="24"/>
          <w:szCs w:val="24"/>
        </w:rPr>
        <w:t xml:space="preserve"> one-way ANOVA. All data are given as mean </w:t>
      </w:r>
      <w:r w:rsidR="000B3AF7" w:rsidRPr="002E26D2">
        <w:rPr>
          <w:rFonts w:ascii="Symbol" w:eastAsia="Symbol" w:hAnsi="Symbol" w:cs="Symbol"/>
          <w:sz w:val="24"/>
          <w:szCs w:val="24"/>
        </w:rPr>
        <w:t></w:t>
      </w:r>
      <w:r w:rsidR="000B3AF7" w:rsidRPr="002E26D2">
        <w:rPr>
          <w:rFonts w:ascii="Times New Roman" w:hAnsi="Times New Roman" w:cs="Times New Roman"/>
          <w:sz w:val="24"/>
          <w:szCs w:val="24"/>
        </w:rPr>
        <w:t xml:space="preserve"> SD. Significances are given as ** p&lt; 0.01; *** p&lt; 0.001.</w:t>
      </w:r>
      <w:bookmarkEnd w:id="277"/>
      <w:r w:rsidR="008F00E1">
        <w:rPr>
          <w:rFonts w:ascii="Times New Roman" w:hAnsi="Times New Roman" w:cs="Times New Roman"/>
          <w:sz w:val="24"/>
          <w:szCs w:val="24"/>
        </w:rPr>
        <w:br w:type="page"/>
      </w:r>
    </w:p>
    <w:p w14:paraId="20D6DACD" w14:textId="7EBCC411" w:rsidR="001E1872" w:rsidRDefault="00314B90" w:rsidP="004927BB">
      <w:pPr>
        <w:pStyle w:val="Heading1"/>
        <w:spacing w:line="360" w:lineRule="auto"/>
        <w:rPr>
          <w:rFonts w:cs="Times New Roman"/>
          <w:szCs w:val="32"/>
        </w:rPr>
      </w:pPr>
      <w:bookmarkStart w:id="278" w:name="_Toc117153905"/>
      <w:r w:rsidRPr="005953EB">
        <w:rPr>
          <w:rFonts w:cs="Times New Roman"/>
          <w:szCs w:val="32"/>
        </w:rPr>
        <w:lastRenderedPageBreak/>
        <w:t>DISCUSSION</w:t>
      </w:r>
      <w:bookmarkEnd w:id="278"/>
    </w:p>
    <w:p w14:paraId="2D53F36C" w14:textId="72C77B0F"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Human NME genes arose from duplication events of ancient genes that appeared early in the course of evolution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perspective","type":"article-journal","volume":"9"},"uris":["http://www.mendeley.com/documents/?uuid=2897fc36-6f9c-4d15-8a18-dad9a2344296"]},{"id":"ITEM-2","itemData":{"DOI":"10.3390/md18010013","ISSN":"1660-3397","abstract":"The Nme gene/protein family of nucleoside diphosphate kinases (NDPK) was originally named after its member Nm23-H1/Nme1, the first identified metastasis suppressor. Human Nme proteins are divided in two groups. They all possess nucleoside diphosphate kinase domain (NDK). Group I (Nme1-Nme4) display a single type NDK domain, whereas Group II (Nme5-Nme9) display a single or several different NDK domains, associated or not associated with extra-domains. Data strongly suggest that, unlike Group I, none of the members of Group II display measurable NDPK activity, although some of them autophosphorylate. The multimeric form is required for the NDPK activity. Group I proteins are known to multimerize, while there are no data on the multimerization of Group II proteins. The Group II ancestral type protein was shown to be conserved in several species from three eukaryotic supergroups. Here, we analysed the Nme protein from an early branching eukaryotic lineage, the red alga Chondrus crispus. We show that the ancestral type protein, unlike its human homologue, was fully functional multimeric NDPK with high affinity to various types of DNA and dispersed localization throughout the eukaryotic cell. Its overexpression inhibits both cell proliferation and the anchorage-independent growth of cells in soft agar but fails to deregulate cell apoptosis. We conclude that the ancestral gene has changed during eukaryotic evolution, possibly in correlation with the protein function.","author":[{"dropping-particle":"","family":"Perina","given":"Dragutin","non-dropping-particle":"","parse-names":false,"suffix":""},{"dropping-particle":"","family":"Korolija","given":"Marina","non-dropping-particle":"","parse-names":false,"suffix":""},{"dropping-particle":"","family":"Mikoč","given":"Andreja","non-dropping-particle":"","parse-names":false,"suffix":""},{"dropping-particle":"","family":"Halasz","given":"Mirna","non-dropping-particle":"","parse-names":false,"suffix":""},{"dropping-particle":"","family":"Herak Bosnar","given":"Maja","non-dropping-particle":"","parse-names":false,"suffix":""},{"dropping-particle":"","family":"Ćetković","given":"Helena","non-dropping-particle":"","parse-names":false,"suffix":""}],"container-title":"Marine Drugs","id":"ITEM-2","issue":"1","issued":{"date-parts":[["2019","12","21"]]},"page":"13","title":"Characterization of Nme5-Like Gene/Protein from the Red Alga Chondrus Crispus","type":"article-journal","volume":"18"},"uris":["http://www.mendeley.com/documents/?uuid=7b500f48-b6db-4602-a1db-3b63f785e08d"]}],"mendeley":{"formattedCitation":"[1,136]","plainTextFormattedCitation":"[1,136]","previouslyFormattedCitation":"[1,136]"},"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[1,136]</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In human cells, different members of the NME family are localized to different cellular compartments (cytosol, microtubules, nucleus, mitochondria)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{"citationItems":[{"id":"ITEM-1","itemData":{"DOI":"10.3390/ijms21072363","ISSN":"1422-0067","PMID":"32235358","abstract":"Nucleoside diphosphate kinases (NDPK/NME/Nm23) are enzymes composed of subunits NME1/NDPK A and NME2/NDPK B, responsible for the maintenance of the cellular (d)NTP pool and involved in other cellular processes, such as metastasis suppression and DNA damage repair. Although eukaryotic NDPKs are active only as hexamers, it is unclear whether other NME functions require the hexameric form, and how the isoenzyme composition varies in different cellular compartments. To examine the effect of DNA damage on intracellular localization of NME1 and NME2 and the composition of NME oligomers in the nucleus and the cytoplasm, we used live-cell imaging and the FRET/FLIM technique. We showed that exogenous NME1 and NME2 proteins co-localize in the cytoplasm of non-irradiated cells, and move simultaneously to the nucleus after gamma irradiation. The FRET/FLIM experiments imply that, after DNA damage, there is a slight shift in the homomer/heteromer balance between the nucleus and the cytoplasm. Collectively, our results indicate that, after irradiation, NME1 and NME2 engage in mutual functions in the nucleus, possibly performing specific functions in their homomeric states. Finally, we demonstrated that fluorophores fused to the N-termini of NME polypeptides produce the largest FRET effect and thus recommend this orientation for use in similar studies.","author":[{"dropping-particle":"","family":"Radić","given":"Martina","non-dropping-particle":"","parse-names":false,"suffix":""},{"dropping-particle":"","family":"Šoštar","given":"Marko","non-dropping-particle":"","parse-names":false,"suffix":""},{"dropping-particle":"","family":"Weber","given":"Igor","non-dropping-particle":"","parse-names":false,"suffix":""},{"dropping-particle":"","family":"Ćetković","given":"Helena","non-dropping-particle":"","parse-names":false,"suffix":""},{"dropping-particle":"","family":"Slade","given":"Neda","non-dropping-particle":"","parse-names":false,"suffix":""},{"dropping-particle":"","family":"Herak Bosnar","given":"Maja","non-dropping-particle":"","parse-names":false,"suffix":""}],"container-title":"International Journal of Molecular Sciences","id":"ITEM-1","issue":"7","issued":{"date-parts":[["2020","3","29"]]},"page":"2363","title":"The Subcellular Localization and Oligomerization Preferences of NME1/NME2 upon Radiation-Induced DNA Damage","type":"article-journal","volume":"21"},"uris":["http://www.mendeley.com/documents/?uuid=bdb8e9f0-0e21-4c12-8310-15d92e78d0e2"]},{"id":"ITEM-2","itemData":{"DOI":"10.1073/pnas.1818629116","ISSN":"0027-8424","PMID":"30587587","abstract":"It is known that nutrient starvation stimulates mitochondrial fusion for cell survival. In this study, a homozygous mutation in the NME3 gene, which encodes an NDP kinase, was identified in a fatal neurodegenerative disorder. Cells derived from the patient were deficient of NME3 and intolerant to glucose starvation. Patient cells were used to demonstrate that NME3 rescued cell survival by two separate functions, namely stimulation of mitochondrial fusion and NDP kinase activity. Since mitochondrial dynamics and energy efficiency are important for neuronal development, our data suggest a link between two functions of NME3 and a fatal neuronal disorder.","author":[{"dropping-particle":"","family":"Chen","given":"Chih-Wei","non-dropping-particle":"","parse-names":false,"suffix":""},{"dropping-particle":"","family":"Wang","given":"Hong-Ling","non-dropping-particle":"","parse-names":false,"suffix":""},{"dropping-particle":"","family":"Huang","given":"Ching-Wen","non-dropping-particle":"","parse-names":false,"suffix":""},{"dropping-particle":"","family":"Huang","given":"Chang-Yu","non-dropping-particle":"","parse-names":false,"suffix":""},{"dropping-particle":"","family":"Lim","given":"Wai Keong","non-dropping-particle":"","parse-names":false,"suffix":""},{"dropping-particle":"","family":"Tu","given":"I-Chen","non-dropping-particle":"","parse-names":false,"suffix":""},{"dropping-particle":"","family":"Koorapati","given":"Atmaja","non-dropping-particle":"","parse-names":false,"suffix":""},{"dropping-particle":"","family":"Hsieh","given":"Sung-Tsang","non-dropping-particle":"","parse-names":false,"suffix":""},{"dropping-particle":"","family":"Kan","given":"Hung-Wei","non-dropping-particle":"","parse-names":false,"suffix":""},{"dropping-particle":"","family":"Tzeng","given":"Shiou-Ru","non-dropping-particle":"","parse-names":false,"suffix":""},{"dropping-particle":"","family":"Liao","given":"Jung-Chi","non-dropping-particle":"","parse-names":false,"suffix":""},{"dropping-particle":"","family":"Chong","given":"Weng Man","non-dropping-particle":"","parse-names":false,"suffix":""},{"dropping-particle":"","family":"Naroditzky","given":"Inna","non-dropping-particle":"","parse-names":false,"suffix":""},{"dropping-particle":"","family":"Kidron","given":"Dvora","non-dropping-particle":"","parse-names":false,"suffix":""},{"dropping-particle":"","family":"Eran","given":"Ayelet","non-dropping-particle":"","parse-names":false,"suffix":""},{"dropping-particle":"","family":"Nijim","given":"Yousif","non-dropping-particle":"","parse-names":false,"suffix":""},{"dropping-particle":"","family":"Sela","given":"Ella","non-dropping-particle":"","parse-names":false,"suffix":""},{"dropping-particle":"","family":"Feldman","given":"Hagit Baris","non-dropping-particle":"","parse-names":false,"suffix":""},{"dropping-particle":"","family":"Kalfon","given":"Limor","non-dropping-particle":"","parse-names":false,"suffix":""},{"dropping-particle":"","family":"Raveh-Barak","given":"Hadas","non-dropping-particle":"","parse-names":false,"suffix":""},{"dropping-particle":"","family":"Falik-Zaccai","given":"Tzipora C.","non-dropping-particle":"","parse-names":false,"suffix":""},{"dropping-particle":"","family":"Elpeleg","given":"Orly","non-dropping-particle":"","parse-names":false,"suffix":""},{"dropping-particle":"","family":"Mandel","given":"Hanna","non-dropping-particle":"","parse-names":false,"suffix":""},{"dropping-particle":"","family":"Chang","given":"Zee-Fen","non-dropping-particle":"","parse-names":false,"suffix":""}],"container-title":"Proceedings of the National Academy of Sciences","id":"ITEM-2","issue":"2","issued":{"date-parts":[["2019","1","8"]]},"page":"566-574","title":"Two separate functions of NME3 critical for cell survival underlie a neurodegenerative disorder","type":"article-journal","volume":"116"},"uris":["http://www.mendeley.com/documents/?uuid=96217a27-cb1d-431e-bd06-6222fbaba292"]},{"id":"ITEM-3","itemData":{"DOI":"10.3390/ijms21145048","ISSN":"1422-0067","PMID":"32708927","abstract":"NME3 is a member of the nucleoside diphosphate kinase (NDPK) family that binds to the mitochondrial outer membrane to stimulate mitochondrial fusion. In this study, we showed that NME3 knockdown delayed DNA repair without reducing the cellular levels of nucleotide triphosphates. Further analyses revealed that NME3 knockdown increased fragmentation of mitochondria, which in turn led to mitochondrial oxidative stress-mediated DNA single-strand breaks (SSBs) in nuclear DNA. Re-expression of wild-type NME3 or inhibition of mitochondrial fission markedly reduced SSBs and facilitated DNA repair in NME3 knockdown cells, while expression of N-terminal deleted mutant defective in mitochondrial binding had no rescue effect. We further showed that disruption of mitochondrial fusion by knockdown of NME4 or MFN1 also caused mitochondrial oxidative stress-mediated genome instability. In conclusion, the contribution of NME3 to redox-regulated genome stability lies in its function in mitochondrial fusion.","author":[{"dropping-particle":"","family":"Chen","given":"Chih-Wei","non-dropping-particle":"","parse-names":false,"suffix":""},{"dropping-particle":"","family":"Tsao","given":"Ning","non-dropping-particle":"","parse-names":false,"suffix":""},{"dropping-particle":"","family":"Zhang","given":"Wei","non-dropping-particle":"","parse-names":false,"suffix":""},{"dropping-particle":"","family":"Chang","given":"Zee-Fen","non-dropping-particle":"","parse-names":false,"suffix":""}],"container-title":"International Journal of Molecular Sciences","id":"ITEM-3","issue":"14","issued":{"date-parts":[["2020","7","17"]]},"page":"5048","title":"NME3 Regulates Mitochondria to Reduce ROS-Mediated Genome Instability","type":"article-journal","volume":"21"},"uris":["http://www.mendeley.com/documents/?uuid=a9465582-edef-472f-9670-6e19573fb8b8"]},{"id":"ITEM-4","itemData":{"DOI":"10.1074/jbc.275.19.14264","ISSN":"00219258","abstract":"We demonstrate here the catalytic activity and subcellular localization of the Nm23-H4 protein, product of nm23-H4, a new member of the human nm23/nucleoside diphosphate (NDP) kinase gene family (Milon, L., Rousseau- Merck, M., Munier, A., Erent, M., Lascu, I., Capeau, J., and Lacombe, M. L. (1997) Hum. Genet. 99, 550-557). Nm3-H4 was synthesized in escherichia coli as the full-length protein and as a truncated form missing the N-terminal extension characteristic of mitochondrial targeting. The truncated form possesses NDP kinase activity, whereas the full-length protein is inactive, suggesting that the extension prevents enzyme folding and/or activity. X-ray crystallographic analysis was performed on active truncated Nm23-H4. Like other eukaryotic NDP kinases, it is a hexamer. Nm23-H4 naturally possesses a serine residue at position 129, equivalent to the K-pn mutation of the Drosophila NDP kinase. The x-ray structure shows that the presence of Ser129 has local structural effects that weaken subunit interactions. Site-directed mutagenesis shows that the serine is responsible for the lability of Nm23-H4 to heat and urea treatment, because the S129P mutant is greatly stabilized. Examination of human embryonic kidney 293 cells transfected with green fluorescent protein fusions by confocal microscopy shows a specific mitochondrial localization of Nm23-H4 that was also demonstrated by Western blot analysis of subcellular fractions of these cells. Import into mitochondria is accompanied by cleavage of the N-terminal extension that results in NDP Kinase activity. Submitochondrial fractionation indicates that Nm23-H4 is associated with mitochondrial membranes, possibly to the contact sites between the outer and inner membranes.","author":[{"dropping-particle":"","family":"Milon","given":"Laurence","non-dropping-particle":"","parse-names":false,"suffix":""},{"dropping-particle":"","family":"Meyer","given":"Philippe","non-dropping-particle":"","parse-names":false,"suffix":""},{"dropping-particle":"","family":"Chiadmi","given":"Mohamed","non-dropping-particle":"","parse-names":false,"suffix":""},{"dropping-particle":"","family":"Munier","given":"Annie","non-dropping-particle":"","parse-names":false,"suffix":""},{"dropping-particle":"","family":"Johansson","given":"Magnus","non-dropping-particle":"","parse-names":false,"suffix":""},{"dropping-particle":"","family":"Karlsson","given":"Anna","non-dropping-particle":"","parse-names":false,"suffix":""},{"dropping-particle":"","family":"Lascu","given":"Ioan","non-dropping-particle":"","parse-names":false,"suffix":""},{"dropping-particle":"","family":"Capeau","given":"Jacqueline","non-dropping-particle":"","parse-names":false,"suffix":""},{"dropping-particle":"","family":"Janin","given":"Joël","non-dropping-particle":"","parse-names":false,"suffix":""},{"dropping-particle":"","family":"Lacombe","given":"Marie-Lise","non-dropping-particle":"","parse-names":false,"suffix":""}],"container-title":"Journal of Biological Chemistry","id":"ITEM-4","issue":"19","issued":{"date-parts":[["2000","5","12"]]},"page":"14264-14272","title":"The Human nm23-H4 Gene Product Is a Mitochondrial Nucleoside Diphosphate Kinase","type":"article-journal","volume":"275"},"uris":["http://www.mendeley.com/documents/?uuid=4c866130-1618-43ab-9089-281265f3388a"]},{"id":"ITEM-5","itemData":{"DOI":"10.1016/j.cell.2021.10.007","ISSN":"00928674","PMID":"34715025","abstract":"Dynein-decorated doublet microtubules (DMTs) are critical components of the oscillatory molecular machine of cilia, the axoneme, and have luminal surfaces patterned periodically by microtubule inner proteins (MIPs). Here we present an atomic model of the 48-nm repeat of a mammalian DMT, derived from a cryoelectron microscopy (cryo-EM) map of the complex isolated from bovine respiratory cilia. The structure uncovers principles of doublet microtubule organization and features specific to vertebrate cilia, including previously unknown MIPs, a luminal bundle of tektin filaments, and a pentameric dynein-docking complex. We identify a mechanism for bridging 48- to 24-nm periodicity across the microtubule wall and show that loss of the proteins involved causes defective ciliary motility and laterality abnormalities in zebrafish and mice. Our structure identifies candidate genes for diagnosis of ciliopathies and provides a framework to understand their functions in driving ciliary motility.","author":[{"dropping-particle":"","family":"Gui","given":"Miao","non-dropping-particle":"","parse-names":false,"suffix":""},{"dropping-particle":"","family":"Farley","given":"Hannah","non-dropping-particle":"","parse-names":false,"suffix":""},{"dropping-particle":"","family":"Anujan","given":"Priyanka","non-dropping-particle":"","parse-names":false,"suffix":""},{"dropping-particle":"","family":"Anderson","given":"Jacob R.","non-dropping-particle":"","parse-names":false,"suffix":""},{"dropping-particle":"","family":"Maxwell","given":"Dale W.","non-dropping-particle":"","parse-names":false,"suffix":""},{"dropping-particle":"","family":"Whitchurch","given":"Jonathan B.","non-dropping-particle":"","parse-names":false,"suffix":""},{"dropping-particle":"","family":"Botsch","given":"J. Josephine","non-dropping-particle":"","parse-names":false,"suffix":""},{"dropping-particle":"","family":"Qiu","given":"Tao","non-dropping-particle":"","parse-names":false,"suffix":""},{"dropping-particle":"","family":"Meleppattu","given":"Shimi","non-dropping-particle":"","parse-names":false,"suffix":""},{"dropping-particle":"","family":"Singh","given":"Sandeep K.","non-dropping-particle":"","parse-names":false,"suffix":""},{"dropping-particle":"","family":"Zhang","given":"Qi","non-dropping-particle":"","parse-names":false,"suffix":""},{"dropping-particle":"","family":"Thompson","given":"James","non-dropping-particle":"","parse-names":false,"suffix":""},{"dropping-particle":"","family":"Lucas","given":"Jane S.","non-dropping-particle":"","parse-names":false,"suffix":""},{"dropping-particle":"","family":"Bingle","given":"Colin D.","non-dropping-particle":"","parse-names":false,"suffix":""},{"dropping-particle":"","family":"Norris","given":"Dominic P.","non-dropping-particle":"","parse-names":false,"suffix":""},{"dropping-particle":"","family":"Roy","given":"Sudipto","non-dropping-particle":"","parse-names":false,"suffix":""},{"dropping-particle":"","family":"Brown","given":"Alan","non-dropping-particle":"","parse-names":false,"suffix":""}],"container-title":"Cell","id":"ITEM-5","issue":"23","issued":{"date-parts":[["2021","11","11"]]},"page":"5791-5806","publisher":"Cell Press","title":"De novo identification of mammalian ciliary motility proteins using cryo-EM","type":"article-journal","volume":"184"},"uris":["http://www.mendeley.com/documents/?uuid=fcc8718b-81d2-3cb8-b787-527aea6436ec"]}],"mendeley":{"formattedCitation":"[17,19–22]","plainTextFormattedCitation":"[17,19–22]","previouslyFormattedCitation":"[17,19–22]"},"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[17,19–22]</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There, the proteins displaying NDPK activity can locally supply or fuel GTP to GTPases </w:t>
      </w:r>
      <w:r w:rsidRPr="003B2CF6">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{"citationItems":[{"id":"ITEM-1","itemData":{"DOI":"10.1074/jbc.M112.408633","ISSN":"00219258","abstract":"The nucleoside diphosphate kinase Nm23-H4/NDPK-D forms symmetrical hexameric complexes in the mitochondrial intermembrane space with phosphotransfer activity using mitochondrial ATP to regenerate nucleoside triphosphates. We demonstrate the complex formation between Nm23-H4 and mitochondrial GTPase OPA1 in rat liver, suggesting its involvement in local and direct GTP delivery. Similar to OPA1, Nm23-H4 is further known to strongly bind in vitro to anionic phospholipids, mainly cardiolipin, and in vivo to the inner mitochondrial membrane. We show here that such protein-lipid complexes inhibit nucleoside diphosphate kinase activity but are necessary for another function of Nm23-H4, selective intermembrane lipid transfer. Mitochondrial lipid distribution was analyzed by liquid chromatography-mass spectrometry using HeLa cells expressing either wild-type Nm23-H4 or a membrane binding-deficient mutant at a site predicted based on molecular modeling to be crucial for cardiolipin binding and transfer mechanism. We found that wild type, but not the mutant enzyme, selectively increased the content of cardiolipin in the outer mitochondrial membrane, but the distribution of other more abundant phospholipids ( e.g. phosphatidylcholine) remained unchanged. HeLa cells expressing the wild-type enzyme showed increased accumulation of Bax in mitochondria and were sensitized to rotenone-induced apoptosis as revealed by stimulated release of cytochrome c into the cytosol, elevated caspase 3/7 activity, and increased annexin V binding. Based on these data and molecular modeling, we propose that Nm23-H4 acts as a lipid-dependent mitochondrial switch with dual function in phosphotransfer serving local GTP supply and cardiolipin transfer for apoptotic signaling and putative other functions. © 2013 by The American Society for Biochemistry and Molecular Biology, Inc.","author":[{"dropping-particle":"","family":"Schlattner","given":"Uwe","non-dropping-particle":"","parse-names":false,"suffix":""},{"dropping-particle":"","family":"Tokarska-Schlattner","given":"Malgorzata","non-dropping-particle":"","parse-names":false,"suffix":""},{"dropping-particle":"","family":"Ramirez","given":"Sacnicte","non-dropping-particle":"","parse-names":false,"suffix":""},{"dropping-particle":"","family":"Tyurina","given":"Yulia Y.","non-dropping-particle":"","parse-names":false,"suffix":""},{"dropping-particle":"","family":"Amoscato","given":"Andrew A.","non-dropping-particle":"","parse-names":false,"suffix":""},{"dropping-particle":"","family":"Mohammadyani","given":"Dariush","non-dropping-particle":"","parse-names":false,"suffix":""},{"dropping-particle":"","family":"Huang","given":"Zhentai","non-dropping-particle":"","parse-names":false,"suffix":""},{"dropping-particle":"","family":"Jiang","given":"Jianfei","non-dropping-particle":"","parse-names":false,"suffix":""},{"dropping-particle":"","family":"Yanamala","given":"Naveena","non-dropping-particle":"","parse-names":false,"suffix":""},{"dropping-particle":"","family":"Seffouh","given":"Amal","non-dropping-particle":"","parse-names":false,"suffix":""},{"dropping-particle":"","family":"Boissan","given":"Mathieu","non-dropping-particle":"","parse-names":false,"suffix":""},{"dropping-particle":"","family":"Epand","given":"Raquel F.","non-dropping-particle":"","parse-names":false,"suffix":""},{"dropping-particle":"","family":"Epand","given":"Richard M.","non-dropping-particle":"","parse-names":false,"suffix":""},{"dropping-particle":"","family":"Klein-Seetharaman","given":"Judith","non-dropping-particle":"","parse-names":false,"suffix":""},{"dropping-particle":"","family":"Lacombe","given":"Marie-Lise","non-dropping-particle":"","parse-names":false,"suffix":""},{"dropping-particle":"","family":"Kagan","given":"Valerian E.","non-dropping-particle":"","parse-names":false,"suffix":""}],"container-title":"Journal of Biological Chemistry","id":"ITEM-1","issue":"1","issued":{"date-parts":[["2013","1","4"]]},"page":"111-121","title":"Dual Function of Mitochondrial Nm23-H4 Protein in Phosphotransfer and Intermembrane Lipid Transfer","type":"article-journal","volume":"288"},"uris":["http://www.mendeley.com/documents/?uuid=c3b9aa8c-b39b-4b3c-ae5b-690550195785"]},{"id":"ITEM-2","itemData":{"DOI":"10.1038/labinvest.2017.103","ISSN":"0023-6837","PMID":"29035382","abstract":"Heterotrimeric G proteins are pivotal mediators of cellular signal transduction in eukaryotic cells and abnormal G-protein signaling plays an important role in numerous diseases. During the last two decades it has become evident that the activation status of heterotrimeric G proteins is both highly localized and strongly regulated by a number of factors, including a receptor-independent activation pathway of heterotrimeric G proteins that does not involve the classical GDP/GTP exchange and relies on nucleoside diphosphate kinases (NDPKs). NDPKs are NTP/NDP transphosphorylases encoded by the nme/nm23 genes that are involved in a variety of cellular events such as proliferation, migration, and apoptosis. They therefore contribute, for example, to tumor metastasis, angiogenesis, retinopathy, and heart failure. Interestingly, NDPKs are translocated and/or upregulated in human heart failure. Here we describe recent advances in the current understanding of NDPK functions and how they have an impact on local regulation of G-protein signaling.","author":[{"dropping-particle":"","family":"Abu-Taha","given":"Issam H.","non-dropping-particle":"","parse-names":false,"suffix":""},{"dropping-particle":"","family":"Heijman","given":"Jordi","non-dropping-particle":"","parse-names":false,"suffix":""},{"dropping-particle":"","family":"Feng","given":"Yuxi","non-dropping-particle":"","parse-names":false,"suffix":""},{"dropping-particle":"","family":"Vettel","given":"Christiane","non-dropping-particle":"","parse-names":false,"suffix":""},{"dropping-particle":"","family":"Dobrev","given":"Dobromir","non-dropping-particle":"","parse-names":false,"suffix":""},{"dropping-particle":"","family":"Wieland","given":"Thomas","non-dropping-particle":"","parse-names":false,"suffix":""}],"container-title":"Laboratory Investigation","id":"ITEM-2","issue":"2","issued":{"date-parts":[["2018","2","16"]]},"page":"190-197","publisher":"Nature Publishing Group","title":"Regulation of heterotrimeric G-protein signaling by NDPK/NME proteins and caveolins: an update","type":"article-journal","volume":"98"},"uris":["http://www.mendeley.com/documents/?uuid=765f49c8-057f-3ae9-b628-1d832461da12"]},{"id":"ITEM-3","itemData":{"DOI":"10.1126/science.1253768","ISSN":"0036-8075","PMID":"24970086","abstract":"Cell membranes are very flexible and easily molded to shape; however, to physically pinch off a membrane vesicle from a membrane tube still requires power. A type of molecular machine known as dynamin is involved in this sort of membrane remodeling. Dynamins use guanosine triphosphate (GTP) rather than the more commonly used cellular energy source adenosine triphosphate to work. Boissan et al. now show that two separate dynamins found in the cytoplasm or the mitochondria both use the same sort of enzyme—nucleoside diphosphate kinases—to provide GTP at just the right time and the right place to power membrane fission.","author":[{"dropping-particle":"","family":"Boissan","given":"Mathieu","non-dropping-particle":"","parse-names":false,"suffix":""},{"dropping-particle":"","family":"Montagnac","given":"Guillaume","non-dropping-particle":"","parse-names":false,"suffix":""},{"dropping-particle":"","family":"Shen","given":"Qinfang","non-dropping-particle":"","parse-names":false,"suffix":""},{"dropping-particle":"","family":"Griparic","given":"Lorena","non-dropping-particle":"","parse-names":false,"suffix":""},{"dropping-particle":"","family":"Guitton","given":"Jérôme","non-dropping-particle":"","parse-names":false,"suffix":""},{"dropping-particle":"","family":"Romao","given":"Maryse","non-dropping-particle":"","parse-names":false,"suffix":""},{"dropping-particle":"","family":"Sauvonnet","given":"Nathalie","non-dropping-particle":"","parse-names":false,"suffix":""},{"dropping-particle":"","family":"Lagache","given":"Thibault","non-dropping-particle":"","parse-names":false,"suffix":""},{"dropping-particle":"","family":"Lascu","given":"Ioan","non-dropping-particle":"","parse-names":false,"suffix":""},{"dropping-particle":"","family":"Raposo","given":"Graça","non-dropping-particle":"","parse-names":false,"suffix":""},{"dropping-particle":"","family":"Desbourdes","given":"Céline","non-dropping-particle":"","parse-names":false,"suffix":""},{"dropping-particle":"","family":"Schlattner","given":"Uwe","non-dropping-particle":"","parse-names":false,"suffix":""},{"dropping-particle":"","family":"Lacombe","given":"Marie-Lise","non-dropping-particle":"","parse-names":false,"suffix":""},{"dropping-particle":"","family":"Polo","given":"Simona","non-dropping-particle":"","parse-names":false,"suffix":""},{"dropping-particle":"","family":"Bliek","given":"Alexander M.","non-dropping-particle":"van der","parse-names":false,"suffix":""},{"dropping-particle":"","family":"Roux","given":"Aurélien","non-dropping-particle":"","parse-names":false,"suffix":""},{"dropping-particle":"","family":"Chavrier","given":"Philippe","non-dropping-particle":"","parse-names":false,"suffix":""}],"container-title":"Science","id":"ITEM-3","issue":"6191","issued":{"date-parts":[["2014","6","27"]]},"page":"1510-1515","title":"Nucleoside diphosphate kinases fuel dynamin superfamily proteins with GTP for membrane remodeling","type":"article-journal","volume":"344"},"uris":["http://www.mendeley.com/documents/?uuid=5df83e63-a512-48cd-8919-ba80ea9075cf"]}],"mendeley":{"formattedCitation":"[18,95,137]","plainTextFormattedCitation":"[18,95,137]","previouslyFormattedCitation":"[18,95,137]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[18,95,137]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but can also be involved in other biochemical mechanisms including protein histidine phosphorylation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{"citationItems":[{"id":"ITEM-1","itemData":{"DOI":"10.3390/ijms21165848","ISSN":"1422-0067","PMID":"32823988","abstract":"The NME (Non-metastatic) family members, also known as NDPKs (nucleoside diphosphate kinases), were originally identified and studied for their nucleoside diphosphate kinase activities. This family of kinases is extremely well conserved through evolution, being found in prokaryotes and eukaryotes, but also diverges enough to create a range of complexity, with homologous members having distinct functions in cells. In addition to nucleoside diphosphate kinase activity, some family members are reported to possess protein-histidine kinase activity, which, because of the lability of phosphohistidine, has been difficult to study due to the experimental challenges and lack of molecular tools. However, over the past few years, new methods to investigate this unstable modification and histidine kinase activity have been reported and scientific interest in this area is growing rapidly. This review presents a global overview of our current knowledge of the NME family and histidine phosphorylation, highlighting the underappreciated protein-histidine kinase activity of NME family members, specifically in human cells. In parallel, information about the structural and functional aspects of the NME family, and the knowns and unknowns of histidine kinase involvement in cell signaling are summarized.","author":[{"dropping-particle":"","family":"Adam","given":"Kevin","non-dropping-particle":"","parse-names":false,"suffix":""},{"dropping-particle":"","family":"Ning","given":"Jia","non-dropping-particle":"","parse-names":false,"suffix":""},{"dropping-particle":"","family":"Reina","given":"Jeffrey","non-dropping-particle":"","parse-names":false,"suffix":""},{"dropping-particle":"","family":"Hunter","given":"Tony","non-dropping-particle":"","parse-names":false,"suffix":""}],"container-title":"International Journal of Molecular Sciences","id":"ITEM-1","issue":"16","issued":{"date-parts":[["2020","8","14"]]},"page":"5848","title":"NME/NM23/NDPK and Histidine Phosphorylation","type":"article-journal","volume":"21"},"uris":["http://www.mendeley.com/documents/?uuid=0b01d0d4-5d47-41c3-b4b8-c3826542fb8a"]}],"mendeley":{"formattedCitation":"[14]","plainTextFormattedCitation":"[14]","previouslyFormattedCitation":"[14]"},"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[14]</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selective intermembrane lipid transfer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{"citationItems":[{"id":"ITEM-1","itemData":{"DOI":"10.1074/jbc.M112.408633","ISSN":"00219258","abstract":"The nucleoside diphosphate kinase Nm23-H4/NDPK-D forms symmetrical hexameric complexes in the mitochondrial intermembrane space with phosphotransfer activity using mitochondrial ATP to regenerate nucleoside triphosphates. We demonstrate the complex formation between Nm23-H4 and mitochondrial GTPase OPA1 in rat liver, suggesting its involvement in local and direct GTP delivery. Similar to OPA1, Nm23-H4 is further known to strongly bind in vitro to anionic phospholipids, mainly cardiolipin, and in vivo to the inner mitochondrial membrane. We show here that such protein-lipid complexes inhibit nucleoside diphosphate kinase activity but are necessary for another function of Nm23-H4, selective intermembrane lipid transfer. Mitochondrial lipid distribution was analyzed by liquid chromatography-mass spectrometry using HeLa cells expressing either wild-type Nm23-H4 or a membrane binding-deficient mutant at a site predicted based on molecular modeling to be crucial for cardiolipin binding and transfer mechanism. We found that wild type, but not the mutant enzyme, selectively increased the content of cardiolipin in the outer mitochondrial membrane, but the distribution of other more abundant phospholipids ( e.g. phosphatidylcholine) remained unchanged. HeLa cells expressing the wild-type enzyme showed increased accumulation of Bax in mitochondria and were sensitized to rotenone-induced apoptosis as revealed by stimulated release of cytochrome c into the cytosol, elevated caspase 3/7 activity, and increased annexin V binding. Based on these data and molecular modeling, we propose that Nm23-H4 acts as a lipid-dependent mitochondrial switch with dual function in phosphotransfer serving local GTP supply and cardiolipin transfer for apoptotic signaling and putative other functions. © 2013 by The American Society for Biochemistry and Molecular Biology, Inc.","author":[{"dropping-particle":"","family":"Schlattner","given":"Uwe","non-dropping-particle":"","parse-names":false,"suffix":""},{"dropping-particle":"","family":"Tokarska-Schlattner","given":"Malgorzata","non-dropping-particle":"","parse-names":false,"suffix":""},{"dropping-particle":"","family":"Ramirez","given":"Sacnicte","non-dropping-particle":"","parse-names":false,"suffix":""},{"dropping-particle":"","family":"Tyurina","given":"Yulia Y.","non-dropping-particle":"","parse-names":false,"suffix":""},{"dropping-particle":"","family":"Amoscato","given":"Andrew A.","non-dropping-particle":"","parse-names":false,"suffix":""},{"dropping-particle":"","family":"Mohammadyani","given":"Dariush","non-dropping-particle":"","parse-names":false,"suffix":""},{"dropping-particle":"","family":"Huang","given":"Zhentai","non-dropping-particle":"","parse-names":false,"suffix":""},{"dropping-particle":"","family":"Jiang","given":"Jianfei","non-dropping-particle":"","parse-names":false,"suffix":""},{"dropping-particle":"","family":"Yanamala","given":"Naveena","non-dropping-particle":"","parse-names":false,"suffix":""},{"dropping-particle":"","family":"Seffouh","given":"Amal","non-dropping-particle":"","parse-names":false,"suffix":""},{"dropping-particle":"","family":"Boissan","given":"Mathieu","non-dropping-particle":"","parse-names":false,"suffix":""},{"dropping-particle":"","family":"Epand","given":"Raquel F.","non-dropping-particle":"","parse-names":false,"suffix":""},{"dropping-particle":"","family":"Epand","given":"Richard M.","non-dropping-particle":"","parse-names":false,"suffix":""},{"dropping-particle":"","family":"Klein-Seetharaman","given":"Judith","non-dropping-particle":"","parse-names":false,"suffix":""},{"dropping-particle":"","family":"Lacombe","given":"Marie-Lise","non-dropping-particle":"","parse-names":false,"suffix":""},{"dropping-particle":"","family":"Kagan","given":"Valerian E.","non-dropping-particle":"","parse-names":false,"suffix":""}],"container-title":"Journal of Biological Chemistry","id":"ITEM-1","issue":"1","issued":{"date-parts":[["2013","1","4"]]},"page":"111-121","title":"Dual Function of Mitochondrial Nm23-H4 Protein in Phosphotransfer and Intermembrane Lipid Transfer","type":"article-journal","volume":"288"},"uris":["http://www.mendeley.com/documents/?uuid=c3b9aa8c-b39b-4b3c-ae5b-690550195785"]}],"mendeley":{"formattedCitation":"[95]","plainTextFormattedCitation":"[95]","previouslyFormattedCitation":"[95]"},"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[95]</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DNA damage repair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{"citationItems":[{"id":"ITEM-1","itemData":{"DOI":"10.3390/ijms21072363","ISSN":"1422-0067","PMID":"32235358","abstract":"Nucleoside diphosphate kinases (NDPK/NME/Nm23) are enzymes composed of subunits NME1/NDPK A and NME2/NDPK B, responsible for the maintenance of the cellular (d)NTP pool and involved in other cellular processes, such as metastasis suppression and DNA damage repair. Although eukaryotic NDPKs are active only as hexamers, it is unclear whether other NME functions require the hexameric form, and how the isoenzyme composition varies in different cellular compartments. To examine the effect of DNA damage on intracellular localization of NME1 and NME2 and the composition of NME oligomers in the nucleus and the cytoplasm, we used live-cell imaging and the FRET/FLIM technique. We showed that exogenous NME1 and NME2 proteins co-localize in the cytoplasm of non-irradiated cells, and move simultaneously to the nucleus after gamma irradiation. The FRET/FLIM experiments imply that, after DNA damage, there is a slight shift in the homomer/heteromer balance between the nucleus and the cytoplasm. Collectively, our results indicate that, after irradiation, NME1 and NME2 engage in mutual functions in the nucleus, possibly performing specific functions in their homomeric states. Finally, we demonstrated that fluorophores fused to the N-termini of NME polypeptides produce the largest FRET effect and thus recommend this orientation for use in similar studies.","author":[{"dropping-particle":"","family":"Radić","given":"Martina","non-dropping-particle":"","parse-names":false,"suffix":""},{"dropping-particle":"","family":"Šoštar","given":"Marko","non-dropping-particle":"","parse-names":false,"suffix":""},{"dropping-particle":"","family":"Weber","given":"Igor","non-dropping-particle":"","parse-names":false,"suffix":""},{"dropping-particle":"","family":"Ćetković","given":"Helena","non-dropping-particle":"","parse-names":false,"suffix":""},{"dropping-particle":"","family":"Slade","given":"Neda","non-dropping-particle":"","parse-names":false,"suffix":""},{"dropping-particle":"","family":"Herak Bosnar","given":"Maja","non-dropping-particle":"","parse-names":false,"suffix":""}],"container-title":"International Journal of Molecular Sciences","id":"ITEM-1","issue":"7","issued":{"date-parts":[["2020","3","29"]]},"page":"2363","title":"The Subcellular Localization and Oligomerization Preferences of NME1/NME2 upon Radiation-Induced DNA Damage","type":"article-journal","volume":"21"},"uris":["http://www.mendeley.com/documents/?uuid=bdb8e9f0-0e21-4c12-8310-15d92e78d0e2"]},{"id":"ITEM-2","itemData":{"DOI":"10.3390/ijms21145048","ISSN":"1422-0067","PMID":"32708927","abstract":"NME3 is a member of the nucleoside diphosphate kinase (NDPK) family that binds to the mitochondrial outer membrane to stimulate mitochondrial fusion. In this study, we showed that NME3 knockdown delayed DNA repair without reducing the cellular levels of nucleotide triphosphates. Further analyses revealed that NME3 knockdown increased fragmentation of mitochondria, which in turn led to mitochondrial oxidative stress-mediated DNA single-strand breaks (SSBs) in nuclear DNA. Re-expression of wild-type NME3 or inhibition of mitochondrial fission markedly reduced SSBs and facilitated DNA repair in NME3 knockdown cells, while expression of N-terminal deleted mutant defective in mitochondrial binding had no rescue effect. We further showed that disruption of mitochondrial fusion by knockdown of NME4 or MFN1 also caused mitochondrial oxidative stress-mediated genome instability. In conclusion, the contribution of NME3 to redox-regulated genome stability lies in its function in mitochondrial fusion.","author":[{"dropping-particle":"","family":"Chen","given":"Chih-Wei","non-dropping-particle":"","parse-names":false,"suffix":""},{"dropping-particle":"","family":"Tsao","given":"Ning","non-dropping-particle":"","parse-names":false,"suffix":""},{"dropping-particle":"","family":"Zhang","given":"Wei","non-dropping-particle":"","parse-names":false,"suffix":""},{"dropping-particle":"","family":"Chang","given":"Zee-Fen","non-dropping-particle":"","parse-names":false,"suffix":""}],"container-title":"International Journal of Molecular Sciences","id":"ITEM-2","issue":"14","issued":{"date-parts":[["2020","7","17"]]},"page":"5048","title":"NME3 Regulates Mitochondria to Reduce ROS-Mediated Genome Instability","type":"article-journal","volume":"21"},"uris":["http://www.mendeley.com/documents/?uuid=a9465582-edef-472f-9670-6e19573fb8b8"]}],"mendeley":{"formattedCitation":"[17,20]","plainTextFormattedCitation":"[17,20]","previouslyFormattedCitation":"[17,20]"},"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[17,20]</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While great scientific efforts have been done to describe human NME proteins from the Group I (NME1 to NME4), the Group II NME proteins remained largely unexplored. Accordingly, little is known about the human NME6 protein, for which the main available information dates from its discovery in 1999, and from an article studying the enzymatic activity of NDP kinases in 2005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cytokinesis","type":"article-journal","volume":"76"},"uris":["http://www.mendeley.com/documents/?uuid=df2c4c21-5d94-4732-9900-18fddab52f72"]},{"id":"ITEM-2","itemData":{"DOI":"10.1007/s004390050987","ISSN":"0340-6717","PMID":"10453732","abstract":"The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Genetics","id":"ITEM-2","issue":"6","issued":{"date-parts":[["1999","7","16"]]},"page":"454-459","title":"NME6: a new member of the nm23 /nucleoside diphosphate kinase gene family located on human chromosome 3p21.3","type":"article-journal","volume":"104"},"uris":["http://www.mendeley.com/documents/?uuid=1d07d158-8520-4451-a56d-a4c8f7d9a373"]},{"id":"ITEM-3","itemData":{"DOI":"10.1021/bi0515974","ISBN":"6176321972","ISSN":"0006-2960","PMID":"16313181","abstract":"Nucleoside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P.","non-dropping-particle":"","parse-names":false,"suffix":""}],"container-title":"Biochemistry","id":"ITEM-3","issue":"48","issued":{"date-parts":[["2005","12","1"]]},"page":"15774-15786","title":"Characterization of the 3‘ → 5‘ Exonuclease Activity Found in Human Nucleoside Diphosphate Kinase 1 (NDK1) and Several of Its Homologues","type":"article-journal","volume":"44"},"uris":["http://www.mendeley.com/documents/?uuid=d08e4b91-7cb9-4360-83cb-d2ba4f733d59"]}],"mendeley":{"formattedCitation":"[6,8,28]","plainTextFormattedCitation":"[6,8,28]","previouslyFormattedCitation":"[6,8,28]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[6,8,28]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Unfortunately, those results are not consistent and partially contradictory. Two protein isoforms of NME6 have been described, one of 194 aa and the other of 186 aa, shorter in the first eight N-terminal amino acids. The potential NDPK activity of the protein was assayed, but contradictory conclusions were drawn from different teams. While Tsuiki et al. supported a functional NDPK activity for NME6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other teams concluded that the protein is deprived of such activity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Genetics","id":"ITEM-1","issue":"6","issued":{"date-parts":[["1999","7","16"]]},"page":"454-459","title":"NME6: a new member of the nm23 /nucleoside diphosphate kinase gene family located on human chromosome 3p21.3","type":"article-journal","volume":"104"},"uris":["http://www.mendeley.com/documents/?uuid=1d07d158-8520-4451-a56d-a4c8f7d9a373"]},{"id":"ITEM-2","itemData":{"DOI":"10.1021/bi0515974","ISBN":"6176321972","ISSN":"0006-2960","PMID":"16313181","abstract":"Nucleoside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P.","non-dropping-particle":"","parse-names":false,"suffix":""}],"container-title":"Biochemistry","id":"ITEM-2","issue":"48","issued":{"date-parts":[["2005","12","1"]]},"page":"15774-15786","title":"Characterization of the 3‘ → 5‘ Exonuclease Activity Found in Human Nucleoside Diphosphate Kinase 1 (NDK1) and Several of Its Homologues","type":"article-journal","volume":"44"},"uris":["http://www.mendeley.com/documents/?uuid=d08e4b91-7cb9-4360-83cb-d2ba4f733d59"]}],"mendeley":{"formattedCitation":"[6,28]","plainTextFormattedCitation":"[6,28]","previouslyFormattedCitation":"[6,28]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[6,28]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Similarly, the NME6 expression was either considered to be ubiquitous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Genetics","id":"ITEM-1","issue":"6","issued":{"date-parts":[["1999","7","16"]]},"page":"454-459","title":"NME6: a new member of the nm23 /nucleoside diphosphate kinase gene family located on human chromosome 3p21.3","type":"article-journal","volume":"104"},"uris":["http://www.mendeley.com/documents/?uuid=1d07d158-8520-4451-a56d-a4c8f7d9a373"]}],"mendeley":{"formattedCitation":"[28]","plainTextFormattedCitation":"[28]","previouslyFormattedCitation":"[28]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or tissue-oriented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w:t>
      </w:r>
    </w:p>
    <w:p w14:paraId="08AE3747" w14:textId="77777777"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In this doctoral thesis, we aimed to clarify the information about the human NME6 protein. To this extent, we provided evidence for the existence of two NME6 isoforms in the cellular environment, albeit at different levels, for the ubiquitous expression of the protein and for the absence of NDPK activity. We further detailed that NME6 is unable to homo-oligomerize or form oligomers with Group I NME proteins. Moreover, NME6 lacks phosphorylated histidine, including the one in the catalytic site, thus impairing any kind of phosphotransferase activity such as NDPK activity or protein histidine kinase activity. We confirmed that the protein is mitochondrial and refined its localization to the mitochondrial matrix, partially bound to the MIM. We described a strong and stable interaction with RCC1L, a mitochondrial matrix protein impacting the mitoribosome assembly and the mitochondrial translation. We explored the impact of NME6 on cellular functions, and showed that variations in the protein expression did not impact cell cycle or apoptosis, but overexpression of NME6 strongly reduced the mitochondrial respiration and respiratory complexes abundance. </w:t>
      </w:r>
    </w:p>
    <w:p w14:paraId="1E8B4562" w14:textId="6FD1FBB0"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lastRenderedPageBreak/>
        <w:t>The production of stable clones overexpressing NME6 and knocked-out clones, as well as the production of recombinant NME6 proteins was of a major importance to further study the structure and function of human NME6 protein. The NME6-KI, overexpressing clones were successfully obtained and their analysis revealed interesting facts. First the overexpression of NME6-186-FLAG resulted in a single band after Western blot analysis, while the overexpression of NME6-194-FLAG revealed two bands, corresponding to both NME6-194-FLAG and NME6-186-FLAG (</w:t>
      </w:r>
      <w:r w:rsidR="00D84287">
        <w:rPr>
          <w:rFonts w:ascii="Times New Roman" w:hAnsi="Times New Roman" w:cs="Times New Roman"/>
          <w:sz w:val="24"/>
          <w:szCs w:val="24"/>
        </w:rPr>
        <w:fldChar w:fldCharType="begin"/>
      </w:r>
      <w:r w:rsidR="00D84287">
        <w:rPr>
          <w:rFonts w:ascii="Times New Roman" w:hAnsi="Times New Roman" w:cs="Times New Roman"/>
          <w:sz w:val="24"/>
          <w:szCs w:val="24"/>
        </w:rPr>
        <w:instrText xml:space="preserve"> REF _Ref106009416 \h </w:instrText>
      </w:r>
      <w:r w:rsidR="00D84287">
        <w:rPr>
          <w:rFonts w:ascii="Times New Roman" w:hAnsi="Times New Roman" w:cs="Times New Roman"/>
          <w:sz w:val="24"/>
          <w:szCs w:val="24"/>
        </w:rPr>
      </w:r>
      <w:r w:rsidR="00D84287">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18</w:t>
      </w:r>
      <w:r w:rsidR="00D84287">
        <w:rPr>
          <w:rFonts w:ascii="Times New Roman" w:hAnsi="Times New Roman" w:cs="Times New Roman"/>
          <w:sz w:val="24"/>
          <w:szCs w:val="24"/>
        </w:rPr>
        <w:fldChar w:fldCharType="end"/>
      </w:r>
      <w:r w:rsidRPr="003B2CF6">
        <w:rPr>
          <w:rFonts w:ascii="Times New Roman" w:hAnsi="Times New Roman" w:cs="Times New Roman"/>
          <w:sz w:val="24"/>
          <w:szCs w:val="24"/>
        </w:rPr>
        <w:t>). The expression of both isoforms in the latter condition could be imputed to the presence of two ATG initiation sites in the 5’ vicinity of the NME6 mRNA (</w:t>
      </w:r>
      <w:r w:rsidR="00D84287">
        <w:rPr>
          <w:rFonts w:ascii="Times New Roman" w:hAnsi="Times New Roman" w:cs="Times New Roman"/>
          <w:sz w:val="24"/>
          <w:szCs w:val="24"/>
        </w:rPr>
        <w:fldChar w:fldCharType="begin"/>
      </w:r>
      <w:r w:rsidR="00D84287">
        <w:rPr>
          <w:rFonts w:ascii="Times New Roman" w:hAnsi="Times New Roman" w:cs="Times New Roman"/>
          <w:sz w:val="24"/>
          <w:szCs w:val="24"/>
        </w:rPr>
        <w:instrText xml:space="preserve"> REF _Ref106009276 \h </w:instrText>
      </w:r>
      <w:r w:rsidR="00D84287">
        <w:rPr>
          <w:rFonts w:ascii="Times New Roman" w:hAnsi="Times New Roman" w:cs="Times New Roman"/>
          <w:sz w:val="24"/>
          <w:szCs w:val="24"/>
        </w:rPr>
      </w:r>
      <w:r w:rsidR="00D84287">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14</w:t>
      </w:r>
      <w:r w:rsidR="00D84287">
        <w:rPr>
          <w:rFonts w:ascii="Times New Roman" w:hAnsi="Times New Roman" w:cs="Times New Roman"/>
          <w:sz w:val="24"/>
          <w:szCs w:val="24"/>
        </w:rPr>
        <w:fldChar w:fldCharType="end"/>
      </w:r>
      <w:r w:rsidRPr="003B2CF6">
        <w:rPr>
          <w:rFonts w:ascii="Times New Roman" w:hAnsi="Times New Roman" w:cs="Times New Roman"/>
          <w:sz w:val="24"/>
          <w:szCs w:val="24"/>
        </w:rPr>
        <w:t>), leading to expression of both isoforms from a single mRNA. However, an alternative splicing producing two mRNA or a post-translational processing of the NME6-194 cannot be excluded to explain this phenomenon. All NME6-KI clones produced were expressing ten to twenty time more of the exogenous NME6-FLAG than the endogenous NME6 in controls (</w:t>
      </w:r>
      <w:r w:rsidR="00D84287">
        <w:rPr>
          <w:rFonts w:ascii="Times New Roman" w:hAnsi="Times New Roman" w:cs="Times New Roman"/>
          <w:sz w:val="24"/>
          <w:szCs w:val="24"/>
        </w:rPr>
        <w:fldChar w:fldCharType="begin"/>
      </w:r>
      <w:r w:rsidR="00D84287">
        <w:rPr>
          <w:rFonts w:ascii="Times New Roman" w:hAnsi="Times New Roman" w:cs="Times New Roman"/>
          <w:sz w:val="24"/>
          <w:szCs w:val="24"/>
        </w:rPr>
        <w:instrText xml:space="preserve"> REF _Ref106009421 \h </w:instrText>
      </w:r>
      <w:r w:rsidR="00D84287">
        <w:rPr>
          <w:rFonts w:ascii="Times New Roman" w:hAnsi="Times New Roman" w:cs="Times New Roman"/>
          <w:sz w:val="24"/>
          <w:szCs w:val="24"/>
        </w:rPr>
      </w:r>
      <w:r w:rsidR="00D84287">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19</w:t>
      </w:r>
      <w:r w:rsidR="00D84287">
        <w:rPr>
          <w:rFonts w:ascii="Times New Roman" w:hAnsi="Times New Roman" w:cs="Times New Roman"/>
          <w:sz w:val="24"/>
          <w:szCs w:val="24"/>
        </w:rPr>
        <w:fldChar w:fldCharType="end"/>
      </w:r>
      <w:r w:rsidRPr="003B2CF6">
        <w:rPr>
          <w:rFonts w:ascii="Times New Roman" w:hAnsi="Times New Roman" w:cs="Times New Roman"/>
          <w:sz w:val="24"/>
          <w:szCs w:val="24"/>
        </w:rPr>
        <w:t>). Interestingly, the overexpression of exogenous NME6-FLAG protein always led to the downregulation of endogenous NME6 at the protein level. This strongly suggests the existence of a negative feedback loop repressing the endogenous NME6 gene expression upon overexpression of the exogenous NME6-FLAG.</w:t>
      </w:r>
    </w:p>
    <w:p w14:paraId="5FF188FB" w14:textId="71B8CB79"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The NME6-KO clones were envisaged to be produced by CRISPR-Cas9 technology. In our repeated experiments we did not succeed in obtaining a single clone with a visible downregulation of endogenous NME6 at the protein level (</w:t>
      </w:r>
      <w:r w:rsidR="00D84287">
        <w:rPr>
          <w:rFonts w:ascii="Times New Roman" w:hAnsi="Times New Roman" w:cs="Times New Roman"/>
          <w:sz w:val="24"/>
          <w:szCs w:val="24"/>
        </w:rPr>
        <w:fldChar w:fldCharType="begin"/>
      </w:r>
      <w:r w:rsidR="00D84287">
        <w:rPr>
          <w:rFonts w:ascii="Times New Roman" w:hAnsi="Times New Roman" w:cs="Times New Roman"/>
          <w:sz w:val="24"/>
          <w:szCs w:val="24"/>
        </w:rPr>
        <w:instrText xml:space="preserve"> REF _Ref106009474 \h </w:instrText>
      </w:r>
      <w:r w:rsidR="00D84287">
        <w:rPr>
          <w:rFonts w:ascii="Times New Roman" w:hAnsi="Times New Roman" w:cs="Times New Roman"/>
          <w:sz w:val="24"/>
          <w:szCs w:val="24"/>
        </w:rPr>
      </w:r>
      <w:r w:rsidR="00D84287">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20</w:t>
      </w:r>
      <w:r w:rsidR="00D84287">
        <w:rPr>
          <w:rFonts w:ascii="Times New Roman" w:hAnsi="Times New Roman" w:cs="Times New Roman"/>
          <w:sz w:val="24"/>
          <w:szCs w:val="24"/>
        </w:rPr>
        <w:fldChar w:fldCharType="end"/>
      </w:r>
      <w:r w:rsidRPr="003B2CF6">
        <w:rPr>
          <w:rFonts w:ascii="Times New Roman" w:hAnsi="Times New Roman" w:cs="Times New Roman"/>
          <w:sz w:val="24"/>
          <w:szCs w:val="24"/>
        </w:rPr>
        <w:t>). The PCR analysis of resistant clones revealed that we successfully knocked-out one allele of the NME6 gene, but another allele remained intact (wild type),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_Ref106009375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21</w:t>
      </w:r>
      <w:r w:rsidR="007A1636">
        <w:rPr>
          <w:rFonts w:ascii="Times New Roman" w:hAnsi="Times New Roman" w:cs="Times New Roman"/>
          <w:sz w:val="24"/>
          <w:szCs w:val="24"/>
        </w:rPr>
        <w:fldChar w:fldCharType="end"/>
      </w:r>
      <w:r w:rsidR="007A1636">
        <w:rPr>
          <w:rFonts w:ascii="Times New Roman" w:hAnsi="Times New Roman" w:cs="Times New Roman"/>
          <w:sz w:val="24"/>
          <w:szCs w:val="24"/>
        </w:rPr>
        <w:t xml:space="preserve"> and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_Ref106009482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22</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generating monoallelic NME6-KO clones. We propose that a biallelic NME6-KO could be lethal, which is comforted by the International Mouse Phenotype Consortium database showing that biallelic NME6-KO lead to mice embryonic lethality </w:t>
      </w:r>
      <w:r w:rsidRPr="003B2CF6">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{"citationItems":[{"id":"ITEM-1","itemData":{"URL":"https://www.mousephenotype.org/data/genes/MGI:1861676","accessed":{"date-parts":[["2021","12","5"]]},"author":[{"dropping-particle":"","family":"International Mouse Phenotyping Consortium","given":"","non-dropping-particle":"","parse-names":false,"suffix":""}],"id":"ITEM-1","issued":{"date-parts":[["0"]]},"title":"(IMPC)_NME6","type":"webpage"},"uris":["http://www.mendeley.com/documents/?uuid=d6c65c2b-8799-4871-8c4e-90abf9bb6f4c"]},{"id":"ITEM-2","itemData":{"DOI":"10.1038/nature19356","ISSN":"14764687","PMID":"27626380","abstract":"Approximately one-third of all mammalian genes are essential for life. Phenotypes resulting from knockouts of these genes in mice have provided tremendous insight into gene function and congenital disorders. As part of the International Mouse Phenotyping Consortium effort to generate and phenotypically characterize 5,000 knockout mouse lines, here we identify 410 lethal genes during the production of the first 1,751 unique gene knockouts. Using a standardized phenotyping platform that incorporates high-resolution 3D imaging, we identify phenotypes at multiple time points for previously uncharacterized genes and additional phenotypes for genes with previously reported mutant phenotypes. Unexpectedly, our analysis reveals that incomplete penetrance and variable expressivity are common even on a defined genetic background. In addition, we show that human disease genes are enriched for essential genes, thus providing a dataset that facilitates the prioritization and validation of mutations identified in clinical sequencing efforts.","author":[{"dropping-particle":"","family":"Dickinson","given":"Mary E.","non-dropping-particle":"","parse-names":false,"suffix":""},{"dropping-particle":"","family":"Flenniken","given":"Ann M.","non-dropping-particle":"","parse-names":false,"suffix":""},{"dropping-particle":"","family":"Ji","given":"Xiao","non-dropping-particle":"","parse-names":false,"suffix":""},{"dropping-particle":"","family":"Teboul","given":"Lydia","non-dropping-particle":"","parse-names":false,"suffix":""},{"dropping-particle":"","family":"Wong","given":"Michael D.","non-dropping-particle":"","parse-names":false,"suffix":""},{"dropping-particle":"","family":"White","given":"Jacqueline K.","non-dropping-particle":"","parse-names":false,"suffix":""},{"dropping-particle":"","family":"Meehan","given":"Terrence F.","non-dropping-particle":"","parse-names":false,"suffix":""},{"dropping-particle":"","family":"Weninger","given":"Wolfgang J.","non-dropping-particle":"","parse-names":false,"suffix":""},{"dropping-particle":"","family":"Westerberg","given":"Henrik","non-dropping-particle":"","parse-names":false,"suffix":""},{"dropping-particle":"","family":"Adissu","given":"Hibret","non-dropping-particle":"","parse-names":false,"suffix":""},{"dropping-particle":"","family":"Baker","given":"Candice N.","non-dropping-particle":"","parse-names":false,"suffix":""},{"dropping-particle":"","family":"Bower","given":"Lynette","non-dropping-particle":"","parse-names":false,"suffix":""},{"dropping-particle":"","family":"Brown","given":"James M.","non-dropping-particle":"","parse-names":false,"suffix":""},{"dropping-particle":"","family":"Brianna Caddle","given":"L.","non-dropping-particle":"","parse-names":false,"suffix":""},{"dropping-particle":"","family":"Chiani","given":"Francesco","non-dropping-particle":"","parse-names":false,"suffix":""},{"dropping-particle":"","family":"Clary","given":"Dave","non-dropping-particle":"","parse-names":false,"suffix":""},{"dropping-particle":"","family":"Cleak","given":"James","non-dropping-particle":"","parse-names":false,"suffix":""},{"dropping-particle":"","family":"Daly","given":"Mark J.","non-dropping-particle":"","parse-names":false,"suffix":""},{"dropping-particle":"","family":"Denegre","given":"James M.","non-dropping-particle":"","parse-names":false,"suffix":""},{"dropping-particle":"","family":"Doe","given":"Brendan","non-dropping-particle":"","parse-names":false,"suffix":""},{"dropping-particle":"","family":"Dolan","given":"Mary E.","non-dropping-particle":"","parse-names":false,"suffix":""},{"dropping-particle":"","family":"Edie","given":"Sarah M.","non-dropping-particle":"","parse-names":false,"suffix":""},{"dropping-particle":"","family":"Fuchs","given":"Helmut","non-dropping-particle":"","parse-names":false,"suffix":""},{"dropping-particle":"","family":"Gailus-Durner","given":"Valerie","non-dropping-particle":"","parse-names":false,"suffix":""},{"dropping-particle":"","family":"Galli","given":"Antonella","non-dropping-particle":"","parse-names":false,"suffix":""},{"dropping-particle":"","family":"Gambadoro","given":"Alessia","non-dropping-particle":"","parse-names":false,"suffix":""},{"dropping-particle":"","family":"Gallegos","given":"Juan","non-dropping-particle":"","parse-names":false,"suffix":""},{"dropping-particle":"","family":"Guo","given":"Shiying","non-dropping-particle":"","parse-names":false,"suffix":""},{"dropping-particle":"","family":"Horner","given":"Neil R.","non-dropping-particle":"","parse-names":false,"suffix":""},{"dropping-particle":"","family":"Hsu","given":"Chih wei","non-dropping-particle":"","parse-names":false,"suffix":""},{"dropping-particle":"","family":"Johnson","given":"Sara J.","non-dropping-particle":"","parse-names":false,"suffix":""},{"dropping-particle":"","family":"Kalaga","given":"Sowmya","non-dropping-particle":"","parse-names":false,"suffix":""},{"dropping-particle":"","family":"Keith","given":"Lance C.","non-dropping-particle":"","parse-names":false,"suffix":""},{"dropping-particle":"","family":"Lanoue","given":"Louise","non-dropping-particle":"","parse-names":false,"suffix":""},{"dropping-particle":"","family":"Lawson","given":"Thomas N.","non-dropping-particle":"","parse-names":false,"suffix":""},{"dropping-particle":"","family":"Lek","given":"Monkol","non-dropping-particle":"","parse-names":false,"suffix":""},{"dropping-particle":"","family":"Mark","given":"Manuel","non-dropping-particle":"","parse-names":false,"suffix":""},{"dropping-particle":"","family":"Marschall","given":"Susan","non-dropping-particle":"","parse-names":false,"suffix":""},{"dropping-particle":"","family":"Mason","given":"Jeremy","non-dropping-particle":"","parse-names":false,"suffix":""},{"dropping-particle":"","family":"McElwee","given":"Melissa L.","non-dropping-particle":"","parse-names":false,"suffix":""},{"dropping-particle":"","family":"Newbigging","given":"Susan","non-dropping-particle":"","parse-names":false,"suffix":""},{"dropping-particle":"","family":"Nutter","given":"Lauryl M.J.","non-dropping-particle":"","parse-names":false,"suffix":""},{"dropping-particle":"","family":"Peterson","given":"Kevin A.","non-dropping-particle":"","parse-names":false,"suffix":""},{"dropping-particle":"","family":"Ramirez-Solis","given":"Ramiro","non-dropping-particle":"","parse-names":false,"suffix":""},{"dropping-particle":"","family":"Rowland","given":"Douglas J.","non-dropping-particle":"","parse-names":false,"suffix":""},{"dropping-particle":"","family":"Ryder","given":"Edward","non-dropping-particle":"","parse-names":false,"suffix":""},{"dropping-particle":"","family":"Samocha","given":"Kaitlin E.","non-dropping-particle":"","parse-names":false,"suffix":""},{"dropping-particle":"","family":"Seavitt","given":"John R.","non-dropping-particle":"","parse-names":false,"suffix":""},{"dropping-particle":"","family":"Selloum","given":"Mohammed","non-dropping-particle":"","parse-names":false,"suffix":""},{"dropping-particle":"","family":"Szoke-Kovacs","given":"Zsombor","non-dropping-particle":"","parse-names":false,"suffix":""},{"dropping-particle":"","family":"Tamura","given":"Masaru","non-dropping-particle":"","parse-names":false,"suffix":""},{"dropping-particle":"","family":"Trainor","given":"Amanda G.","non-dropping-particle":"","parse-names":false,"suffix":""},{"dropping-particle":"","family":"Tudose","given":"Ilinca","non-dropping-particle":"","parse-names":false,"suffix":""},{"dropping-particle":"","family":"Wakana","given":"Shigeharu","non-dropping-particle":"","parse-names":false,"suffix":""},{"dropping-particle":"","family":"Warren","given":"Jonathan","non-dropping-particle":"","parse-names":false,"suffix":""},{"dropping-particle":"","family":"Wendling","given":"Olivia","non-dropping-particle":"","parse-names":false,"suffix":""},{"dropping-particle":"","family":"West","given":"David B.","non-dropping-particle":"","parse-names":false,"suffix":""},{"dropping-particle":"","family":"Wong","given":"Leeyean","non-dropping-particle":"","parse-names":false,"suffix":""},{"dropping-particle":"","family":"Yoshiki","given":"Atsushi","non-dropping-particle":"","parse-names":false,"suffix":""},{"dropping-particle":"","family":"MacArthur","given":"Daniel G.","non-dropping-particle":"","parse-names":false,"suffix":""},{"dropping-particle":"","family":"Tocchini-Valentini","given":"Glauco P.","non-dropping-particle":"","parse-names":false,"suffix":""},{"dropping-particle":"","family":"Gao","given":"Xiang","non-dropping-particle":"","parse-names":false,"suffix":""},{"dropping-particle":"","family":"Flicek","given":"Paul","non-dropping-particle":"","parse-names":false,"suffix":""},{"dropping-particle":"","family":"Bradley","given":"Allan","non-dropping-particle":"","parse-names":false,"suffix":""},{"dropping-particle":"","family":"Skarnes","given":"William C.","non-dropping-particle":"","parse-names":false,"suffix":""},{"dropping-particle":"","family":"Justice","given":"Monica J.","non-dropping-particle":"","parse-names":false,"suffix":""},{"dropping-particle":"","family":"Parkinson","given":"Helen E.","non-dropping-particle":"","parse-names":false,"suffix":""},{"dropping-particle":"","family":"Moore","given":"Mark","non-dropping-particle":"","parse-names":false,"suffix":""},{"dropping-particle":"","family":"Wells","given":"Sara","non-dropping-particle":"","parse-names":false,"suffix":""},{"dropping-particle":"","family":"Braun","given":"Robert E.","non-dropping-particle":"","parse-names":false,"suffix":""},{"dropping-particle":"","family":"Svenson","given":"Karen L.","non-dropping-particle":"","parse-names":false,"suffix":""},{"dropping-particle":"","family":"Hrabe de Angelis","given":"Martin","non-dropping-particle":"","parse-names":false,"suffix":""},{"dropping-particle":"","family":"Herault","given":"Yann","non-dropping-particle":"","parse-names":false,"suffix":""},{"dropping-particle":"","family":"Mohun","given":"Tim","non-dropping-particle":"","parse-names":false,"suffix":""},{"dropping-particle":"","family":"Mallon","given":"Ann Marie","non-dropping-particle":"","parse-names":false,"suffix":""},{"dropping-particle":"","family":"Mark Henkelman","given":"R.","non-dropping-particle":"","parse-names":false,"suffix":""},{"dropping-particle":"","family":"Brown","given":"Steve D.M.","non-dropping-particle":"","parse-names":false,"suffix":""},{"dropping-particle":"","family":"Adams","given":"David J.","non-dropping-particle":"","parse-names":false,"suffix":""},{"dropping-particle":"","family":"Kent Lloyd","given":"K. C.","non-dropping-particle":"","parse-names":false,"suffix":""},{"dropping-particle":"","family":"McKerlie","given":"Colin","non-dropping-particle":"","parse-names":false,"suffix":""},{"dropping-particle":"","family":"Beaudet","given":"Arthur L.","non-dropping-particle":"","parse-names":false,"suffix":""},{"dropping-particle":"","family":"Bucan","given":"Maja","non-dropping-particle":"","parse-names":false,"suffix":""},{"dropping-particle":"","family":"Murray","given":"Stephen A.","non-dropping-particle":"","parse-names":false,"suffix":""},{"dropping-particle":"","family":"McKay","given":"Matthew","non-dropping-particle":"","parse-names":false,"suffix":""},{"dropping-particle":"","family":"Urban","given":"Barbara","non-dropping-particle":"","parse-names":false,"suffix":""},{"dropping-particle":"","family":"Lund","given":"Caroline","non-dropping-particle":"","parse-names":false,"suffix":""},{"dropping-particle":"","family":"Froeter","given":"Erin","non-dropping-particle":"","parse-names":false,"suffix":""},{"dropping-particle":"","family":"LaCasse","given":"Taylor","non-dropping-particle":"","parse-names":false,"suffix":""},{"dropping-particle":"","family":"Mehalow","given":"Adrienne","non-dropping-particle":"","parse-names":false,"suffix":""},{"dropping-particle":"","family":"Gordon","given":"Emily","non-dropping-particle":"","parse-names":false,"suffix":""},{"dropping-particle":"","family":"Donahue","given":"Leah Rae","non-dropping-particle":"","parse-names":false,"suffix":""},{"dropping-particle":"","family":"Taft","given":"Robert","non-dropping-particle":"","parse-names":false,"suffix":""},{"dropping-particle":"","family":"Kutney","given":"Peter","non-dropping-particle":"","parse-names":false,"suffix":""},{"dropping-particle":"","family":"Dion","given":"Stephanie","non-dropping-particle":"","parse-names":false,"suffix":""},{"dropping-particle":"","family":"Goodwin","given":"Leslie","non-dropping-particle":"","parse-names":false,"suffix":""},{"dropping-particle":"","family":"Kales","given":"Susan","non-dropping-particle":"","parse-names":false,"suffix":""},{"dropping-particle":"","family":"Urban","given":"Rachel","non-dropping-particle":"","parse-names":false,"suffix":""},{"dropping-particle":"","family":"Palmer","given":"Kristina","non-dropping-particle":"","parse-names":false,"suffix":""},{"dropping-particle":"","family":"Pertuy","given":"Fabien","non-dropping-particle":"","parse-names":false,"suffix":""},{"dropping-particle":"","family":"Bitz","given":"Deborah","non-dropping-particle":"","parse-names":false,"suffix":""},{"dropping-particle":"","family":"Weber","given":"Bruno","non-dropping-particle":"","parse-names":false,"suffix":""},{"dropping-particle":"","family":"Goetz-Reiner","given":"Patrice","non-dropping-particle":"","parse-names":false,"suffix":""},{"dropping-particle":"","family":"Jacobs","given":"Hughes","non-dropping-particle":"","parse-names":false,"suffix":""},{"dropping-particle":"","family":"Marchand","given":"Elise","non-dropping-particle":"Le","parse-names":false,"suffix":""},{"dropping-particle":"","family":"Amri","given":"Amal","non-dropping-particle":"El","parse-names":false,"suffix":""},{"dropping-particle":"","family":"Fertak","given":"Leila","non-dropping-particle":"El","parse-names":false,"suffix":""},{"dropping-particle":"","family":"Ennah","given":"Hamid","non-dropping-particle":"","parse-names":false,"suffix":""},{"dropping-particle":"","family":"Ali-Hadji","given":"Dalila","non-dropping-particle":"","parse-names":false,"suffix":""},{"dropping-particle":"","family":"Ayadi","given":"Abdel","non-dropping-particle":"","parse-names":false,"suffix":""},{"dropping-particle":"","family":"Wattenhofer-Donze","given":"Marie","non-dropping-particle":"","parse-names":false,"suffix":""},{"dropping-particle":"","family":"Jacquot","given":"Sylvie","non-dropping-particle":"","parse-names":false,"suffix":""},{"dropping-particle":"","family":"André","given":"Philippe","non-dropping-particle":"","parse-names":false,"suffix":""},{"dropping-particle":"","family":"Birling","given":"Marie Christine","non-dropping-particle":"","parse-names":false,"suffix":""},{"dropping-particle":"","family":"Pavlovic","given":"Guillaume","non-dropping-particle":"","parse-names":false,"suffix":""},{"dropping-particle":"","family":"Sorg","given":"Tania","non-dropping-particle":"","parse-names":false,"suffix":""},{"dropping-particle":"","family":"Morse","given":"Iva","non-dropping-particle":"","parse-names":false,"suffix":""},{"dropping-particle":"","family":"Benso","given":"Frank","non-dropping-particle":"","parse-names":false,"suffix":""},{"dropping-particle":"","family":"Stewart","given":"Michelle E.","non-dropping-particle":"","parse-names":false,"suffix":""},{"dropping-particle":"","family":"Copley","given":"Carol","non-dropping-particle":"","parse-names":false,"suffix":""},{"dropping-particle":"","family":"Harrison","given":"Jackie","non-dropping-particle":"","parse-names":false,"suffix":""},{"dropping-particle":"","family":"Joynson","given":"Samantha","non-dropping-particle":"","parse-names":false,"suffix":""},{"dropping-particle":"","family":"Guo","given":"Ruolin","non-dropping-particle":"","parse-names":false,"suffix":""},{"dropping-particle":"","family":"Qu","given":"Dawei","non-dropping-particle":"","parse-names":false,"suffix":""},{"dropping-particle":"","family":"Spring","given":"Shoshana","non-dropping-particle":"","parse-names":false,"suffix":""},{"dropping-particle":"","family":"Yu","given":"Lisa","non-dropping-particle":"","parse-names":false,"suffix":""},{"dropping-particle":"","family":"Ellegood","given":"Jacob","non-dropping-particle":"","parse-names":false,"suffix":""},{"dropping-particle":"","family":"Morikawa","given":"Lily","non-dropping-particle":"","parse-names":false,"suffix":""},{"dropping-particle":"","family":"Shang","given":"Xueyuan","non-dropping-particle":"","parse-names":false,"suffix":""},{"dropping-particle":"","family":"Feugas","given":"Pat","non-dropping-particle":"","parse-names":false,"suffix":""},{"dropping-particle":"","family":"Creighton","given":"Amie","non-dropping-particle":"","parse-names":false,"suffix":""},{"dropping-particle":"","family":"Penton","given":"Patricia Castellanos","non-dropping-particle":"","parse-names":false,"suffix":""},{"dropping-particle":"","family":"Danisment","given":"Ozge","non-dropping-particle":"","parse-names":false,"suffix":""},{"dropping-particle":"","family":"Griggs","given":"Nicola","non-dropping-particle":"","parse-names":false,"suffix":""},{"dropping-particle":"","family":"Tudor","given":"Catherine L.","non-dropping-particle":"","parse-names":false,"suffix":""},{"dropping-particle":"","family":"Green","given":"Angela L.","non-dropping-particle":"","parse-names":false,"suffix":""},{"dropping-particle":"","family":"Icoresi Mazzeo","given":"Cecilia","non-dropping-particle":"","parse-names":false,"suffix":""},{"dropping-particle":"","family":"Siragher","given":"Emma","non-dropping-particle":"","parse-names":false,"suffix":""},{"dropping-particle":"","family":"Lillistone","given":"Charlotte","non-dropping-particle":"","parse-names":false,"suffix":""},{"dropping-particle":"","family":"Tuck","given":"Elizabeth","non-dropping-particle":"","parse-names":false,"suffix":""},{"dropping-particle":"","family":"Gleeson","given":"Diane","non-dropping-particle":"","parse-names":false,"suffix":""},{"dropping-particle":"","family":"Sethi","given":"Debarati","non-dropping-particle":"","parse-names":false,"suffix":""},{"dropping-particle":"","family":"Bayzetinova","given":"Tanya","non-dropping-particle":"","parse-names":false,"suffix":""},{"dropping-particle":"","family":"Burvill","given":"Jonathan","non-dropping-particle":"","parse-names":false,"suffix":""},{"dropping-particle":"","family":"Habib","given":"Bishoy","non-dropping-particle":"","parse-names":false,"suffix":""},{"dropping-particle":"","family":"Weavers","given":"Lauren","non-dropping-particle":"","parse-names":false,"suffix":""},{"dropping-particle":"","family":"Maswood","given":"Ryea","non-dropping-particle":"","parse-names":false,"suffix":""},{"dropping-particle":"","family":"Miklejewska","given":"Evelina","non-dropping-particle":"","parse-names":false,"suffix":""},{"dropping-particle":"","family":"Woods","given":"Michael","non-dropping-particle":"","parse-names":false,"suffix":""},{"dropping-particle":"","family":"Grau","given":"Evelyn","non-dropping-particle":"","parse-names":false,"suffix":""},{"dropping-particle":"","family":"Newman","given":"Stuart","non-dropping-particle":"","parse-names":false,"suffix":""},{"dropping-particle":"","family":"Sinclair","given":"Caroline","non-dropping-particle":"","parse-names":false,"suffix":""},{"dropping-particle":"","family":"Brown","given":"Ellen","non-dropping-particle":"","parse-names":false,"suffix":""},{"dropping-particle":"","family":"Ayabe","given":"Shinya","non-dropping-particle":"","parse-names":false,"suffix":""},{"dropping-particle":"","family":"Iwama","given":"Mizuho","non-dropping-particle":"","parse-names":false,"suffix":""},{"dropping-particle":"","family":"Murakami","given":"Ayumi","non-dropping-particle":"","parse-names":false,"suffix":""}],"container-title":"Nature","id":"ITEM-2","issue":"7621","issued":{"date-parts":[["2016","9","14"]]},"page":"508-514","publisher":"Nature Publishing Group","title":"High-throughput discovery of novel developmental phenotypes","type":"article-journal","volume":"537"},"uris":["http://www.mendeley.com/documents/?uuid=c5cd5325-8623-3fbf-85ec-78b474ec8951"]}],"mendeley":{"formattedCitation":"[138,139]","plainTextFormattedCitation":"[138,139]","previouslyFormattedCitation":"[138,139]"},"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[138,139]</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However, we produced clones in MDA-MB-231T, a cancer cell line displaying chromosomal rearrangements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{"citationItems":[{"id":"ITEM-1","itemData":{"DOI":"10.1016/0165-4608(81)90057-1","ISSN":"0165-4608","PMID":"7272986","abstract":"The chromosomal constitution of 8 human breast tumor cell lines has been analyzed by conventional staining and G-banding methods. The stem line number was established in each case. In all cell lines, a large number of marker chromosomes have been identified. In addition to the 1q marker chromosome, previously reported to be present in several breast tumors from this laboratory, we also found marker chromosomes involving the 11q segment in all 8 cases, and markers resembling some of those found in the HeLa cells in 6 out of 8 lines. It appears that the primary genetic (and cytogenetic) changes are specific for each type of target cell and are not shared by other neoplasms. Marker chromosomes found in different types of tumors may represent genetic changes associated with cancer progression, which may be the result of a multitude of genetic alterations. © 1981.","author":[{"dropping-particle":"","family":"Satya-Prakash","given":"K. L.","non-dropping-particle":"","parse-names":false,"suffix":""},{"dropping-particle":"","family":"Pathak","given":"S.","non-dropping-particle":"","parse-names":false,"suffix":""},{"dropping-particle":"","family":"Hsu","given":"T. C.","non-dropping-particle":"","parse-names":false,"suffix":""},{"dropping-particle":"","family":"Olivé","given":"Matilde","non-dropping-particle":"","parse-names":false,"suffix":""},{"dropping-particle":"","family":"Cailleau","given":"Relda","non-dropping-particle":"","parse-names":false,"suffix":""}],"container-title":"Cancer Genetics and Cytogenetics","id":"ITEM-1","issue":"1","issued":{"date-parts":[["1981","1","1"]]},"page":"61-73","publisher":"Elsevier","title":"Cytogenetic analysis on eight human breast tumor cell lines: High frequencies of 1q, 11q and HeLa-like marker chromosomes","type":"article-journal","volume":"3"},"uris":["http://www.mendeley.com/documents/?uuid=d4aa0def-f57e-3225-ab54-30d87c855d00"]}],"mendeley":{"formattedCitation":"[140]","plainTextFormattedCitation":"[140]","previouslyFormattedCitation":"[140]"},"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[140]</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The absence of complete NME6-KO in our experiments could be the consequence of a possible duplication or multiplication of the NME6 gene, resulting in a multitude of alleles that would represent a challenging task for a complete KO by the CRISPR-Cas9 technique. As we were unsuccessful in producing NME6-KO stable clones, we used a silencing method to transiently downregulate endogenous NME6 expression up to 90%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_Ref107391185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23</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w:t>
      </w:r>
    </w:p>
    <w:p w14:paraId="5020F0DB" w14:textId="38319EA3"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Finally, recombinant proteins of the human NME6 (194 and 186) were produced in bacteria. The process required more than a year of tuning, due to low recovery of the NME6 protein in the soluble fraction. After purification, both isoforms were largely enriched, even though not </w:t>
      </w:r>
      <w:r w:rsidRPr="003B2CF6">
        <w:rPr>
          <w:rFonts w:ascii="Times New Roman" w:hAnsi="Times New Roman" w:cs="Times New Roman"/>
          <w:sz w:val="24"/>
          <w:szCs w:val="24"/>
        </w:rPr>
        <w:lastRenderedPageBreak/>
        <w:t>100% pure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_Ref106009590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24</w:t>
      </w:r>
      <w:r w:rsidR="007A1636">
        <w:rPr>
          <w:rFonts w:ascii="Times New Roman" w:hAnsi="Times New Roman" w:cs="Times New Roman"/>
          <w:sz w:val="24"/>
          <w:szCs w:val="24"/>
        </w:rPr>
        <w:fldChar w:fldCharType="end"/>
      </w:r>
      <w:r w:rsidR="007A1636">
        <w:rPr>
          <w:rFonts w:ascii="Times New Roman" w:hAnsi="Times New Roman" w:cs="Times New Roman"/>
          <w:sz w:val="24"/>
          <w:szCs w:val="24"/>
        </w:rPr>
        <w:t xml:space="preserve"> and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_Ref107391458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25</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Nevertheless, the purification level was acceptable, and no other protein could be observed after SDS-PAGE of the recombinant proteins in non-saturating conditions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_Ref106009614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F56866">
        <w:rPr>
          <w:rFonts w:ascii="Times New Roman" w:hAnsi="Times New Roman" w:cs="Times New Roman"/>
          <w:sz w:val="24"/>
          <w:szCs w:val="24"/>
        </w:rPr>
        <w:t xml:space="preserve">Figure </w:t>
      </w:r>
      <w:r w:rsidR="00790F77">
        <w:rPr>
          <w:rFonts w:ascii="Times New Roman" w:hAnsi="Times New Roman" w:cs="Times New Roman"/>
          <w:noProof/>
          <w:sz w:val="24"/>
          <w:szCs w:val="24"/>
        </w:rPr>
        <w:t>26</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w:t>
      </w:r>
    </w:p>
    <w:p w14:paraId="1AC4DC13" w14:textId="195AA28A"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Mehus et al. reported the NME6 ubiquitous expression at the mRNA level in 16 human tissues, with slight variations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Genetics","id":"ITEM-1","issue":"6","issued":{"date-parts":[["1999","7","16"]]},"page":"454-459","title":"NME6: a new member of the nm23 /nucleoside diphosphate kinase gene family located on human chromosome 3p21.3","type":"article-journal","volume":"104"},"uris":["http://www.mendeley.com/documents/?uuid=1d07d158-8520-4451-a56d-a4c8f7d9a373"]}],"mendeley":{"formattedCitation":"[28]","plainTextFormattedCitation":"[28]","previouslyFormattedCitation":"[28]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Similarly, the NME6 ubiquitous expression was described in zebrafish, with the highest mRNA levels found in ovaries </w:t>
      </w:r>
      <w:r w:rsidRPr="003B2CF6">
        <w:rPr>
          <w:rFonts w:ascii="Times New Roman" w:hAnsi="Times New Roman" w:cs="Times New Roman"/>
          <w:sz w:val="24"/>
          <w:szCs w:val="24"/>
        </w:rPr>
        <w:fldChar w:fldCharType="begin" w:fldLock="1"/>
      </w:r>
      <w:r w:rsidRPr="003B2CF6">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Only Tsuiki et al. described the NME6 mRNA expression to be tissue dependent, mainly in heart, placenta, skeletal muscle and kidney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Our characterization of the endogenous human NME6 protein supports a ubiquitous expression, where NME6 was similarly expressed in cancer and non-cancer cell lines of different tissues of origin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_Ref106009679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27</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Not a single cell line was found with undetectable levels of NME6, underling the importance of the protein for the cell. Two NME6 isoforms, 194 aa and 186 aa, have been described in the literature and could be discriminated by Western blot based on their molecular weight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_Ref106009696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28</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Mass spectrometry analysis revealed that both NME6-186 and NME6-194 protein isoforms were expressed in MDA-MB-231T and HeLa cell lysates, without giving information about their relative abundance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_Ref106009727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30</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However, the detection of endogenous NME6 protein by Western blot consistently resulted in a single band in a large panel of human cell line tested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_Ref106009679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27</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w:t>
      </w:r>
      <w:r w:rsidR="00CA7A17">
        <w:rPr>
          <w:rFonts w:ascii="Times New Roman" w:hAnsi="Times New Roman" w:cs="Times New Roman"/>
          <w:sz w:val="24"/>
          <w:szCs w:val="24"/>
        </w:rPr>
        <w:t xml:space="preserve"> </w:t>
      </w:r>
      <w:r w:rsidRPr="003B2CF6">
        <w:rPr>
          <w:rFonts w:ascii="Times New Roman" w:hAnsi="Times New Roman" w:cs="Times New Roman"/>
          <w:sz w:val="24"/>
          <w:szCs w:val="24"/>
        </w:rPr>
        <w:t>Moreover, the comparison with recombinant NME6 isoforms clearly showed that the main endogenous NME6 protein detected by Western blot corresponds to the isoform of 186 aa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_Ref106009707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29</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Altogether, even though both isoforms are expressed in human cells, the endogenous NME6 is mainly expressed as a single protein isoform of 186 aa, while the scarcely expressed NME6-194 escapes Western blot detection. </w:t>
      </w:r>
    </w:p>
    <w:p w14:paraId="0D3B8891" w14:textId="11AD4B58"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The mitochondrial localization of NME6 was first suggested by Tsuiki et al. on the basis of immunofluorescent staining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and by large-scale mitochondrial proteomic studies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{"citationItems":[{"id":"ITEM-1","itemData":{"DOI":"10.1016/j.cell.2008.06.016","ISSN":"00928674","PMID":"18614015","abstract":"Mitochondria are complex organelles whose dysfunction underlies a broad spectrum of human diseases. Identifying all of the proteins resident in this organelle and understanding how they integrate into pathways represent major challenges in cell biology. Toward this goal, we performed mass spectrometry, GFP tagging, and machine learning to create a mitochondrial compendium of 1098 genes and their protein expression across 14 mouse tissues. We link poorly characterized proteins in this inventory to known mitochondrial pathways by virtue of shared evolutionary history. Using this approach, we predict 19 proteins to be important for the function of complex I (CI) of the electron transport chain. We validate a subset of these predictions using RNAi, including C8orf38, which we further show harbors an inherited mutation in a lethal, infantile CI deficiency. Our results have important implications for understanding CI function and pathogenesis and, more generally, illustrate how our compendium can serve as a foundation for systematic investigations of mitochondria. © 2008 Elsevier Inc. All rights reserved.","author":[{"dropping-particle":"","family":"Pagliarini","given":"David J.","non-dropping-particle":"","parse-names":false,"suffix":""},{"dropping-particle":"","family":"Calvo","given":"Sarah E.","non-dropping-particle":"","parse-names":false,"suffix":""},{"dropping-particle":"","family":"Chang","given":"Betty","non-dropping-particle":"","parse-names":false,"suffix":""},{"dropping-particle":"","family":"Sheth","given":"Sunil A.","non-dropping-particle":"","parse-names":false,"suffix":""},{"dropping-particle":"","family":"Vafai","given":"Scott B.","non-dropping-particle":"","parse-names":false,"suffix":""},{"dropping-particle":"","family":"Ong","given":"Shao-En","non-dropping-particle":"","parse-names":false,"suffix":""},{"dropping-particle":"","family":"Walford","given":"Geoffrey A.","non-dropping-particle":"","parse-names":false,"suffix":""},{"dropping-particle":"","family":"Sugiana","given":"Canny","non-dropping-particle":"","parse-names":false,"suffix":""},{"dropping-particle":"","family":"Boneh","given":"Avihu","non-dropping-particle":"","parse-names":false,"suffix":""},{"dropping-particle":"","family":"Chen","given":"William K.","non-dropping-particle":"","parse-names":false,"suffix":""},{"dropping-particle":"","family":"Hill","given":"David E.","non-dropping-particle":"","parse-names":false,"suffix":""},{"dropping-particle":"","family":"Vidal","given":"Marc","non-dropping-particle":"","parse-names":false,"suffix":""},{"dropping-particle":"","family":"Evans","given":"James G.","non-dropping-particle":"","parse-names":false,"suffix":""},{"dropping-particle":"","family":"Thorburn","given":"David R.","non-dropping-particle":"","parse-names":false,"suffix":""},{"dropping-particle":"","family":"Carr","given":"Steven A.","non-dropping-particle":"","parse-names":false,"suffix":""},{"dropping-particle":"","family":"Mootha","given":"Vamsi K.","non-dropping-particle":"","parse-names":false,"suffix":""}],"container-title":"Cell","id":"ITEM-1","issue":"1","issued":{"date-parts":[["2008","7"]]},"note":"Nme6 listed as mitochondrial\nEvidence mass spec on higly pure mitochondria\nEvidence Immunofluorescence exogenous Nme6 in fixed human cell\n(Supplementary)","page":"112-123","title":"A Mitochondrial Protein Compendium Elucidates Complex I Disease Biology","type":"article-journal","volume":"134"},"uris":["http://www.mendeley.com/documents/?uuid=9e5508d1-b4ae-4163-a442-d3d41de5fdb6"]},{"id":"ITEM-2","itemData":{"DOI":"10.1016/j.cmet.2020.07.017","ISSN":"15504131","PMID":"32877691","abstract":"We used BioID, a proximity-dependent biotinylation assay with 100 mitochondrial baits from all mitochondrial sub-compartments, to create a high-resolution human mitochondrial proximity interaction network. We identified 1,465 proteins, producing 15,626 unique high-confidence proximity interactions. Of these, 528 proteins were previously annotated as mitochondrial, nearly half of the mitochondrial proteome defined by Mitocarta 2.0. Bait-bait analysis showed a clear separation of mitochondrial compartments, and correlation analysis among preys across all baits allowed us to identify functional clusters involved in diverse mitochondrial functions and to assign uncharacterized proteins to specific modules. We demonstrate that this analysis can assign isoforms of the same mitochondrial protein to different mitochondrial sub-compartments and show that some proteins may have multiple cellular locations. Outer membrane baits showed specific proximity interactions with cytosolic proteins and proteins in other organellar membranes, suggesting specialization of proteins responsible for contact site formation between mitochondria and individual organelles.","author":[{"dropping-particle":"","family":"Antonicka","given":"Hana","non-dropping-particle":"","parse-names":false,"suffix":""},{"dropping-particle":"","family":"Lin","given":"Zhen-Yuan","non-dropping-particle":"","parse-names":false,"suffix":""},{"dropping-particle":"","family":"Janer","given":"Alexandre","non-dropping-particle":"","parse-names":false,"suffix":""},{"dropping-particle":"","family":"Aaltonen","given":"Mari J.","non-dropping-particle":"","parse-names":false,"suffix":""},{"dropping-particle":"","family":"Weraarpachai","given":"Woranontee","non-dropping-particle":"","parse-names":false,"suffix":""},{"dropping-particle":"","family":"Gingras","given":"Anne-Claude","non-dropping-particle":"","parse-names":false,"suffix":""},{"dropping-particle":"","family":"Shoubridge","given":"Eric A.","non-dropping-particle":"","parse-names":false,"suffix":""}],"container-title":"Cell Metabolism","id":"ITEM-2","issue":"3","issued":{"date-parts":[["2020","9"]]},"note":"Nme6 in found in strong interaction with RCC1-L protein.","page":"479-497","title":"A High-Density Human Mitochondrial Proximity Interaction Network","type":"article-journal","volume":"32"},"uris":["http://www.mendeley.com/documents/?uuid=81810419-0b42-453a-b720-83a6aef22b79"]},{"id":"ITEM-3","itemData":{"DOI":"10.1126/science.1230593","ISSN":"0036-8075","PMID":"23371551","abstract":"Because mass spectrometry (MS) cannot be performed on living cells, biologists currently recover spatial information indirectly, by purifying organelles or protein complexes prior to MS analysis. These purifications often yield false positives because of sample contamination and false negatives because of material loss. Rhee et al. (p. 1328 , published online 31 January) present an approach that bridges microscopy and proteomics to produce a spatially and temporally resolved proteomic map of mitochondria from living cells. A nonspecific labeling enzyme (peroxidase) was genetically targeted to the mitochondria within live cells, where it tagged endogenous proteins in a spatially restricted manner within a 1-minute window, for subsequent identification and analysis by MS. This rapid and straightforward technology provides the ability to access otherwise inaccessible cellular regions and requires a very small amount of starting material.","author":[{"dropping-particle":"","family":"Rhee","given":"Hyun-Woo","non-dropping-particle":"","parse-names":false,"suffix":""},{"dropping-particle":"","family":"Zou","given":"Peng","non-dropping-particle":"","parse-names":false,"suffix":""},{"dropping-particle":"","family":"Udeshi","given":"Namrata D.","non-dropping-particle":"","parse-names":false,"suffix":""},{"dropping-particle":"","family":"Martell","given":"Jeffrey D.","non-dropping-particle":"","parse-names":false,"suffix":""},{"dropping-particle":"","family":"Mootha","given":"Vamsi K.","non-dropping-particle":"","parse-names":false,"suffix":""},{"dropping-particle":"","family":"Carr","given":"Steven A.","non-dropping-particle":"","parse-names":false,"suffix":""},{"dropping-particle":"","family":"Ting","given":"Alice Y.","non-dropping-particle":"","parse-names":false,"suffix":""}],"container-title":"Science","id":"ITEM-3","issue":"6125","issued":{"date-parts":[["2013","3","15"]]},"note":"Matrix biotin tag of proteins\nNme6 is strongly associated with Matrix (Supplementry tables)","page":"1328-1331","title":"Proteomic Mapping of Mitochondria in Living Cells via Spatially Restricted Enzymatic Tagging","type":"article-journal","volume":"339"},"uris":["http://www.mendeley.com/documents/?uuid=e7c93f5d-24f6-4e28-a9c3-816a36a3aeea"]}],"mendeley":{"formattedCitation":"[112,113,116]","plainTextFormattedCitation":"[112,113,116]","previouslyFormattedCitation":"[112,113,116]"},"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[112,113,116]</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but without making distinction between NME6 isoforms. We designed a co-localization experiment using confocal microscopy, and stained mitochondria using two methods, to avoid false positive results. First, cells were transfected to express a fluorescent protein targeted to mitochondria (CFPmito). A second approach used the common MitoTracker staining solution that incorporates in mitochondria. We confirmed the mitochondrial localization of endogenous NME6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_Ref106009747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31</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and both 194 aa and 186 aa GFP-fused isoforms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_Ref106009756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32</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by confocal microscopy. The C-terminal tagged NME6-GFP isoforms retained the mitochondrial localization over a 24h time-laps period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{"citationItems":[{"id":"ITEM-1","itemData":{"DOI":"10.1186/s13578-021-00707-0","ISSN":"2045-3701","PMID":"34789336","abstract":"BACKGROUND NME6 is a member of the nucleoside diphosphate kinase (NDPK/NME/Nm23) family which has key roles in nucleotide homeostasis, signal transduction, membrane remodeling and metastasis suppression. The well-studied NME1-NME4 proteins are hexameric and catalyze, via a phospho-histidine intermediate, the transfer of the terminal phosphate from (d)NTPs to (d)NDPs (NDP kinase) or proteins (protein histidine kinase). For the NME6, a gene/protein that emerged early in eukaryotic evolution, only scarce and partially inconsistent data are available. Here we aim to clarify and extend our knowledge on the human NME6. RESULTS We show that NME6 is mostly expressed as a 186 amino acid protein, but that a second albeit much less abundant isoform exists. The recombinant NME6 remains monomeric, and does not assemble into homo-oligomers or hetero-oligomers with NME1-NME4. Consequently, NME6 is unable to catalyze phosphotransfer: it does not generate the phospho-histidine intermediate, and no NDPK activity can be detected. In cells, we could resolve and extend existing contradictory reports by localizing NME6 within mitochondria, largely associated with the mitochondrial inner membrane and matrix space. Overexpressing NME6 reduces ADP-stimulated mitochondrial respiration and complex III abundance, thus linking NME6 to dysfunctional oxidative phosphorylation. However, it did not alter mitochondrial membrane potential, mass, or network characteristics. Our screen for NME6 protein partners revealed its association with NME4 and OPA1, but a direct interaction was observed only with RCC1L, a protein involved in mitochondrial ribosome assembly and mitochondrial translation, and identified as essential for oxidative phosphorylation. CONCLUSIONS NME6, RCC1L and mitoribosomes localize together at the inner membrane/matrix space where NME6, in concert with RCC1L, may be involved in regulation of the mitochondrial translation of essential oxidative phosphorylation subunits. Our findings suggest new functions for NME6, independent of the classical phosphotransfer activity associated with NME proteins.","author":[{"dropping-particle":"","family":"Proust","given":"Bastien","non-dropping-particle":"","parse-names":false,"suffix":""},{"dropping-particle":"","family":"Radić","given":"Martina","non-dropping-particle":"","parse-names":false,"suffix":""},{"dropping-particle":"","family":"Vidaček","given":"Nikolina Škrobot","non-dropping-particle":"","parse-names":false,"suffix":""},{"dropping-particle":"","family":"Cottet","given":"Cécile","non-dropping-particle":"","parse-names":false,"suffix":""},{"dropping-particle":"","family":"Attia","given":"Stéphane","non-dropping-particle":"","parse-names":false,"suffix":""},{"dropping-particle":"","family":"Lamarche","given":"Frédéric","non-dropping-particle":"","parse-names":false,"suffix":""},{"dropping-particle":"","family":"Ačkar","given":"Lucija","non-dropping-particle":"","parse-names":false,"suffix":""},{"dropping-particle":"","family":"Mikulčić","given":"Vlatka Godinić","non-dropping-particle":"","parse-names":false,"suffix":""},{"dropping-particle":"","family":"Tokarska-Schlattner","given":"Malgorzata","non-dropping-particle":"","parse-names":false,"suffix":""},{"dropping-particle":"","family":"Ćetković","given":"Helena","non-dropping-particle":"","parse-names":false,"suffix":""},{"dropping-particle":"","family":"Schlattner","given":"Uwe","non-dropping-particle":"","parse-names":false,"suffix":""},{"dropping-particle":"","family":"Bosnar","given":"Maja Herak","non-dropping-particle":"","parse-names":false,"suffix":""}],"container-title":"Cell &amp; Bioscience","id":"ITEM-1","issue":"1","issued":{"date-parts":[["2021","12","17"]]},"page":"195","publisher":"BioMed Central Ltd","title":"NME6 is a phosphotransfer-inactive, monomeric NME/NDPK family member and functions in complexes at the interface of mitochondrial inner membrane and matrix","type":"article-journal","volume":"11"},"uris":["http://www.mendeley.com/documents/?uuid=34765eca-a7db-33c5-98be-33ec310f31f6"]}],"mendeley":{"formattedCitation":"[81]","plainTextFormattedCitation":"[81]","previouslyFormattedCitation":"[81]"},"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[81]</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Interestingly, the GFP-fused proteins failed to localize with mitochondria when the GFP was placed on the N-terminus of </w:t>
      </w:r>
      <w:r w:rsidRPr="003B2CF6">
        <w:rPr>
          <w:rFonts w:ascii="Times New Roman" w:hAnsi="Times New Roman" w:cs="Times New Roman"/>
          <w:sz w:val="24"/>
          <w:szCs w:val="24"/>
        </w:rPr>
        <w:lastRenderedPageBreak/>
        <w:t>NME6, highlighting that this portion of NME6 is important for mitochondrial targeting (data not shown).The mitochondrial localization of endogenous NME6 was further confirmed by cellular fractionation techniques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_Ref106009766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33</w:t>
      </w:r>
      <w:r w:rsidR="007A1636">
        <w:rPr>
          <w:rFonts w:ascii="Times New Roman" w:hAnsi="Times New Roman" w:cs="Times New Roman"/>
          <w:sz w:val="24"/>
          <w:szCs w:val="24"/>
        </w:rPr>
        <w:fldChar w:fldCharType="end"/>
      </w:r>
      <w:r w:rsidR="007A1636">
        <w:rPr>
          <w:rFonts w:ascii="Times New Roman" w:hAnsi="Times New Roman" w:cs="Times New Roman"/>
          <w:sz w:val="24"/>
          <w:szCs w:val="24"/>
        </w:rPr>
        <w:t xml:space="preserve"> and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_Ref107396587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34</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where NME6 was enriched in the pure mitochondrial fraction together with well-defined mitochondrial markers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_Ref107396587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34</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The subfractionation of mitochondria helped to refine the localization of NME6 within the mitochondria. We found that NME6 is not a soluble protein of the IMS, but is rather facing the mitochondrial matrix compartment, probably partially interacting with the MIM</w:t>
      </w:r>
      <w:r w:rsidR="007A1636">
        <w:rPr>
          <w:rFonts w:ascii="Times New Roman" w:hAnsi="Times New Roman" w:cs="Times New Roman"/>
          <w:sz w:val="24"/>
          <w:szCs w:val="24"/>
        </w:rPr>
        <w:t xml:space="preserve">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_Ref106009815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36</w:t>
      </w:r>
      <w:r w:rsidR="007A1636">
        <w:rPr>
          <w:rFonts w:ascii="Times New Roman" w:hAnsi="Times New Roman" w:cs="Times New Roman"/>
          <w:sz w:val="24"/>
          <w:szCs w:val="24"/>
        </w:rPr>
        <w:fldChar w:fldCharType="end"/>
      </w:r>
      <w:r w:rsidR="007A1636">
        <w:rPr>
          <w:rFonts w:ascii="Times New Roman" w:hAnsi="Times New Roman" w:cs="Times New Roman"/>
          <w:sz w:val="24"/>
          <w:szCs w:val="24"/>
        </w:rPr>
        <w:t>)</w:t>
      </w:r>
      <w:r w:rsidRPr="003B2CF6">
        <w:rPr>
          <w:rFonts w:ascii="Times New Roman" w:hAnsi="Times New Roman" w:cs="Times New Roman"/>
          <w:sz w:val="24"/>
          <w:szCs w:val="24"/>
        </w:rPr>
        <w:t xml:space="preserve">. This is consistent with large-scale proteomic studies of the mitochondrial compartments, detecting NME6 in the matrix proteome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{"citationItems":[{"id":"ITEM-1","itemData":{"DOI":"10.1126/science.1230593","ISSN":"0036-8075","PMID":"23371551","abstract":"Because mass spectrometry (MS) cannot be performed on living cells, biologists currently recover spatial information indirectly, by purifying organelles or protein complexes prior to MS analysis. These purifications often yield false positives because of sample contamination and false negatives because of material loss. Rhee et al. (p. 1328 , published online 31 January) present an approach that bridges microscopy and proteomics to produce a spatially and temporally resolved proteomic map of mitochondria from living cells. A nonspecific labeling enzyme (peroxidase) was genetically targeted to the mitochondria within live cells, where it tagged endogenous proteins in a spatially restricted manner within a 1-minute window, for subsequent identification and analysis by MS. This rapid and straightforward technology provides the ability to access otherwise inaccessible cellular regions and requires a very small amount of starting material.","author":[{"dropping-particle":"","family":"Rhee","given":"Hyun-Woo","non-dropping-particle":"","parse-names":false,"suffix":""},{"dropping-particle":"","family":"Zou","given":"Peng","non-dropping-particle":"","parse-names":false,"suffix":""},{"dropping-particle":"","family":"Udeshi","given":"Namrata D.","non-dropping-particle":"","parse-names":false,"suffix":""},{"dropping-particle":"","family":"Martell","given":"Jeffrey D.","non-dropping-particle":"","parse-names":false,"suffix":""},{"dropping-particle":"","family":"Mootha","given":"Vamsi K.","non-dropping-particle":"","parse-names":false,"suffix":""},{"dropping-particle":"","family":"Carr","given":"Steven A.","non-dropping-particle":"","parse-names":false,"suffix":""},{"dropping-particle":"","family":"Ting","given":"Alice Y.","non-dropping-particle":"","parse-names":false,"suffix":""}],"container-title":"Science","id":"ITEM-1","issue":"6125","issued":{"date-parts":[["2013","3","15"]]},"note":"Matrix biotin tag of proteins\nNme6 is strongly associated with Matrix (Supplementry tables)","page":"1328-1331","title":"Proteomic Mapping of Mitochondria in Living Cells via Spatially Restricted Enzymatic Tagging","type":"article-journal","volume":"339"},"uris":["http://www.mendeley.com/documents/?uuid=e7c93f5d-24f6-4e28-a9c3-816a36a3aeea"]}],"mendeley":{"formattedCitation":"[113]","plainTextFormattedCitation":"[113]","previouslyFormattedCitation":"[113]"},"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[113]</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but showing its absence from the IMS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{"citationItems":[{"id":"ITEM-1","itemData":{"DOI":"10.1016/j.molcel.2014.06.003","ISSN":"10972765","PMID":"25002142","abstract":"Obtaining complete protein inventories for subcellular regions is a challenge that often limits our understanding of cellular function, especially for regions that are impossible to purify and are therefore inaccessible to traditional proteomic analysis. We recently developed a method to map proteomes in living cells with an engineered peroxidase (APEX) that bypasses the need for organellar purification when applied to membrane-bound compartments; however, it was insufficiently specific when applied to unbounded regions that allow APEX-generated radicals to escape. Here, we combine APEX technology with a SILAC-based ratiometric tagging strategy to substantially reduce unwanted background and achieve nanometer spatial resolution. This is applied to map the proteome of the mitochondrial intermembrane space (IMS), which can freely exchange smallmolecules with the cytosol. Our IMS proteome of127 proteins has &gt;94% specificity and includes nine newly discovered mitochondrial proteins. This approach will enable scientists to map proteomes of cellular regions that were previously inaccessible. © 2014 Elsevier Inc.","author":[{"dropping-particle":"","family":"Hung","given":"Victoria","non-dropping-particle":"","parse-names":false,"suffix":""},{"dropping-particle":"","family":"Zou","given":"Peng","non-dropping-particle":"","parse-names":false,"suffix":""},{"dropping-particle":"","family":"Rhee","given":"Hyun-Woo","non-dropping-particle":"","parse-names":false,"suffix":""},{"dropping-particle":"","family":"Udeshi","given":"Namrata D.","non-dropping-particle":"","parse-names":false,"suffix":""},{"dropping-particle":"","family":"Cracan","given":"Valentin","non-dropping-particle":"","parse-names":false,"suffix":""},{"dropping-particle":"","family":"Svinkina","given":"Tanya","non-dropping-particle":"","parse-names":false,"suffix":""},{"dropping-particle":"","family":"Carr","given":"Steven A.","non-dropping-particle":"","parse-names":false,"suffix":""},{"dropping-particle":"","family":"Mootha","given":"Vamsi K.","non-dropping-particle":"","parse-names":false,"suffix":""},{"dropping-particle":"","family":"Ting","given":"Alice Y.","non-dropping-particle":"","parse-names":false,"suffix":""}],"container-title":"Molecular Cell","id":"ITEM-1","issue":"2","issued":{"date-parts":[["2014","7"]]},"note":"IMS biotin tag of protein\nNme6 is not associated with IMS (supplementrary tables)","page":"332-341","title":"Proteomic Mapping of the Human Mitochondrial Intermembrane Space in Live Cells via Ratiometric APEX Tagging","type":"article-journal","volume":"55"},"uris":["http://www.mendeley.com/documents/?uuid=762b1d10-463c-4ece-b5c8-78c44d41f608"]}],"mendeley":{"formattedCitation":"[114]","plainTextFormattedCitation":"[114]","previouslyFormattedCitation":"[114]"},"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[114]</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or MOM-facing-cytosol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{"citationItems":[{"id":"ITEM-1","itemData":{"DOI":"10.7554/eLife.24463","ISSN":"2050-084X","PMID":"28441135","abstract":"The cytosol-facing membranes of cellular organelles contain proteins that enable signal transduction, regulation of morphology and trafficking, protein import and export, and other specialized processes. Discovery of these proteins by traditional biochemical fractionation can be plagued with contaminants and loss of key components. Using peroxidase-mediated proximity biotinylation, we captured and identified endogenous proteins on the outer mitochondrial membrane (OMM) and endoplasmic reticulum membrane (ERM) of living human fibroblasts. The proteomes of 137 and 634 proteins, respectively, are highly specific and highlight 94 potentially novel mitochondrial or ER proteins. Dataset intersection identified protein candidates potentially localized to mitochondria-ER contact sites. We found that one candidate, the tail-anchored, PDZ-domain-containing OMM protein SYNJ2BP, dramatically increases mitochondrial contacts with rough ER when overexpressed. Immunoprecipitation-mass spectrometry identified ribosome-binding protein 1 (RRBP1) as SYNJ2BP’s ERM binding partner. Our results highlight the power of proximity biotinylation to yield insights into the molecular composition and function of intracellular membranes.","author":[{"dropping-particle":"","family":"Hung","given":"Victoria","non-dropping-particle":"","parse-names":false,"suffix":""},{"dropping-particle":"","family":"Lam","given":"Stephanie S.","non-dropping-particle":"","parse-names":false,"suffix":""},{"dropping-particle":"","family":"Udeshi","given":"Namrata D.","non-dropping-particle":"","parse-names":false,"suffix":""},{"dropping-particle":"","family":"Svinkina","given":"Tanya","non-dropping-particle":"","parse-names":false,"suffix":""},{"dropping-particle":"","family":"Guzman","given":"Gaelen","non-dropping-particle":"","parse-names":false,"suffix":""},{"dropping-particle":"","family":"Mootha","given":"Vamsi K.","non-dropping-particle":"","parse-names":false,"suffix":""},{"dropping-particle":"","family":"Carr","given":"Steven A.","non-dropping-particle":"","parse-names":false,"suffix":""},{"dropping-particle":"","family":"Ting","given":"Alice Y.","non-dropping-particle":"","parse-names":false,"suffix":""}],"container-title":"eLife","id":"ITEM-1","issued":{"date-parts":[["2017","4","25"]]},"page":"e24463","title":"Proteomic mapping of cytosol-facing outer mitochondrial and ER membranes in living human cells by proximity biotinylation","type":"article-journal","volume":"6"},"uris":["http://www.mendeley.com/documents/?uuid=3cf63996-2f7d-4f5c-90cf-29e11d9b047d"]}],"mendeley":{"formattedCitation":"[115]","plainTextFormattedCitation":"[115]","previouslyFormattedCitation":"[115]"},"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[115]</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proteomes. </w:t>
      </w:r>
    </w:p>
    <w:p w14:paraId="3FF2D6FA" w14:textId="720A9759"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NME6 is deprived of the classical cleavable N-terminal mitochondrial targeting sequence (MTS), but still localizes within the mitochondrial matrix. The import pathway of the protein is still unclear, but a possible internal MTS (iMTS) could help the entry of NME6 in the mitochondria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{"citationItems":[{"id":"ITEM-1","itemData":{"DOI":"10.1515/hsz-2021-0185","ISSN":"1431-6730","PMID":"34218542","abstract":"Matrix targeting sequences (MTSs) direct proteins from the cytosol into mitochondria. Efficient targeting often relies on internal matrix targeting-like sequences (iMTS-Ls) which share structural features with MTSs. Predicting iMTS-Ls was tedious and required multiple tools and webservices. We present iMLP, a deep learning approach for the prediction of iMTS-Ls in protein sequences. A recurrent neural network has been trained to predict iMTS-L propensity profiles for protein sequences of interest. The iMLP predictor considerably exceeds the speed of existing approaches. Expanding on our previous work on iMTS-L prediction, we now serve an intuitive iMLP webservice available at http://iMLP.bio.uni-kl.de and a stand-alone command line tool for power user in addition.","author":[{"dropping-particle":"","family":"Schneider","given":"Kevin","non-dropping-particle":"","parse-names":false,"suffix":""},{"dropping-particle":"","family":"Zimmer","given":"David","non-dropping-particle":"","parse-names":false,"suffix":""},{"dropping-particle":"","family":"Nielsen","given":"Henrik","non-dropping-particle":"","parse-names":false,"suffix":""},{"dropping-particle":"","family":"Herrmann","given":"Johannes M.","non-dropping-particle":"","parse-names":false,"suffix":""},{"dropping-particle":"","family":"Mühlhaus","given":"Timo","non-dropping-particle":"","parse-names":false,"suffix":""}],"container-title":"Biological Chemistry","id":"ITEM-1","issue":"8","issued":{"date-parts":[["2021","7","27"]]},"page":"937-943","publisher":"De Gruyter Open Ltd","title":"iMLP, a predictor for internal matrix targeting-like sequences in mitochondrial proteins","type":"article-journal","volume":"402"},"uris":["http://www.mendeley.com/documents/?uuid=1e0db018-d961-3f31-a7c6-2e634527a6e2"]},{"id":"ITEM-2","itemData":{"DOI":"10.15252/embj.2021109519","ISSN":"0261-4189","PMID":"34786732","abstract":"Mitochondrial ribosomes are complex molecular machines indispensable for respiration. Their assembly involves the import of several dozens of mitochondrial ribosomal proteins (MRPs), encoded in the nuclear genome, into the mitochondrial matrix. Proteomic and structural data as well as computational predictions indicate that up to 25% of yeast MRPs do not have a conventional N-terminal mitochondrial targeting signal (MTS). We experimentally characterized a set of 15 yeast MRPs in vivo and found that five use internal MTSs. Further analysis of a conserved model MRP, Mrp17/bS6m, revealed the identity of the internal targeting signal. Similar to conventional MTS-containing proteins, the internal sequence mediates binding to TOM complexes. The entire sequence of Mrp17 contains positive charges mediating translocation. The fact that these sequence properties could not be reliably predicted by standard methods shows that mitochon-drial protein targeting is more versatile than expected. We hypothesize that structural constraints imposed by ribosome assembly interfaces may have disfavored N-terminal presequences and driven the evolution of internal targeting signals in MRPs.","author":[{"dropping-particle":"","family":"Bykov","given":"Yury S","non-dropping-particle":"","parse-names":false,"suffix":""},{"dropping-particle":"","family":"Flohr","given":"Tamara","non-dropping-particle":"","parse-names":false,"suffix":""},{"dropping-particle":"","family":"Boos","given":"Felix","non-dropping-particle":"","parse-names":false,"suffix":""},{"dropping-particle":"","family":"Zung","given":"Naama","non-dropping-particle":"","parse-names":false,"suffix":""},{"dropping-particle":"","family":"Herrmann","given":"Johannes M","non-dropping-particle":"","parse-names":false,"suffix":""},{"dropping-particle":"","family":"Schuldiner","given":"Maya","non-dropping-particle":"","parse-names":false,"suffix":""}],"container-title":"The EMBO Journal","id":"ITEM-2","issue":"1","issued":{"date-parts":[["2022","1","4"]]},"page":"e109519","publisher":"European Molecular Biology Organization","title":"Widespread use of unconventional targeting signals in mitochondrial ribosome proteins","type":"article-journal","volume":"41"},"uris":["http://www.mendeley.com/documents/?uuid=8c753c32-9ac2-37c4-90c2-31e1f59f6afd"]},{"id":"ITEM-3","itemData":{"DOI":"10.1083/jcb.201708044","ISSN":"0021-9525","PMID":"29382700","abstract":"The biogenesis of mitochondria depends on the import of hundreds of preproteins. N-terminal matrix-targeting signals (MTSs) direct preproteins to the surface receptors Tom20, Tom22, and Tom70. In this study, we show that many preproteins contain additional internal MTS-like signals (iMTS-Ls) in their mature region that share the characteristic properties of presequences. These features allow the in silico prediction of iMTS-Ls. Using Atp1 as model substrate, we show that iMTS-Ls mediate the binding to Tom70 and have the potential to target the protein to mitochondria if they are presented at its N terminus. The import of preproteins with high iMTS-L content is significantly impaired in the absence of Tom70, whereas preproteins with low iMTS-L scores are less dependent on Tom70. We propose a stepping stone model according to which the Tom70-mediated interaction with internal binding sites improves the import competence of preproteins and increases the efficiency of their translocation into the mitochondrial matrix.","author":[{"dropping-particle":"","family":"Backes","given":"Sandra","non-dropping-particle":"","parse-names":false,"suffix":""},{"dropping-particle":"","family":"Hess","given":"Steffen","non-dropping-particle":"","parse-names":false,"suffix":""},{"dropping-particle":"","family":"Boos","given":"Felix","non-dropping-particle":"","parse-names":false,"suffix":""},{"dropping-particle":"","family":"Woellhaf","given":"Michael W.","non-dropping-particle":"","parse-names":false,"suffix":""},{"dropping-particle":"","family":"Gödel","given":"Sabrina","non-dropping-particle":"","parse-names":false,"suffix":""},{"dropping-particle":"","family":"Jung","given":"Martin","non-dropping-particle":"","parse-names":false,"suffix":""},{"dropping-particle":"","family":"Mühlhaus","given":"Timo","non-dropping-particle":"","parse-names":false,"suffix":""},{"dropping-particle":"","family":"Herrmann","given":"Johannes M.","non-dropping-particle":"","parse-names":false,"suffix":""}],"container-title":"Journal of Cell Biology","id":"ITEM-3","issue":"4","issued":{"date-parts":[["2018","4","2"]]},"page":"1369-1382","publisher":"The Rockefeller University Press","title":"Tom70 enhances mitochondrial preprotein import efficiency by binding to internal targeting sequences","type":"article-journal","volume":"217"},"uris":["http://www.mendeley.com/documents/?uuid=881f1257-552c-3ee9-a28a-dc1c46f3be0d"]}],"mendeley":{"formattedCitation":"[50,51,141]","plainTextFormattedCitation":"[50,51,141]","previouslyFormattedCitation":"[50,51,141]"},"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[50,51,141]</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Indeed, an iMTS predictor service predicted a high iMTS propensity for the middle section of the NME6 protein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{"citationItems":[{"id":"ITEM-1","itemData":{"DOI":"10.1515/hsz-2021-0185","ISSN":"1431-6730","PMID":"34218542","abstract":"Matrix targeting sequences (MTSs) direct proteins from the cytosol into mitochondria. Efficient targeting often relies on internal matrix targeting-like sequences (iMTS-Ls) which share structural features with MTSs. Predicting iMTS-Ls was tedious and required multiple tools and webservices. We present iMLP, a deep learning approach for the prediction of iMTS-Ls in protein sequences. A recurrent neural network has been trained to predict iMTS-L propensity profiles for protein sequences of interest. The iMLP predictor considerably exceeds the speed of existing approaches. Expanding on our previous work on iMTS-L prediction, we now serve an intuitive iMLP webservice available at http://iMLP.bio.uni-kl.de and a stand-alone command line tool for power user in addition.","author":[{"dropping-particle":"","family":"Schneider","given":"Kevin","non-dropping-particle":"","parse-names":false,"suffix":""},{"dropping-particle":"","family":"Zimmer","given":"David","non-dropping-particle":"","parse-names":false,"suffix":""},{"dropping-particle":"","family":"Nielsen","given":"Henrik","non-dropping-particle":"","parse-names":false,"suffix":""},{"dropping-particle":"","family":"Herrmann","given":"Johannes M.","non-dropping-particle":"","parse-names":false,"suffix":""},{"dropping-particle":"","family":"Mühlhaus","given":"Timo","non-dropping-particle":"","parse-names":false,"suffix":""}],"container-title":"Biological Chemistry","id":"ITEM-1","issue":"8","issued":{"date-parts":[["2021","7","27"]]},"page":"937-943","publisher":"De Gruyter Open Ltd","title":"iMLP, a predictor for internal matrix targeting-like sequences in mitochondrial proteins","type":"article-journal","volume":"402"},"uris":["http://www.mendeley.com/documents/?uuid=1e0db018-d961-3f31-a7c6-2e634527a6e2"]},{"id":"ITEM-2","itemData":{"URL":"http://imlp.bio.uni-kl.de/","accessed":{"date-parts":[["2022","7","1"]]},"id":"ITEM-2","issued":{"date-parts":[["0"]]},"title":"iMLP : iMTS-L Prediction","type":"webpage"},"uris":["http://www.mendeley.com/documents/?uuid=6013d147-c2f1-3ccb-bb8c-8f28f39fcbd8"]}],"mendeley":{"formattedCitation":"[51,142]","plainTextFormattedCitation":"[51,142]","previouslyFormattedCitation":"[51,142]"},"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[51,142]</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which was confirmed by another approach described by Backes et al., using the TargetP algorithm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{"citationItems":[{"id":"ITEM-1","itemData":{"DOI":"10.1083/jcb.201708044","ISSN":"0021-9525","PMID":"29382700","abstract":"The biogenesis of mitochondria depends on the import of hundreds of preproteins. N-terminal matrix-targeting signals (MTSs) direct preproteins to the surface receptors Tom20, Tom22, and Tom70. In this study, we show that many preproteins contain additional internal MTS-like signals (iMTS-Ls) in their mature region that share the characteristic properties of presequences. These features allow the in silico prediction of iMTS-Ls. Using Atp1 as model substrate, we show that iMTS-Ls mediate the binding to Tom70 and have the potential to target the protein to mitochondria if they are presented at its N terminus. The import of preproteins with high iMTS-L content is significantly impaired in the absence of Tom70, whereas preproteins with low iMTS-L scores are less dependent on Tom70. We propose a stepping stone model according to which the Tom70-mediated interaction with internal binding sites improves the import competence of preproteins and increases the efficiency of their translocation into the mitochondrial matrix.","author":[{"dropping-particle":"","family":"Backes","given":"Sandra","non-dropping-particle":"","parse-names":false,"suffix":""},{"dropping-particle":"","family":"Hess","given":"Steffen","non-dropping-particle":"","parse-names":false,"suffix":""},{"dropping-particle":"","family":"Boos","given":"Felix","non-dropping-particle":"","parse-names":false,"suffix":""},{"dropping-particle":"","family":"Woellhaf","given":"Michael W.","non-dropping-particle":"","parse-names":false,"suffix":""},{"dropping-particle":"","family":"Gödel","given":"Sabrina","non-dropping-particle":"","parse-names":false,"suffix":""},{"dropping-particle":"","family":"Jung","given":"Martin","non-dropping-particle":"","parse-names":false,"suffix":""},{"dropping-particle":"","family":"Mühlhaus","given":"Timo","non-dropping-particle":"","parse-names":false,"suffix":""},{"dropping-particle":"","family":"Herrmann","given":"Johannes M.","non-dropping-particle":"","parse-names":false,"suffix":""}],"container-title":"Journal of Cell Biology","id":"ITEM-1","issue":"4","issued":{"date-parts":[["2018","4","2"]]},"page":"1369-1382","publisher":"The Rockefeller University Press","title":"Tom70 enhances mitochondrial preprotein import efficiency by binding to internal targeting sequences","type":"article-journal","volume":"217"},"uris":["http://www.mendeley.com/documents/?uuid=881f1257-552c-3ee9-a28a-dc1c46f3be0d"]}],"mendeley":{"formattedCitation":"[141]","plainTextFormattedCitation":"[141]","previouslyFormattedCitation":"[141]"},"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[141]</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Lately, a team working with mitochondrial import of mitoribosome proteins in yeast demonstrated that some iMTS, corresponding to TOM20-binding motifs together with positive charges along the short protein Mrp17, was sufficient to trigger mitochondrial protein import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{"citationItems":[{"id":"ITEM-1","itemData":{"DOI":"10.15252/embj.2021109519","ISSN":"0261-4189","PMID":"34786732","abstract":"Mitochondrial ribosomes are complex molecular machines indispensable for respiration. Their assembly involves the import of several dozens of mitochondrial ribosomal proteins (MRPs), encoded in the nuclear genome, into the mitochondrial matrix. Proteomic and structural data as well as computational predictions indicate that up to 25% of yeast MRPs do not have a conventional N-terminal mitochondrial targeting signal (MTS). We experimentally characterized a set of 15 yeast MRPs in vivo and found that five use internal MTSs. Further analysis of a conserved model MRP, Mrp17/bS6m, revealed the identity of the internal targeting signal. Similar to conventional MTS-containing proteins, the internal sequence mediates binding to TOM complexes. The entire sequence of Mrp17 contains positive charges mediating translocation. The fact that these sequence properties could not be reliably predicted by standard methods shows that mitochon-drial protein targeting is more versatile than expected. We hypothesize that structural constraints imposed by ribosome assembly interfaces may have disfavored N-terminal presequences and driven the evolution of internal targeting signals in MRPs.","author":[{"dropping-particle":"","family":"Bykov","given":"Yury S","non-dropping-particle":"","parse-names":false,"suffix":""},{"dropping-particle":"","family":"Flohr","given":"Tamara","non-dropping-particle":"","parse-names":false,"suffix":""},{"dropping-particle":"","family":"Boos","given":"Felix","non-dropping-particle":"","parse-names":false,"suffix":""},{"dropping-particle":"","family":"Zung","given":"Naama","non-dropping-particle":"","parse-names":false,"suffix":""},{"dropping-particle":"","family":"Herrmann","given":"Johannes M","non-dropping-particle":"","parse-names":false,"suffix":""},{"dropping-particle":"","family":"Schuldiner","given":"Maya","non-dropping-particle":"","parse-names":false,"suffix":""}],"container-title":"The EMBO Journal","id":"ITEM-1","issue":"1","issued":{"date-parts":[["2022","1","4"]]},"page":"e109519","publisher":"European Molecular Biology Organization","title":"Widespread use of unconventional targeting signals in mitochondrial ribosome proteins","type":"article-journal","volume":"41"},"uris":["http://www.mendeley.com/documents/?uuid=8c753c32-9ac2-37c4-90c2-31e1f59f6afd"]}],"mendeley":{"formattedCitation":"[50]","plainTextFormattedCitation":"[50]","previouslyFormattedCitation":"[50]"},"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[50]</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NME6 displays in its sequence five typical TOM20-binding motifs </w:t>
      </w:r>
      <w:r w:rsidRPr="003B2CF6">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{"citationItems":[{"id":"ITEM-1","itemData":{"DOI":"10.1016/S0022-2836(03)00288-2","ISSN":"00222836","PMID":"12691756","abstract":"Many mitochondrial matrix and inner-membrane proteins are synthesized in the cytosol as precursor proteins with an N-terminal presequence, and are imported into the mitochondria. Although no distinct sequence homology has been found among mitochondrial presequences, Tom20, a general import receptor in the outer mitohcondrial membrane, binds to presequences, and distinguishes mitochondrial proteins from non-mitochonrial proteins. The recently determined structure of the cytosolic domain of Tom20 (ΔTom20) in a complex with the presequence of rat aldehyde dehydrogenase (ALDH) showed that a short stretch of the presequence forms an amphiphilic helix, and its hydrophobic surface interacts with the hydrophobic-binding groove of Tom20. The following NMR analyses revealed a common five-residue pattern for Tom20 binding in five different presequences. To refine the common amino acid motif for the recognition by Tom20, we introduced a new peptide library approach in this study: we prepared a mixture of ALDH presequence variants, tethered these peptides to ΔTom20 in a competitive manner by an intermolecular disulfide bond, and determined the relative affinities by MALDI-TOF mass spectrometry. We successfully deduced a refined, common motif for the recognition by Tom20, and found that the segment consisting of residues 14-20 of the ALDH presequence was locally optimized in the sequence space, with respect to Tom20 binding. © 2003 Elsevier Science Ltd. All rights reserved.","author":[{"dropping-particle":"","family":"Obita","given":"Takayuki","non-dropping-particle":"","parse-names":false,"suffix":""},{"dropping-particle":"","family":"Muto","given":"Takanori","non-dropping-particle":"","parse-names":false,"suffix":""},{"dropping-particle":"","family":"Endo","given":"Toshiya","non-dropping-particle":"","parse-names":false,"suffix":""},{"dropping-particle":"","family":"Kohda","given":"Daisuke","non-dropping-particle":"","parse-names":false,"suffix":""}],"container-title":"Journal of Molecular Biology","id":"ITEM-1","issue":"2","issued":{"date-parts":[["2003","4","25"]]},"page":"495-504","publisher":"Academic Press","title":"Peptide Library Approach with a Disulfide Tether to Refine the Tom20 Recognition Motif in Mitochondrial Presequences","type":"article-journal","volume":"328"},"uris":["http://www.mendeley.com/documents/?uuid=f057cc11-79d7-3043-9454-f37f26f53e88"]},{"id":"ITEM-2","itemData":{"DOI":"10.1074/mcp.M114.043083","ISSN":"15359476","PMID":"25670805","abstract":"Mitochondria provide numerous essential functions for cells and their dysfunction leads to a variety of diseases. Thus, obtaining a complete mitochondrial proteome should be a crucial step toward understanding the roles of mitochondria. Many mitochondrial proteins have been identified experimentally but a complete list is not yet available. To fill this gap, methods to computationally predict mitochondrial proteins from amino acid sequence have been developed and are widely used, but unfortunately, their accuracy is far from perfect. Here we describe MitoFates, an improved prediction method for cleavable N-terminal mitochondrial targeting signals (presequences) and their cleavage sites. MitoFates introduces novel sequence features including positively charged amphiphilicity, presequence motifs, and position weight matrices modeling the presequence cleavage sites. These features are combined with classical ones such as amino acid composition and physico-chemical properties as input to a standard support vector machine classifier. On independent test data, MitoFates attains better performance than existing predictors in both detection of presequences and in predicting their cleavage sites. We used MitoFates to look for undiscovered mitochondrial proteins from 42,217 human proteins (including isoforms such as alternative splicing or translation initiation variants). MitoFates predicts 1167 genes to have at least one isoform with a presequence. Five-hundred and eighty of these genes were not annotated as mitochondrial in either UniProt or Gene Ontology. Interestingly, these include candidate regulators of parkin translocation to damaged mitochondria, and also many genes with known disease mutations, suggesting that careful investigation of Mito- Fates predictions may be helpful in elucidating the role of mitochondria in health and disease. MitoFates is open source with a convenient web server publicly available.","author":[{"dropping-particle":"","family":"Fukasawa","given":"Yoshinori","non-dropping-particle":"","parse-names":false,"suffix":""},{"dropping-particle":"","family":"Tsuji","given":"Junko","non-dropping-particle":"","parse-names":false,"suffix":""},{"dropping-particle":"","family":"Fu","given":"Szu-Chin","non-dropping-particle":"","parse-names":false,"suffix":""},{"dropping-particle":"","family":"Tomii","given":"Kentaro","non-dropping-particle":"","parse-names":false,"suffix":""},{"dropping-particle":"","family":"Horton","given":"Paul","non-dropping-particle":"","parse-names":false,"suffix":""},{"dropping-particle":"","family":"Imai","given":"Kenichiro","non-dropping-particle":"","parse-names":false,"suffix":""}],"container-title":"Molecular &amp; Cellular Proteomics","id":"ITEM-2","issue":"4","issued":{"date-parts":[["2015","4","1"]]},"page":"1113-1126","publisher":"American Society for Biochemistry and Molecular Biology","title":"MitoFates: Improved Prediction of Mitochondrial Targeting Sequences and Their Cleavage Sites","type":"article-journal","volume":"14"},"uris":["http://www.mendeley.com/documents/?uuid=08abb37d-9dde-376a-91bd-1fc58c88676f"]},{"id":"ITEM-3","itemData":{"DOI":"10.1007/s11248-019-00176-9","ISSN":"0962-8819","PMID":"31598902","abstract":"Mitochondria fulfil essential functions in respiration and metabolism as well as regulating stress responses and apoptosis. Most native mitochondrial proteins are encoded by nuclear genes and are imported into mitochondria via one of several receptors that recognize N-terminal signal peptides. The targeting of recombinant proteins to mitochondria therefore requires the presence of an appropriate N-terminal peptide, but little is known about mitochondrial import in monocotyledonous plants such as rice ( Oryza sativa ). To gain insight into this phenomenon, we targeted nuclear-encoded enhanced green fluorescent protein (eGFP) to rice mitochondria using six mitochondrial pre-sequences with diverse phylogenetic origins, and investigated their effectiveness by immunoblot analysis as well as confocal and electron microscopy. We found that the ATPA and COX4 ( Saccharomyces cerevisiae ), SU9 ( Neurospora crassa ), pFA ( Arabidopsis thaliana ) and OsSCSb ( Oryza sativa ) peptides successfully directed most of the eGFP to the mitochondria, whereas the MTS2 peptide ( Nicotiana plumbaginifolia ) showed little or no evidence of targeting ability even though it is a native plant sequence. Our data therefore indicate that the presence of particular recognition motifs may be required for mitochondrial targeting, whereas the phylogenetic origin of the pre-sequences probably does not play a key role in the success of mitochondrial targeting in dedifferentiated rice callus and plants.","author":[{"dropping-particle":"","family":"Baysal","given":"Can","non-dropping-particle":"","parse-names":false,"suffix":""},{"dropping-particle":"","family":"Pérez-González","given":"Ana","non-dropping-particle":"","parse-names":false,"suffix":""},{"dropping-particle":"","family":"Eseverri","given":"Álvaro","non-dropping-particle":"","parse-names":false,"suffix":""},{"dropping-particle":"","family":"Jiang","given":"Xi","non-dropping-particle":"","parse-names":false,"suffix":""},{"dropping-particle":"","family":"Medina","given":"Vicente","non-dropping-particle":"","parse-names":false,"suffix":""},{"dropping-particle":"","family":"Caro","given":"Elena","non-dropping-particle":"","parse-names":false,"suffix":""},{"dropping-particle":"","family":"Rubio","given":"Luis","non-dropping-particle":"","parse-names":false,"suffix":""},{"dropping-particle":"","family":"Christou","given":"Paul","non-dropping-particle":"","parse-names":false,"suffix":""},{"dropping-particle":"","family":"Zhu","given":"Changfu","non-dropping-particle":"","parse-names":false,"suffix":""}],"container-title":"Transgenic Research","id":"ITEM-3","issue":"1","issued":{"date-parts":[["2020","2","10"]]},"page":"37-52","publisher":"Springer","title":"Recognition motifs rather than phylogenetic origin influence the ability of targeting peptides to import nuclear-encoded recombinant proteins into rice mitochondria","type":"article-journal","volume":"29"},"uris":["http://www.mendeley.com/documents/?uuid=f9ac0bb3-ed0f-3760-95a8-31f31d260f82"]}],"mendeley":{"formattedCitation":"[143–145]","plainTextFormattedCitation":"[143–145]","previouslyFormattedCitation":"[143–145]"},"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[143–145]</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and their </w:t>
      </w:r>
      <w:r w:rsidRPr="003B2CF6">
        <w:rPr>
          <w:rFonts w:ascii="Times New Roman" w:hAnsi="Times New Roman" w:cs="Times New Roman"/>
          <w:i/>
          <w:sz w:val="24"/>
          <w:szCs w:val="24"/>
        </w:rPr>
        <w:t xml:space="preserve">in-silico </w:t>
      </w:r>
      <w:r w:rsidRPr="003B2CF6">
        <w:rPr>
          <w:rFonts w:ascii="Times New Roman" w:hAnsi="Times New Roman" w:cs="Times New Roman"/>
          <w:sz w:val="24"/>
          <w:szCs w:val="24"/>
        </w:rPr>
        <w:t xml:space="preserve">mutation drastically reduced the predicted iMTS propensity of NME6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{"citationItems":[{"id":"ITEM-1","itemData":{"URL":"http://imlp.bio.uni-kl.de/","accessed":{"date-parts":[["2022","7","1"]]},"id":"ITEM-1","issued":{"date-parts":[["0"]]},"title":"iMLP : iMTS-L Prediction","type":"webpage"},"uris":["http://www.mendeley.com/documents/?uuid=6013d147-c2f1-3ccb-bb8c-8f28f39fcbd8"]}],"mendeley":{"formattedCitation":"[142]","plainTextFormattedCitation":"[142]","previouslyFormattedCitation":"[142]"},"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[142]</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Whether those mutations can preclude the mitochondrial localization of the protein in vivo still need to be demonstrated.</w:t>
      </w:r>
    </w:p>
    <w:p w14:paraId="622E066A" w14:textId="4793B374"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As described in numerous journal articles and reviews of the NME family, the NDPK activity specific for those proteins is detectable under certain conditions. According to the available literature, NME proteins displaying NDPK activity form oligomers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{"citationItems":[{"id":"ITEM-1","itemData":{"ISSN":"0021-9258","PMID":"1851158","abstract":"Human erythrocyte nucleoside-diphosphate kinase (NDP kinase) is a hexameric enzyme consisting of two kinds of polypeptide chains, A and B. By random association (A6, A5B...AB5, B6) these polypeptides form isoenzymes differing in their isoelectric point. Chains A and B of NDP kinase were purified by ion-exchange chromatography under denaturing conditions. Upon mixing and renaturation, the isozymic pattern of NDP kinase obtained by conventional methods was restored. Antibodies raised against purified chains showed significant cross-reactivity, both in immunoblot experiments and activity inhibition studies. Sequence determination showed that both chains consisted of 152 amino acid residues corresponding to Mr or 17,143 (chain A) and 17,294 (chain B), respectively. There was high homology between the two sequences (88% identity). The phosphorylation site on the enzyme is located at His-118. Chain A was identical with human Nm23 protein, which has been reported as a potential suppressor protein in tumor metastasis and chain B was identical with Nm23-H2 protein.","author":[{"dropping-particle":"","family":"Gilles","given":"A M","non-dropping-particle":"","parse-names":false,"suffix":""},{"dropping-particle":"","family":"Presecan","given":"E","non-dropping-particle":"","parse-names":false,"suffix":""},{"dropping-particle":"","family":"Vonica","given":"A","non-dropping-particle":"","parse-names":false,"suffix":""},{"dropping-particle":"","family":"Lascu","given":"I","non-dropping-particle":"","parse-names":false,"suffix":""}],"container-title":"The Journal of biological chemistry","id":"ITEM-1","issue":"14","issued":{"date-parts":[["1991","5","15"]]},"page":"8784-9","title":"Nucleoside diphosphate kinase from human erythrocytes. Structural characterization of the two polypeptide chains responsible for heterogeneity of the hexameric enzyme.","type":"article-journal","volume":"266"},"uris":["http://www.mendeley.com/documents/?uuid=021fc962-263a-41ad-95d4-3c91be8d5f28"]},{"id":"ITEM-2","itemData":{"DOI":"10.3390/ijms21186779","ISSN":"1422-0067","PMID":"32947863","abstract":"Nucleoside diphosphate kinases (NDPK) are oligomeric proteins involved in the synthesis of nucleoside triphosphates. Their tridimensional structure has been solved by X-ray crystallography and shows that individual subunits present a conserved ferredoxin fold of about 140 residues in prokaryotes, archaea, eukaryotes and viruses. Monomers are functionally independent from each other inside NDPK complexes and the nucleoside kinase catalytic mechanism involves transient phosphorylation of the conserved catalytic histidine. To be active, monomers must assemble into conserved head to tail dimers, which further assemble into hexamers or tetramers. The interfaces between these oligomeric states are very different but, surprisingly, the assembly structure barely affects the catalytic efficiency of the enzyme. While it has been shown that assembly into hexamers induces full formation of the catalytic site and stabilizes the complex, it is unclear why assembly into tetramers is required for function. Several additional activities have been revealed for NDPK, especially in metastasis spreading, cytoskeleton dynamics, DNA binding and membrane remodeling. However, we still lack the high resolution structural data of NDPK in complex with different partners, which is necessary for deciphering the mechanism of these diverse functions. In this review we discuss advances in the structure, folding and stability of NDPKs.","author":[{"dropping-particle":"","family":"Georgescauld","given":"Florian","non-dropping-particle":"","parse-names":false,"suffix":""},{"dropping-particle":"","family":"Song","given":"Yuyu","non-dropping-particle":"","parse-names":false,"suffix":""},{"dropping-particle":"","family":"Dautant","given":"Alain","non-dropping-particle":"","parse-names":false,"suffix":""}],"container-title":"International Journal of Molecular Sciences","id":"ITEM-2","issue":"18","issued":{"date-parts":[["2020","9","16"]]},"page":"6779","publisher":"Multidisciplinary Digital Publishing Institute","title":"Structure, Folding and Stability of Nucleoside Diphosphate Kinases","type":"article-journal","volume":"21"},"uris":["http://www.mendeley.com/documents/?uuid=acbdca8a-96f5-39ba-8f0c-4304c34840dc"]},{"id":"ITEM-3","itemData":{"DOI":"10.1023/A:1005580828141","ISSN":"1573-6881","PMID":"11768306","abstract":"Nucleoside (NDP) diphosphate kinases are oligomeric enzymes. Most are hexameric, but somebacterial enzymes are tetrameric. Hexamers and tetramers are constructed by assemblingidentical dimers. The hexameric structure is important for protein stability, as demonstratedby studies with natural mutants (the Killer-of-prune mutant ofDrosophila NDP kinase andthe S120G mutant of the human NDP kinase A in neuroblastomas) and with mutants obtainedby site-directed mutagenesis. It is also essential for enzymic activity. The function of the tetrameric structure is unclear.","author":[{"dropping-particle":"","family":"Lascu","given":"Ioan","non-dropping-particle":"","parse-names":false,"suffix":""},{"dropping-particle":"","family":"Giartosio","given":"St</w:instrText>
      </w:r>
      <w:r>
        <w:rPr>
          <w:rFonts w:ascii="Tahoma" w:hAnsi="Tahoma" w:cs="Tahoma"/>
          <w:sz w:val="24"/>
          <w:szCs w:val="24"/>
        </w:rPr>
        <w:instrText>�</w:instrText>
      </w:r>
      <w:r>
        <w:rPr>
          <w:rFonts w:ascii="Times New Roman" w:hAnsi="Times New Roman" w:cs="Times New Roman"/>
          <w:sz w:val="24"/>
          <w:szCs w:val="24"/>
        </w:rPr>
        <w:instrText>phane","non-dropping-particle":"","parse-names":false,"suffix":""},{"dropping-particle":"","family":"Ransac","given":"Anna","non-dropping-particle":"","parse-names":false,"suffix":""},{"dropping-particle":"","family":"Erent","given":"Muriel","non-dropping-particle":"","parse-names":false,"suffix":""}],"container-title":"Journal of Bioenergetics and Biomembranes","id":"ITEM-3","issue":"3","issued":{"date-parts":[["2000"]]},"page":"227-236","publisher":"Springer","title":"Quaternary Structure of Nucleoside Diphosphate Kinases","type":"article-journal","volume":"32"},"uris":["http://www.mendeley.com/documents/?uuid=e6946b4e-a1e8-3f44-b9f8-70ece5269d17"]}],"mendeley":{"formattedCitation":"[10,13,66]","plainTextFormattedCitation":"[10,13,66]","previouslyFormattedCitation":"[10,13,66]"},"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[10,13,66]</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and, therefore, the oligomerization is deemed essential for their enzymatic activity. Homohexamers, an assembly of 6 monomers of the same protein into higher quaternary structure, or heterohexamers, an assembly of 6 monomers from different NME protein (for example NME1 and NME2) were found in eukaryote, archaea and some bacteria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{"citationItems":[{"id":"ITEM-1","itemData":{"DOI":"10.1002/j.1460-2075.1992.tb05397.x","ISSN":"02614189","PMID":"1324167","abstract":"The X-ray structure of a point mutant of nucleoside diphosphate kinase (NDP kinase) from Dictyostelium discoideum has been determined to 2.2 A resolution. The enzyme is a hexamer made of identical subunits with a novel mononucleotide binding fold. Each subunit contains an alpha/beta domain with a four stranded, antiparallel beta-sheet. The topology is different from adenylate kinase, but identical to the allosteric domain of Escherichia coli ATCase regulatory subunits, which bind mononucleotides at an equivalent position. Dimer contacts between NDP kinase subunits within the hexamer are similar to those in ATCase. Trimer contacts involve a large loop of polypeptide chain that bears the site of the Pro----Ser substitution in Killer of prune (K-pn) mutants of the highly homologous Drosophila enzyme. Properties of Drosophila NDP kinase, the product of the awd developmental gene, and of the human enzyme, the product of the nm23 genes in tumorigenesis, are discussed in view of the three-dimensional structure and of possible interactions of NDP kinase with other nucleotide binding proteins.","author":[{"dropping-particle":"","family":"Dumas","given":"C.","non-dropping-particle":"","parse-names":false,"suffix":""},{"dropping-particle":"","family":"Lascu","given":"I.","non-dropping-particle":"","parse-names":false,"suffix":""},{"dropping-particle":"","family":"Moréra","given":"S.","non-dropping-particle":"","parse-names":false,"suffix":""},{"dropping-particle":"","family":"Glaser","given":"P.","non-dropping-particle":"","parse-names":false,"suffix":""},{"dropping-particle":"","family":"Fourme","given":"R.","non-dropping-particle":"","parse-names":false,"suffix":""},{"dropping-particle":"","family":"Wallet","given":"V.","non-dropping-particle":"","parse-names":false,"suffix":""},{"dropping-particle":"","family":"Lacombe","given":"M.L.","non-dropping-particle":"","parse-names":false,"suffix":""},{"dropping-particle":"","family":"Véron","given":"M.","non-dropping-particle":"","parse-names":false,"suffix":""},{"dropping-particle":"","family":"Janin","given":"J.","non-dropping-particle":"","parse-names":false,"suffix":""}],"container-title":"The EMBO Journal","id":"ITEM-1","issue":"9","issued":{"date-parts":[["1992","9"]]},"page":"3203-3208","title":"X-ray structure of nucleoside diphosphate kinase.","type":"article-journal","volume":"11"},"uris":["http://www.mendeley.com/documents/?uuid=04448193-48d5-4d50-9c5d-ae1e2473f26f"]},{"id":"ITEM-2","itemData":{"DOI":"10.1016/S0021-9258(20)80724-8","ISSN":"00219258","PMID":"8397202","abstract":"The Killer-of-prune (K-pn) mutation in Drosophila corresponds to a Pro-Ser substitution in nucleoside diphosphate kinase (Lascu, I. Chaffotte, A., Limbourg-Bouchon, B., and Véron, M. (1992) J. Biol. Chem. 267, 12775-12781). We investigated the role of the equivalent proline (Pro100) in the formation and stability of the Dictyostelium nucleoside diphosphate kinase hexamers. Mutations to serine or glycine had only little effect on the properties of the native enzyme. However, the mutant drastically affected the subunit interaction in the hexamer and the ability of the isolated subunits to associate in vitro. While the wild-type hexamer inactivated and unfolded concomitantly at 5-6 M urea, the mutant proteins dissociated to monomers at 0.5-2 M urea and unfolded at 2.5-4 M urea. At intermediate urea concentrations, the unique species present in solution was a folded, partially active monomer as shown by size-exclusion chromatography, UV, fluorescence, and CD spectroscopy. Proline 100 is located in a loop involved in subunits contact. Altered conformation of the loop in P100S and P100S mutants demonstrates its crucial role in subunit assembly. We propose to explain the conditional dominance of the K-pn mutation by the presence of a monomeric form of the enzyme that would have deleterious effects in vivo.","author":[{"dropping-particle":"","family":"Lascu","given":"I.","non-dropping-particle":"","parse-names":false,"suffix":""},{"dropping-particle":"","family":"Deville-Bonne","given":"D.","non-dropping-particle":"","parse-names":false,"suffix":""},{"dropping-particle":"","family":"Glaser","given":"P.","non-dropping-particle":"","parse-names":false,"suffix":""},{"dropping-particle":"","family":"Véron","given":"M","non-dropping-particle":"","parse-names":false,"suffix":""}],"container-title":"Journal of Biological Chemistry","id":"ITEM-2","issue":"27","issued":{"date-parts":[["1993","9","25"]]},"page":"20268-20275","title":"Equilibrium dissociation and unfolding of nucleoside diphosphate kinase from Dictyostelium discoideum. Role of proline 100 in the stability of the hexameric enzyme.","type":"article-journal","volume":"268"},"uris":["http://www.mendeley.com/documents/?uuid=c7bae1d2-6ce9-4e25-97ef-6c1d39f9c4f3"]},{"id":"ITEM-3","itemData":{"DOI":"10.1016/0969-2126(93)90016-A","ISSN":"09692126","PMID":"8081741","abstract":"BACKGROUND Nucleotide diphosphate kinase (NDP kinase) is a phosphate transfer enzyme involved in cell regulation and in animal development. Drosophila NDP kinase is the product of the abnormal wing disc (awd) developmental gene, a point mutation in which can produce the killer of prune (K-pn) conditional lethal phenotype. The highly homologous mammalian genes control metastasis and a human NDP kinase acts as a transcription factor. RESULTS The X-ray structure of the Awd protein prepared from Drosophila was solved at 2.4 A resolution by molecular replacement from the homologous Dictyostelium protein. Both are hexamers, and both have the same fold and the same active site. Subunit contacts differ as a result of sequence changes in the carboxy-terminal segment and in the loop that is the site of the K-pn mutation. CONCLUSIONS Regulatory properties of animal NDP kinases depend on interactions with other macromolecules, such as DNA and the product of the Drosophila prune gene. The Awd structure suggests an allosteric mechanism of action of NDP kinase where DNA is the effector and the protein undergoes a major conformational change, possibly dissociating to dimers.","author":[{"dropping-particle":"","family":"Chiadmi","given":"M.","non-dropping-particle":"","parse-names":false,"suffix":""},{"dropping-particle":"","family":"Moréra","given":"S.","non-dropping-particle":"","parse-names":false,"suffix":""},{"dropping-particle":"","family":"Lascu","given":"I.","non-dropping-particle":"","parse-names":false,"suffix":""},{"dropping-particle":"","family":"Dumas","given":"C.","non-dropping-particle":"","parse-names":false,"suffix":""},{"dropping-particle":"Le","family":"Bras","given":"G","non-dropping-particle":"","parse-names":false,"suffix":""},{"dropping-particle":"","family":"Véron","given":"M.","non-dropping-particle":"","parse-names":false,"suffix":""},{"dropping-particle":"","family":"Janin","given":"J.","non-dropping-particle":"","parse-names":false,"suffix":""}],"container-title":"Structure","id":"ITEM-3","issue":"4","issued":{"date-parts":[["1993","12","15"]]},"page":"283-293","title":"Crystal structure of the Awd nucleotide diphosphate kinase from Drosophila","type":"article-journal","volume":"1"},"uris":["http://www.mendeley.com/documents/?uuid=6512e104-5cbf-460f-9fb2-1cfd9ca928c8"]},{"id":"ITEM-4","itemData":{"DOI":"10.1016/S0021-9258(18)61916-7","ISSN":"00219258","PMID":"4999354","author":[{"dropping-particle":"","family":"Sedmak","given":"James","non-dropping-particle":"","parse-names":false,"suffix":""},{"dropping-particle":"","family":"Ramaley","given":"Robert","non-dropping-particle":"","parse-names":false,"suffix":""}],"container-title":"Journal of Biological Chemistry","id":"ITEM-4","issue":"17","issued":{"date-parts":[["1971","9","10"]]},"page":"5365-5372","title":"Purification and Properties of Bacillus subtilis Nucleoside Diphosphokinase","type":"article-journal","volume":"246"},"uris":["http://www.mendeley.com/documents/?uuid=c72cb3ac-ddca-466b-a48d-91ee09b75575"]},{"id":"ITEM-5","itemData":{"DOI":"10.1002/prot.21316","ISSN":"08873585","PMID":"17330300","abstract":"Nucleoside diphosphate kinase (NDPK) catalyzes the transfer of gamma-phosphate from nucleoside triphosphates to nucleoside diphosphates. The subunit folding and the dimeric basic structural unit are remarkably the same for available structures but, depending on species, dimers self-associate to form hexamers or tetramers. The crystal structure of the Escherichia coli NDPK reveals a new tetrameric quaternary structure for this protein family. The two tetramers differ by the relative orientation of interacting dimers, which face either the convex or the concave side of their central sheet as in either Myxococcus xanthus (type I) or E. coli (type II), respectively. In the type II tetramer, the subunits interact by a new interface harboring a zone called the Kpn loop as in hexamers, but by the opposite face of this loop. The evolutionary conservation of the interface residues indicates that this new quaternary structure seems to be the most frequent assembly mode in bacterial tetrameric NDP kinases.","author":[{"dropping-particle":"","family":"Moynié","given":"Lucile","non-dropping-particle":"","parse-names":false,"suffix":""},{"dropping-particle":"","family":"Giraud","given":"Marie-France","non-dropping-particle":"","parse-names":false,"suffix":""},{"dropping-particle":"","family":"Georgescauld","given":"Florian","non-dropping-particle":"","parse-names":false,"suffix":""},{"dropping-particle":"","family":"Lascu","given":"Ioan","non-dropping-particle":"","parse-names":false,"suffix":""},{"dropping-particle":"","family":"Dautant","given":"Alain","non-dropping-particle":"","parse-names":false,"suffix":""}],"container-title":"Proteins: Structure, Function, and Bioinformatics","id":"ITEM-5","issue":"3","issued":{"date-parts":[["2007","2","28"]]},"page":"755-765","title":"The structure of the Escherichia coli nucleoside diphosphate kinase reveals a new quaternary architecture for this enzyme family","type":"article-journal","volume":"67"},"uris":["http://www.mendeley.com/documents/?uuid=28690c6e-57de-4834-9ae8-2af68fe2b812"]},{"id":"ITEM-6","itemData":{"ISSN":"0021-9258","PMID":"1851158","abstract":"Human erythrocyte nucleoside-diphosphate kinase (NDP kinase) is a hexameric enzyme consisting of two kinds of polypeptide chains, A and B. By random association (A6, A5B...AB5, B6) these polypeptides form isoenzymes differing in their isoelectric point. Chains A and B of NDP kinase were purified by ion-exchange chromatography under denaturing conditions. Upon mixing and renaturation, the isozymic pattern of NDP kinase obtained by conventional methods was restored. Antibodies raised against purified chains showed significant cross-reactivity, both in immunoblot experiments and activity inhibition studies. Sequence determination showed that both chains consisted of 152 amino acid residues corresponding to Mr or 17,143 (chain A) and 17,294 (chain B), respectively. There was high homology between the two sequences (88% identity). The phosphorylation site on the enzyme is located at His-118. Chain A was identical with human Nm23 protein, which has been reported as a potential suppressor protein in tumor metastasis and chain B was identical with Nm23-H2 protein.","author":[{"dropping-particle":"","family":"Gilles","given":"A M","non-dropping-particle":"","parse-names":false,"suffix":""},{"dropping-particle":"","family":"Presecan","given":"E","non-dropping-particle":"","parse-names":false,"suffix":""},{"dropping-particle":"","family":"Vonica","given":"A","non-dropping-particle":"","parse-names":false,"suffix":""},{"dropping-particle":"","family":"Lascu","given":"I","non-dropping-particle":"","parse-names":false,"suffix":""}],"container-title":"The Journal of biological chemistry","id":"ITEM-6","issue":"14","issued":{"date-parts":[["1991","5","15"]]},"page":"8784-9","title":"Nucleoside diphosphate kinase from human erythrocytes. Structural characterization of the two polypeptide chains responsible for heterogeneity of the hexameric enzyme.","type":"article-journal","volume":"266"},"uris":["http://www.mendeley.com/documents/?uuid=021fc962-263a-41ad-95d4-3c91be8d5f28"]}],"mendeley":{"formattedCitation":"[10,68–72]","plainTextFormattedCitation":"[10,68–72]","previouslyFormattedCitation":"[10,68–72]"},"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[10,68–72]</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In some other bacteria, NME proteins fold as tetramers, an assembly of 4 monomers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{"citationItems":[{"id":"ITEM-1","itemData":{"DOI":"10.1006/jmbi.1993.1673","ISSN":"00222836","PMID":"8263923","abstract":"The X-ray crystallographic structure of nucleoside diphosphate (NDP) kinase from Myxococcus xanthus has been determined using multiple isomorphous replacement techniques and refined at 2.0 A resolution to a crystallographic R-factor of 0.17. This is the first report of the structure of an enzymatically active NDP kinase and of the enzyme with a bound nucleotide. The structure has been determined in P4(3)2(1)2 and I222 crystal forms. The enzyme monomer consists of a four-stranded antiparallel beta-sheet. The surfaces of the sheet are partially covered with five helical segments. There are two protein molecules in the asymmetric unit of the tetragonal crystal form. They form a dimer with an extensive interface in which 1092 A2 per monomer is buried. The majority of the contact area in the dimer interface is between hydrophobic or aromatic residues. Two dimers are related by a crystallographic 2-fold axis to yield a tetramer. This tetramer is also present in the orthorhombic crystals; however, in this case, the 222 symmetry is entirely crystallographic. Upon tetramer formation, an additional 473 A2 of solvent-accessible surface area from each monomer becomes buried. The interface between dimers in the tetramer is stabilized by salt bridges. Equilibrium sedimentation studies are consistent with the enzyme being a tetramer in solution. The structure of a complex of adenosine diphosphate (ADP) with the enzyme was determined and reveals that most of the nucleotide interactions with the protein are with the pyrophosphate and ribose groups, while the base has no hydrogen bonds with the protein and interacts only by stacking with the side chain of Phe59. The Mg2+ interacts with the pyrophosphate of the ADP and via a solvent molecule with the side chain of the conserved Asp120 residue. The mode of interaction with the nucleotide is novel, with the nucleotide binding at the side of the beta-sheet. The structures of the nucleotide in crystals grown in the presence or absence of Mg2+ are essentially identical. In addition, the phosphotransfer reaction from adenosine triphosphate (ATP) to the enzyme can occur without Mg2+. This suggests that only the second step of the reaction in which the enzyme transfers the phosphate to a nucleoside diphosphate acceptor is significantly catalyzed by the metal.","author":[{"dropping-particle":"","family":"Williams","given":"Roger L.","non-dropping-particle":"","parse-names":false,"suffix":""},{"dropping-particle":"","family":"Oren","given":"Deena A.","non-dropping-particle":"","parse-names":false,"suffix":""},{"dropping-particle":"","family":"Muñoz-Dorado","given":"José","non-dropping-particle":"","parse-names":false,"suffix":""},{"dropping-particle":"","family":"Inouye","given":"Sumiko","non-dropping-particle":"","parse-names":false,"suffix":""},{"dropping-particle":"","family":"Inouye","given":"Masayori","non-dropping-particle":"","parse-names":false,"suffix":""},{"dropping-particle":"","family":"Arnold","given":"Edward","non-dropping-particle":"","parse-names":false,"suffix":""}],"container-title":"Journal of Molecular Biology","id":"ITEM-1","issue":"4","issued":{"date-parts":[["1993","12","20"]]},"page":"1230-1247","publisher":"Academic Press","title":"Crystal Structure of Myxococcus xanthus Nucleoside Diphosphate Kinase and its Interaction with a Nucleotide Substrate at 2·0 Å Resolution","type":"article-journal","volume":"234"},"uris":["http://www.mendeley.com/documents/?uuid=f2c66475-ea91-3845-87a9-b51589d8ca0d"]},{"id":"ITEM-2","itemData":{"DOI":"10.1016/S0021-9258(19)42586-6","ISSN":"00219258","PMID":"4364654","abstract":"Nucleoside diphosphokinase from Salmonella typhimurium has been purified and characterized. In many respects, the enzyme is similar to those from higher organisms in that it has a broad specificity for both phosphate donor and recipient and that it functions via a ping pong mechanism. The enzyme activity of cells is very high at all growth rates but decreases as growth rate increases. Evidence is presented that nucleoside diphosphokinase is sufficient to account for the synthesis of all nucleoside triphosphates required for the polymerization of nucleic acids and that it is probably the only enzyme that catalyzes the synthesis of triphosphates from diphosphates and the γ phosphate of ATP.","author":[{"dropping-particle":"","family":"Ginther","given":"Charles L.","non-dropping-particle":"","parse-names":false,"suffix":""},{"dropping-particle":"","family":"Ingraham","given":"John L.","non-dropping-particle":"","parse-names":false,"suffix":""}],"container-title":"Journal of Biological Chemistry","id":"ITEM-2","issue":"11","issued":{"date-parts":[["1974","6","10"]]},"page":"3406-3411","publisher":"Elsevier","title":"Nucleoside Diphosphokinase of Salmonella typhimurium","type":"article-journal","volume":"249"},"uris":["http://www.mendeley.com/documents/?uuid=d77a0f91-9b0b-3c24-8525-1de707afd00a"]},{"id":"ITEM-3","itemData":{"DOI":"10.1016/S0021-9258(19)39859-X","ISSN":"00219258","PMID":"2154456","abstract":"The gene that encodes the 16-kDa GTP-binding protein from Myxococcus xanthus has been cloned, and its DNA sequence has been determined. The gene has been expressed in Escherichia coli by using the lacZ promoter, and its gene product was overproduced (Munoz-Dorado, J., Inouye, S., and Inouye, M., (1990) J. Biol. Chem. 265, 2707-2706). The gene product thus overproduced in E. coli was purified to homogeneity by a simple four-step procedure and crystallized. Gel filtration of the purified protein revealed that the protein forms a complex of an apparent molecular weight of 50,000, indicating that it exists as a trimer in the cell. It was found that the purified protein can bind not only GTP, but also equally well the other nucleoside diphosphates and triphosphates with no specificity for either the base or the sugar. Nucleoside monophosphates, P(i), and pyrophosphate do not bind to the protein. In the presence of Mg2+, the protein hydrolyzes nucleoside triphosphates to diphosphate and P(i). However, in the presence of EDTA, most of the phosphate remains bound to the protein. The phosphorylated protein can then transfer the phosphate group to a nucleoside diphosphate to form the corresponding nucleoside triphosphate in the presence of Mg2+. The reaction is reversible, and it is considered to occur by a two-step ping-pong mechanism. These results unambiguously demonstrate that the M. xanthus 16-kDa GTP-binding protein is a nucleoside diphosphate kinase.","author":[{"dropping-particle":"","family":"Muñoz-Dorado","given":"J.","non-dropping-particle":"","parse-names":false,"suffix":""},{"dropping-particle":"","family":"Inouye","given":"S","non-dropping-particle":"","parse-names":false,"suffix":""},{"dropping-particle":"","family":"Inouye","given":"M","non-dropping-particle":"","parse-names":false,"suffix":""}],"container-title":"Journal of Biological Chemistry","id":"ITEM-3","issue":"5","issued":{"date-parts":[["1990","2","15"]]},"page":"2707-2712","publisher":"Elsevier","title":"Nucleoside diphosphate kinase from Myxococcus xanthus. II. Biochemical characterization.","type":"article-journal","volume":"265"},"uris":["http://www.mendeley.com/documents/?uuid=ac6d4d68-50c7-35ea-9fd9-47ec8173beb8"]}],"mendeley":{"formattedCitation":"[73–75]","plainTextFormattedCitation":"[73–75]","previouslyFormattedCitation":"[73–75]"},"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[73–75]</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 NDPK activity relies on the phosphorylation of a specific histidine within the catalytic site, bringing the proteins into a high-energy histidine-phosphorylated status. In our hands, both recombinant NME6 isoforms failed to display NDPK activity, while the positive control NME1 nicely </w:t>
      </w:r>
      <w:r w:rsidRPr="003B2CF6">
        <w:rPr>
          <w:rFonts w:ascii="Times New Roman" w:hAnsi="Times New Roman" w:cs="Times New Roman"/>
          <w:sz w:val="24"/>
          <w:szCs w:val="24"/>
        </w:rPr>
        <w:lastRenderedPageBreak/>
        <w:t>displayed an activity of 155 U/mg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_Ref106009829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37</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 lack of NDPK activity is consistent with the results published by Mehus et al. and Yoon et al., but are in disagreement with the results of Tsuiki et al.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{"citationItems":[{"id":"ITEM-1","itemData":{"DOI":"10.1007/s004390050987","ISSN":"0340-6717","PMID":"10453732","abstract":"The NME (nm23/nucleoside diphosphate kinase) gene family in human is involved in the phosphorylation of nucleoside diphosphates and a variety of regulatory phenomena associated with development, oncogenic transformation, and metastasis. Here we report the cDNA sequence for a sixth member of this family, NME6. The cDNA sequence predicts a 186-residue protein that includes the characteristic active site motif of a nucleoside diphosphate (NDP) kinase, as well as the other residues previously identified as crucial for nucleotide binding and catalysis. The NME6 protein sequence is only 34-41% identical to the five previously reported human NME proteins, and is similarly related to prokaryotic and primitive eukaryotic NDP kinases. Compared to typical proteins of this family such as NME1 and NME2, NME6 has three additional residues located in the Kpn loop, and a 22-residue extension at the COOH-terminal. Using radiation hybrid mapping, the NME6 gene was localized to chromosome 3p21.3. The 1.3-kb transcript of NME6 is expressed at a moderately low level in many human tissues, and is most abundant in kidney, prostate, ovary, intestine, and spleen. Homologous cDNAs were also cloned and sequenced for rat and mouse. The sequence of the first 171 residues of the mouse homologue (Nm23-M6) is 94% identical to the deduced human NME6 protein.","author":[{"dropping-particle":"","family":"Mehus","given":"James G.","non-dropping-particle":"","parse-names":false,"suffix":""},{"dropping-particle":"","family":"Deloukas","given":"Panagiotis","non-dropping-particle":"","parse-names":false,"suffix":""},{"dropping-particle":"","family":"Lambeth","given":"David O.","non-dropping-particle":"","parse-names":false,"suffix":""}],"container-title":"Human Genetics","id":"ITEM-1","issue":"6","issued":{"date-parts":[["1999","7","16"]]},"page":"454-459","title":"NME6: a new member of the nm23 /nucleoside diphosphate kinase gene family located on human chromosome 3p21.3","type":"article-journal","volume":"104"},"uris":["http://www.mendeley.com/documents/?uuid=1d07d158-8520-4451-a56d-a4c8f7d9a373"]},{"id":"ITEM-2","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Biochemistry","id":"ITEM-2","issue":"2","issued":{"date-parts":[["2000","2","1"]]},"page":"254-269","title":"A novel human nucleoside diphosphate (NDP) kinase, Nm23-H6, localizes in mitochondria and affects cytokinesis","type":"article-journal","volume":"76"},"uris":["http://www.mendeley.com/documents/?uuid=df2c4c21-5d94-4732-9900-18fddab52f72"]},{"id":"ITEM-3","itemData":{"DOI":"10.1021/bi0515974","ISBN":"6176321972","ISSN":"0006-2960","PMID":"16313181","abstract":"Nucleoside diphosphate kinases (NDKs), an evolutionarily conserved family of proteins, synthesize nucleoside triphosphates from nucleoside diphosphates and ATP. Here, we have characterized the kinase activity and DNA processing functions of eight human proteins that contain at least one domain homologous to Escherichia coli NDK. Not all human proteins with NDK-like domains exhibited NDK activity when expressed as recombinant proteins in E. coli. Human NDK1 (NM23-H1) has been reported to have 3' --&gt; 5' exonuclease activity. In addition to human NDK1, we also find that human NDK5, NDK7, and NDK8 contain 3' --&gt; 5' exonuclease activity. Site-directed mutagenesis, competition assays between wild-type and mutant NDK proteins, and NMR studies confirmed that the DNA-binding and 3' --&gt; 5' exonuclease activity of human NDK1 is an intrinsic activity of the protein. Using double-stranded DNA substrates containing modified bases, human NDK1 efficiently excised nucleotides from the single-strand break produced by APE1 or Nth1. When human cells were treated with various DNA-damaging agents, human NDK1 translocated from the cytoplasm to the nucleus. These results suggest that, in addition to maintenance of nucleotide pool balance, the human NDK-like proteins may have previously unrecognized roles in DNA nucleolytic processing.","author":[{"dropping-particle":"","family":"Yoon","given":"Jung-Hoon","non-dropping-particle":"","parse-names":false,"suffix":""},{"dropping-particle":"","family":"Singh","given":"Purnima","non-dropping-particle":"","parse-names":false,"suffix":""},{"dropping-particle":"","family":"Lee","given":"Dong-Hyun","non-dropping-particle":"","parse-names":false,"suffix":""},{"dropping-particle":"","family":"Qiu","given":"Junzhuan","non-dropping-particle":"","parse-names":false,"suffix":""},{"dropping-particle":"","family":"Cai","given":"Sheng","non-dropping-particle":"","parse-names":false,"suffix":""},{"dropping-particle":"","family":"O'Connor","given":"Timothy R.","non-dropping-particle":"","parse-names":false,"suffix":""},{"dropping-particle":"","family":"Chen","given":"Yuan","non-dropping-particle":"","parse-names":false,"suffix":""},{"dropping-particle":"","family":"Shen","given":"Binghui","non-dropping-particle":"","parse-names":false,"suffix":""},{"dropping-particle":"","family":"Pfeifer","given":"Gerd P.","non-dropping-particle":"","parse-names":false,"suffix":""}],"container-title":"Biochemistry","id":"ITEM-3","issue":"48","issued":{"date-parts":[["2005","12","1"]]},"page":"15774-15786","title":"Characterization of the 3‘ → 5‘ Exonuclease Activity Found in Human Nucleoside Diphosphate Kinase 1 (NDK1) and Several of Its Homologues","type":"article-journal","volume":"44"},"uris":["http://www.mendeley.com/documents/?uuid=d08e4b91-7cb9-4360-83cb-d2ba4f733d59"]}],"mendeley":{"formattedCitation":"[6,8,28]","plainTextFormattedCitation":"[6,8,28]","previouslyFormattedCitation":"[6,8,28]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[6,8,28]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Tsuiki et al. followed a radiolabeled phosphate group (</w:t>
      </w:r>
      <w:r w:rsidRPr="003B2CF6">
        <w:rPr>
          <w:rFonts w:ascii="Times New Roman" w:hAnsi="Times New Roman" w:cs="Times New Roman"/>
          <w:sz w:val="24"/>
          <w:szCs w:val="24"/>
          <w:vertAlign w:val="superscript"/>
        </w:rPr>
        <w:t>32</w:t>
      </w:r>
      <w:r w:rsidRPr="003B2CF6">
        <w:rPr>
          <w:rFonts w:ascii="Times New Roman" w:hAnsi="Times New Roman" w:cs="Times New Roman"/>
          <w:sz w:val="24"/>
          <w:szCs w:val="24"/>
        </w:rPr>
        <w:t xml:space="preserve">P) along the NDPK enzymatic reaction of recombinant NME1 and NME6. They reported a low level of autophosphorylation (“ping”) of NME6, about 30 time less than NME1, and a measurable transfer to cold CDP (“pong”)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Their data, divergent from other studies, could be explained by the highly sensitive method they used and/or by the presence of bacterial NME protein traces contaminating the recombinant NME6 protein.</w:t>
      </w:r>
    </w:p>
    <w:p w14:paraId="1AB9094B" w14:textId="3F68DC95"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Altogether, the pure recombinant NME6 protein is likely deprived of NDPK activity. But some can argue that a pure recombinant protein produced in bacteria is somehow dissimilar from a native protein found in the human cellular environment. After all, NME6 conserved in its sequence the principal amino acids deemed essential for the protein structure and enzymatic activity </w:t>
      </w:r>
      <w:r w:rsidRPr="003B2CF6">
        <w:rPr>
          <w:rFonts w:ascii="Times New Roman" w:hAnsi="Times New Roman" w:cs="Times New Roman"/>
          <w:sz w:val="24"/>
          <w:szCs w:val="24"/>
        </w:rPr>
        <w:fldChar w:fldCharType="begin" w:fldLock="1"/>
      </w:r>
      <w:r w:rsidRPr="003B2CF6">
        <w:rPr>
          <w:rFonts w:ascii="Times New Roman" w:hAnsi="Times New Roman" w:cs="Times New Roman"/>
          <w:sz w:val="24"/>
          <w:szCs w:val="24"/>
        </w:rPr>
        <w:instrText>ADDIN CSL_CITATION {"citationItems":[{"id":"ITEM-1","itemData":{"DOI":"10.1186/1471-2148-9-256","ISSN":"1471-2148","abstract":"Background: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Biology","id":"ITEM-1","issue":"1","issued":{"date-parts":[["2009","12","23"]]},"page":"256","title":"Nme protein family evolutionary history, a vertebrate perspective","type":"article-journal","volume":"9"},"uris":["http://www.mendeley.com/documents/?uuid=2897fc36-6f9c-4d15-8a18-dad9a2344296"]}],"mendeley":{"formattedCitation":"[1]","plainTextFormattedCitation":"[1]","previouslyFormattedCitation":"[1]"},"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To get further details, the histidine phosphorylation status of endogenous NME6 was studied in its cellular environment, using newly-developed antibodies specifically recognizing phosphorylated histidine on Western blot analysis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{"citationItems":[{"id":"ITEM-1","itemData":{"DOI":"10.1016/j.cell.2015.05.046","ISSN":"00928674","PMID":"26140597","abstract":"Histidine phosphorylation (pHis) is well studied in bacteria; however, its role in mammalian signaling remains largely unexplored due to the lack of pHis-specific antibodies and the lability of the phosphoramidate (P-N) bond. Both imidazole nitrogens can be phosphorylated, forming 1-phosphohistidine (1-pHis) or 3-phosphohistidine (3-pHis). We have developed monoclonal antibodies (mAbs) that specifically recognize 1-pHis or 3-pHis; they do not cross-react with phosphotyrosine or the other pHis isomer. Assays based on the isomer-specific autophosphorylation of NME1 and phosphoglycerate mutase were used with immunoblotting and sequencing IgG variable domains to screen, select, and characterize anti-1-pHis and anti-3-pHis mAbs. Their sequence independence was determined by blotting synthetic peptide arrays, and they have been tested for immunofluorescence staining and immunoaffinity purification, leading to putative identification of pHis-containing proteins. These reagents should be broadly useful for identification of pHis substrates and functional study of pHis using a variety of immunological, proteomic, and biological assays.","author":[{"dropping-particle":"","family":"Fuhs","given":"Stephen Rush","non-dropping-particle":"","parse-names":false,"suffix":""},{"dropping-particle":"","family":"Meisenhelder","given":"Jill","non-dropping-particle":"","parse-names":false,"suffix":""},{"dropping-particle":"","family":"Aslanian","given":"Aaron","non-dropping-particle":"","parse-names":false,"suffix":""},{"dropping-particle":"","family":"Ma","given":"Li","non-dropping-particle":"","parse-names":false,"suffix":""},{"dropping-particle":"","family":"Zagorska","given":"Anna","non-dropping-particle":"","parse-names":false,"suffix":""},{"dropping-particle":"","family":"Stankova","given":"Magda","non-dropping-particle":"","parse-names":false,"suffix":""},{"dropping-particle":"","family":"Binnie","given":"Alan","non-dropping-particle":"","parse-names":false,"suffix":""},{"dropping-particle":"","family":"Al-Obeidi","given":"Fahad","non-dropping-particle":"","parse-names":false,"suffix":""},{"dropping-particle":"","family":"Mauger","given":"Jacques","non-dropping-particle":"","parse-names":false,"suffix":""},{"dropping-particle":"","family":"Lemke","given":"Greg","non-dropping-particle":"","parse-names":false,"suffix":""},{"dropping-particle":"","family":"Yates","given":"John R.","non-dropping-particle":"","parse-names":false,"suffix":""},{"dropping-particle":"","family":"Hunter","given":"Tony","non-dropping-particle":"","parse-names":false,"suffix":""}],"container-title":"Cell","id":"ITEM-1","issue":"1","issued":{"date-parts":[["2015","7","2"]]},"page":"198-210","title":"Monoclonal 1- and 3-Phosphohistidine Antibodies: New Tools to Study Histidine Phosphorylation","type":"article-journal","volume":"162"},"uris":["http://www.mendeley.com/documents/?uuid=7551ccda-e7f6-4178-8b97-264189e45d49"]}],"mendeley":{"formattedCitation":"[64]","plainTextFormattedCitation":"[64]","previouslyFormattedCitation":"[64]"},"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[64]</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Results showed that NME6 lacks phosphorylation on histidines, including the main catalytic-site histidine, contrary to NME1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_Ref106009838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38</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This critical result pinpoints that in the cellular environment, the high-energy histidine-phosphorylated NME6 does not exist. Similar results were obtained on pure recombinant NME proteins, where phosphorylated histidines were detected for NME1, NME2, NME4, NME5 and NME7, but not for NME6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{"citationItems":[{"id":"ITEM-1","itemData":{"DOI":"10.1016/j.cell.2015.05.046","ISSN":"00928674","PMID":"26140597","abstract":"Histidine phosphorylation (pHis) is well studied in bacteria; however, its role in mammalian signaling remains largely unexplored due to the lack of pHis-specific antibodies and the lability of the phosphoramidate (P-N) bond. Both imidazole nitrogens can be phosphorylated, forming 1-phosphohistidine (1-pHis) or 3-phosphohistidine (3-pHis). We have developed monoclonal antibodies (mAbs) that specifically recognize 1-pHis or 3-pHis; they do not cross-react with phosphotyrosine or the other pHis isomer. Assays based on the isomer-specific autophosphorylation of NME1 and phosphoglycerate mutase were used with immunoblotting and sequencing IgG variable domains to screen, select, and characterize anti-1-pHis and anti-3-pHis mAbs. Their sequence independence was determined by blotting synthetic peptide arrays, and they have been tested for immunofluorescence staining and immunoaffinity purification, leading to putative identification of pHis-containing proteins. These reagents should be broadly useful for identification of pHis substrates and functional study of pHis using a variety of immunological, proteomic, and biological assays.","author":[{"dropping-particle":"","family":"Fuhs","given":"Stephen Rush","non-dropping-particle":"","parse-names":false,"suffix":""},{"dropping-particle":"","family":"Meisenhelder","given":"Jill","non-dropping-particle":"","parse-names":false,"suffix":""},{"dropping-particle":"","family":"Aslanian","given":"Aaron","non-dropping-particle":"","parse-names":false,"suffix":""},{"dropping-particle":"","family":"Ma","given":"Li","non-dropping-particle":"","parse-names":false,"suffix":""},{"dropping-particle":"","family":"Zagorska","given":"Anna","non-dropping-particle":"","parse-names":false,"suffix":""},{"dropping-particle":"","family":"Stankova","given":"Magda","non-dropping-particle":"","parse-names":false,"suffix":""},{"dropping-particle":"","family":"Binnie","given":"Alan","non-dropping-particle":"","parse-names":false,"suffix":""},{"dropping-particle":"","family":"Al-Obeidi","given":"Fahad","non-dropping-particle":"","parse-names":false,"suffix":""},{"dropping-particle":"","family":"Mauger","given":"Jacques","non-dropping-particle":"","parse-names":false,"suffix":""},{"dropping-particle":"","family":"Lemke","given":"Greg","non-dropping-particle":"","parse-names":false,"suffix":""},{"dropping-particle":"","family":"Yates","given":"John R.","non-dropping-particle":"","parse-names":false,"suffix":""},{"dropping-particle":"","family":"Hunter","given":"Tony","non-dropping-particle":"","parse-names":false,"suffix":""}],"container-title":"Cell","id":"ITEM-1","issue":"1","issued":{"date-parts":[["2015","7","2"]]},"page":"198-210","title":"Monoclonal 1- and 3-Phosphohistidine Antibodies: New Tools to Study Histidine Phosphorylation","type":"article-journal","volume":"162"},"uris":["http://www.mendeley.com/documents/?uuid=7551ccda-e7f6-4178-8b97-264189e45d49"]}],"mendeley":{"formattedCitation":"[64]","plainTextFormattedCitation":"[64]","previouslyFormattedCitation":"[64]"},"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[64]</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Consequently, NME6 would be deprived of any enzymatic activities depending on the phosphorylated histidine in the catalytic site, including NDPK activity but also protein histidine kinase activity. </w:t>
      </w:r>
    </w:p>
    <w:p w14:paraId="47A65498" w14:textId="009A1297"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This lack of enzymatic activity could be the results of a three amino acid insertion in the </w:t>
      </w:r>
      <w:r w:rsidRPr="003B2CF6">
        <w:rPr>
          <w:rFonts w:ascii="Times New Roman" w:hAnsi="Times New Roman" w:cs="Times New Roman"/>
          <w:i/>
          <w:sz w:val="24"/>
          <w:szCs w:val="24"/>
        </w:rPr>
        <w:t>Kpn</w:t>
      </w:r>
      <w:r w:rsidRPr="003B2CF6">
        <w:rPr>
          <w:rFonts w:ascii="Times New Roman" w:hAnsi="Times New Roman" w:cs="Times New Roman"/>
          <w:sz w:val="24"/>
          <w:szCs w:val="24"/>
        </w:rPr>
        <w:t xml:space="preserve"> loop and a C-terminal extension (compared to NME1), as suggested for NME5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{"citationItems":[{"id":"ITEM-1","itemData":{"DOI":"10.1016/S0014-5793(98)00996-X","ISSN":"00145793","PMID":"9742940","abstract":"We have identified a cDNA encoding a 212 amino acid protein (Nm23-H5) with 27-31% identity to the human members of the nm23/nucleoside diphosphate (NDP) kinase gene family. The nm23-H5 gene is located on chromosome 5q23-31 and is transcribed as one main transcript of 1.1 kb which is highly and specifically expressed in testis, in the spermatogonia and early spermatocytes. Nm23-H5 possesses most of the residues conserved among NDP kinases plus an additional COOH-terminus end of 55 amino acids unique to this protein. However, under usual assay conditions, Nm23-H5 expressed in Escherichia coli did not exhibit NDP kinase activity. These results suggest that Nm23-H5 is specifically involved in early stages of spermatogenesis.","author":[{"dropping-particle":"","family":"Munier","given":"Annie","non-dropping-particle":"","parse-names":false,"suffix":""},{"dropping-particle":"","family":"Feral","given":"Chloé","non-dropping-particle":"","parse-names":false,"suffix":""},{"dropping-particle":"","family":"Milon","given":"Laurence","non-dropping-particle":"","parse-names":false,"suffix":""},{"dropping-particle":"","family":"Pinon","given":"Véronique Phung-Ba","non-dropping-particle":"","parse-names":false,"suffix":""},{"dropping-particle":"","family":"Gyapay","given":"Gabor","non-dropping-particle":"","parse-names":false,"suffix":""},{"dropping-particle":"","family":"Capeau","given":"Jacqueline","non-dropping-particle":"","parse-names":false,"suffix":""},{"dropping-particle":"","family":"Guellaen","given":"Georges","non-dropping-particle":"","parse-names":false,"suffix":""},{"dropping-particle":"","family":"Lacombe","given":"Marie-Lise","non-dropping-particle":"","parse-names":false,"suffix":""}],"container-title":"FEBS Letters","id":"ITEM-1","issue":"3","issued":{"date-parts":[["1998","9","4"]]},"page":"289-294","title":"A new human nm23 homologue ( nm23 -H5) specifically expressed in testis germinal cells","type":"article-journal","volume":"434"},"uris":["http://www.mendeley.com/documents/?uuid=69c68b35-41d3-47e6-85ad-4e3c73d8ab88"]}],"mendeley":{"formattedCitation":"[11]","plainTextFormattedCitation":"[11]","previouslyFormattedCitation":"[11]"},"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 </w:t>
      </w:r>
      <w:r w:rsidRPr="003B2CF6">
        <w:rPr>
          <w:rFonts w:ascii="Times New Roman" w:hAnsi="Times New Roman" w:cs="Times New Roman"/>
          <w:i/>
          <w:sz w:val="24"/>
          <w:szCs w:val="24"/>
        </w:rPr>
        <w:t>Kpn</w:t>
      </w:r>
      <w:r w:rsidRPr="003B2CF6">
        <w:rPr>
          <w:rFonts w:ascii="Times New Roman" w:hAnsi="Times New Roman" w:cs="Times New Roman"/>
          <w:sz w:val="24"/>
          <w:szCs w:val="24"/>
        </w:rPr>
        <w:t xml:space="preserve"> loop is an important structure of NME proteins. It plays a role in stabilizing the substrate in the catalytic site, and helps to maintain the quaternary structure of oligomers together with the C-terminal part of the protein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{"citationItems":[{"id":"ITEM-1","itemData":{"DOI":"10.3390/ijms21186779","ISSN":"1422-0067","PMID":"32947863","abstract":"Nucleoside diphosphate kinases (NDPK) are oligomeric proteins involved in the synthesis of nucleoside triphosphates. Their tridimensional structure has been solved by X-ray crystallography and shows that individual subunits present a conserved ferredoxin fold of about 140 residues in prokaryotes, archaea, eukaryotes and viruses. Monomers are functionally independent from each other inside NDPK complexes and the nucleoside kinase catalytic mechanism involves transient phosphorylation of the conserved catalytic histidine. To be active, monomers must assemble into conserved head to tail dimers, which further assemble into hexamers or tetramers. The interfaces between these oligomeric states are very different but, surprisingly, the assembly structure barely affects the catalytic efficiency of the enzyme. While it has been shown that assembly into hexamers induces full formation of the catalytic site and stabilizes the complex, it is unclear why assembly into tetramers is required for function. Several additional activities have been revealed for NDPK, especially in metastasis spreading, cytoskeleton dynamics, DNA binding and membrane remodeling. However, we still lack the high resolution structural data of NDPK in complex with different partners, which is necessary for deciphering the mechanism of these diverse functions. In this review we discuss advances in the structure, folding and stability of NDPKs.","author":[{"dropping-particle":"","family":"Georgescauld","given":"Florian","non-dropping-particle":"","parse-names":false,"suffix":""},{"dropping-particle":"","family":"Song","given":"Yuyu","non-dropping-particle":"","parse-names":false,"suffix":""},{"dropping-particle":"","family":"Dautant","given":"Alain","non-dropping-particle":"","parse-names":false,"suffix":""}],"container-title":"International Journal of Molecular Sciences","id":"ITEM-1","issue":"18","issued":{"date-parts":[["2020","9","16"]]},"page":"6779","publisher":"Multidisciplinary Digital Publishing Institute","title":"Structure, Folding and Stability of Nucleoside Diphosphate Kinases","type":"article-journal","volume":"21"},"uris":["http://www.mendeley.com/documents/?uuid=acbdca8a-96f5-39ba-8f0c-4304c34840dc"]}],"mendeley":{"formattedCitation":"[13]","plainTextFormattedCitation":"[13]","previouslyFormattedCitation":"[13]"},"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[13]</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Accordingly, the analysis of recombinant NME6 oligomerization showed that the protein remains mostly monomeric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_Ref106009847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39</w:t>
      </w:r>
      <w:r w:rsidR="007A1636">
        <w:rPr>
          <w:rFonts w:ascii="Times New Roman" w:hAnsi="Times New Roman" w:cs="Times New Roman"/>
          <w:sz w:val="24"/>
          <w:szCs w:val="24"/>
        </w:rPr>
        <w:fldChar w:fldCharType="end"/>
      </w:r>
      <w:r w:rsidR="007A1636">
        <w:rPr>
          <w:rFonts w:ascii="Times New Roman" w:hAnsi="Times New Roman" w:cs="Times New Roman"/>
          <w:sz w:val="24"/>
          <w:szCs w:val="24"/>
        </w:rPr>
        <w:t xml:space="preserve"> and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_Ref106009856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40</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 crosslinking profile of human NME6 protein was highly similar to the sponge variant of NME6, NME6Sd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{"citationItems":[{"id":"ITEM-1","itemData":{"DOI":"10.1007/s00210-011-0635-9","ISBN":"0028-1298","ISSN":"0028-1298","PMID":"21533994","abstract":"Nucleoside diphosphate kinases (NDPKs) are evolutionarily conserved enzymes involved in many biological processes such as metastasis, proliferation, development, differentiation, ciliary functions, vesicle transport and apoptosis in vertebrates. Biochemical mechanisms of these processes are still largely unknown. Sponges (Porifera) are simple metazoans without tissues, closest to the common ancestor of all animals. They changed little during evolution and probably provide the best insight into the metazoan ancestors' genomic features. The purpose of this study was to address structural and functional properties of group II Nme6 gene/protein ortholog from the marine sponge Suberites domuncula, Nme6, in order to elucidate its evolutionary history. Sponge Nme6 gene and promoter were sequenced and analysed with various bioinformatical tools. Nme6 and Nme6Δ31 proteins were produced in E. coli strain BL21 and NDPK activity was measured using a coupled pyruvate kinase-lactate dehydrogenase assay. Subcellular localization in human tumour cells was examined by confocal scanning microscopy. Our results show that the sponge Nme6 compared to human Nme6 does not possess NDPK activity, does not localize in mitochondria at least in human cells although it has a putative mitochondrial signal sequence, lacks two recent introns that comprise miRNAs and have different transcriptional binding sites in the promoter region. Therefore, we conclude that the structure of Nme6 gene has changed during metazoan evolution possibly in correlation with the function of the protein.","author":[{"dropping-particle":"","family":"Perina","given":"Drago","non-dropping-particle":"","parse-names":false,"suffix":""},{"dropping-particle":"","family":"Herak Bosnar","given":"Maja","non-dropping-particle":"","parse-names":false,"suffix":""},{"dropping-particle":"","family":"Mikoč","given":"Andreja","non-dropping-particle":"","parse-names":false,"suffix":""},{"dropping-particle":"","family":"Müller","given":"Werner E. G.","non-dropping-particle":"","parse-names":false,"suffix":""},{"dropping-particle":"","family":"Ćetković","given":"Helena","non-dropping-particle":"","parse-names":false,"suffix":""}],"container-title":"Naunyn-Schmiedeberg's Archives of Pharmacology","id":"ITEM-1","issue":"4-5","issued":{"date-parts":[["2011","10","2"]]},"page":"451-460","publisher":"Springer-Verlag","title":"Characterization of Nme6-like gene/protein from marine sponge Suberites domuncula","type":"article-journal","volume":"384"},"uris":["http://www.mendeley.com/documents/?uuid=3089d1cd-f2e2-35bb-9bd6-c04478f05767"]}],"mendeley":{"formattedCitation":"[27]","plainTextFormattedCitation":"[27]","previouslyFormattedCitation":"[27]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[27]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where the hexameric form was negligible. Moreover, it was strikingly dissimilar to human NME1, and NMEGp1Sd from the sponge, where the hexameric form predominated and the other oligomers were barely detectable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{"citationItems":[{"id":"ITEM-1","itemData":{"DOI":"10.1186/1471-2148-11-87","ISSN":"1471-2148","abstract":"Abstract. Background: Nucleoside diphosphate kinases NDPK are evolutionarily conserved enzymes present in Bacteria, Archaea and Eukarya, with human Nme1 the most studied representative of the family and the first identified metastasis suppressor. Sponges (Porifera) are simple metazoans without tissues, closest to the common ancestor of all animals. They changed little during evolution and probably provide the best insight into the metazoan ancestor's genomic features. Recent studies show that sponges have a wide repertoire of genes many of which are involved in diseases in more complex metazoans. The original function of those genes and the way it has evolved in the animal lineage is largely unknown. Here we report new results on the metastasis suppressor gene/protein homolog from the marine sponge Suberites domuncula, NmeGp1Sd. The purpose of this study was to investigate the properties of the sponge Group I Nme gene and protein, and compare it to its human homolog in order to elucidate the evolution of the structure and function of Nme. Results: We found that sponge genes coding for Group I Nme protein are intron-rich. Furthermore, we discovered that the sponge NmeGp1Sd protein has a similar level of kinase activity as its human homolog Nme1, does not cleave negatively supercoiled DNA and shows nonspecific DNA-binding activity. The sponge NmeGp1Sd forms a hexamer, like human Nme1, and all other eukaryotic Nme proteins. NmeGp1Sd interacts with human Nme1 in human cells and exhibits the same subcellular localization. Stable clones expressing sponge NmeGp1Sd inhibited the migratory potential of CAL 27 cells, as already reported for human Nme1, which suggests that Nme's function in migratory processes was engaged long before the composition of true tissues. Conclusions: This study suggests that the ancestor of all animals possessed a NmeGp1 protein with properties and functions similar to evolutionarily recent versions of the protein, even before the appearance of true tissues and the origin of tumors and metastasis. © 2011 Perina et al; licensee BioMed Central Ltd.","author":[{"dropping-particle":"","family":"Perina","given":"Drago","non-dropping-particle":"","parse-names":false,"suffix":""},{"dropping-particle":"","family":"Herak Bosnar","given":"Maja","non-dropping-particle":"","parse-names":false,"suffix":""},{"dropping-particle":"","family":"Bago","given":"Ružica","non-dropping-particle":"","parse-names":false,"suffix":""},{"dropping-particle":"","family":"Mikoč","given":"Andreja","non-dropping-particle":"","parse-names":false,"suffix":""},{"dropping-particle":"","family":"Harcet","given":"Matija","non-dropping-particle":"","parse-names":false,"suffix":""},{"dropping-particle":"","family":"Deželjin","given":"Martina","non-dropping-particle":"","parse-names":false,"suffix":""},{"dropping-particle":"","family":"Ćetković","given":"Helena","non-dropping-particle":"","parse-names":false,"suffix":""}],"container-title":"BMC Evolutionary Biology","id":"ITEM-1","issue":"1","issued":{"date-parts":[["2011","12","1"]]},"page":"87","title":"Sponge non-metastatic Group I Nme gene/protein - structure and function is conserved from sponges to humans","type":"article-journal","volume":"11"},"uris":["http://www.mendeley.com/documents/?uuid=76461635-c564-45eb-b9f2-e6d1419eed85"]}],"mendeley":{"formattedCitation":"[26]","plainTextFormattedCitation":"[26]","previouslyFormattedCitation":"[26]"},"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[26]</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Likewise, in the human cellular environment, the endogenous NME6 and the exogenous NME6-FLAG (194 aa or 186 </w:t>
      </w:r>
      <w:r w:rsidRPr="003B2CF6">
        <w:rPr>
          <w:rFonts w:ascii="Times New Roman" w:hAnsi="Times New Roman" w:cs="Times New Roman"/>
          <w:sz w:val="24"/>
          <w:szCs w:val="24"/>
        </w:rPr>
        <w:lastRenderedPageBreak/>
        <w:t>aa) failed to interact with each other in the immunoprecipitation experiment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_Ref106009865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41</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confirming once again the lack of interaction between NME6 monomers.</w:t>
      </w:r>
    </w:p>
    <w:p w14:paraId="53081699" w14:textId="1359265A"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As NME proteins have been shown to form heterohexamers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{"citationItems":[{"id":"ITEM-1","itemData":{"ISSN":"0021-9258","PMID":"1851158","abstract":"Human erythrocyte nucleoside-diphosphate kinase (NDP kinase) is a hexameric enzyme consisting of two kinds of polypeptide chains, A and B. By random association (A6, A5B...AB5, B6) these polypeptides form isoenzymes differing in their isoelectric point. Chains A and B of NDP kinase were purified by ion-exchange chromatography under denaturing conditions. Upon mixing and renaturation, the isozymic pattern of NDP kinase obtained by conventional methods was restored. Antibodies raised against purified chains showed significant cross-reactivity, both in immunoblot experiments and activity inhibition studies. Sequence determination showed that both chains consisted of 152 amino acid residues corresponding to Mr or 17,143 (chain A) and 17,294 (chain B), respectively. There was high homology between the two sequences (88% identity). The phosphorylation site on the enzyme is located at His-118. Chain A was identical with human Nm23 protein, which has been reported as a potential suppressor protein in tumor metastasis and chain B was identical with Nm23-H2 protein.","author":[{"dropping-particle":"","family":"Gilles","given":"A M","non-dropping-particle":"","parse-names":false,"suffix":""},{"dropping-particle":"","family":"Presecan","given":"E","non-dropping-particle":"","parse-names":false,"suffix":""},{"dropping-particle":"","family":"Vonica","given":"A","non-dropping-particle":"","parse-names":false,"suffix":""},{"dropping-particle":"","family":"Lascu","given":"I","non-dropping-particle":"","parse-names":false,"suffix":""}],"container-title":"The Journal of biological chemistry","id":"ITEM-1","issue":"14","issued":{"date-parts":[["1991","5","15"]]},"page":"8784-9","title":"Nucleoside diphosphate kinase from human erythrocytes. Structural characterization of the two polypeptide chains responsible for heterogeneity of the hexameric enzyme.","type":"article-journal","volume":"266"},"uris":["http://www.mendeley.com/documents/?uuid=021fc962-263a-41ad-95d4-3c91be8d5f28"]},{"id":"ITEM-2","itemData":{"DOI":"10.3390/ijms21072363","ISSN":"1422-0067","PMID":"32235358","abstract":"Nucleoside diphosphate kinases (NDPK/NME/Nm23) are enzymes composed of subunits NME1/NDPK A and NME2/NDPK B, responsible for the maintenance of the cellular (d)NTP pool and involved in other cellular processes, such as metastasis suppression and DNA damage repair. Although eukaryotic NDPKs are active only as hexamers, it is unclear whether other NME functions require the hexameric form, and how the isoenzyme composition varies in different cellular compartments. To examine the effect of DNA damage on intracellular localization of NME1 and NME2 and the composition of NME oligomers in the nucleus and the cytoplasm, we used live-cell imaging and the FRET/FLIM technique. We showed that exogenous NME1 and NME2 proteins co-localize in the cytoplasm of non-irradiated cells, and move simultaneously to the nucleus after gamma irradiation. The FRET/FLIM experiments imply that, after DNA damage, there is a slight shift in the homomer/heteromer balance between the nucleus and the cytoplasm. Collectively, our results indicate that, after irradiation, NME1 and NME2 engage in mutual functions in the nucleus, possibly performing specific functions in their homomeric states. Finally, we demonstrated that fluorophores fused to the N-termini of NME polypeptides produce the largest FRET effect and thus recommend this orientation for use in similar studies.","author":[{"dropping-particle":"","family":"Radić","given":"Martina","non-dropping-particle":"","parse-names":false,"suffix":""},{"dropping-particle":"","family":"Šoštar","given":"Marko","non-dropping-particle":"","parse-names":false,"suffix":""},{"dropping-particle":"","family":"Weber","given":"Igor","non-dropping-particle":"","parse-names":false,"suffix":""},{"dropping-particle":"","family":"Ćetković","given":"Helena","non-dropping-particle":"","parse-names":false,"suffix":""},{"dropping-particle":"","family":"Slade","given":"Neda","non-dropping-particle":"","parse-names":false,"suffix":""},{"dropping-particle":"","family":"Herak Bosnar","given":"Maja","non-dropping-particle":"","parse-names":false,"suffix":""}],"container-title":"International Journal of Molecular Sciences","id":"ITEM-2","issue":"7","issued":{"date-parts":[["2020","3","29"]]},"page":"2363","title":"The Subcellular Localization and Oligomerization Preferences of NME1/NME2 upon Radiation-Induced DNA Damage","type":"article-journal","volume":"21"},"uris":["http://www.mendeley.com/documents/?uuid=bdb8e9f0-0e21-4c12-8310-15d92e78d0e2"]}],"mendeley":{"formattedCitation":"[10,17]","plainTextFormattedCitation":"[10,17]","previouslyFormattedCitation":"[10,17]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[10,17]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we verified the potential interaction of NME6 with Group I NME protein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_Ref106009873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42</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NME1 and NME2 interacted with each other, but not with NME6. The result was expected considering the mostly cytosolic localization of NME1 and NME2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{"citationItems":[{"id":"ITEM-1","itemData":{"DOI":"10.1016/j.yexcr.2004.04.018","ISSN":"00144827","PMID":"15242782","abstract":"The human Nm23-H1/NDPK A and Nm23-H2/NDPK B encode for two subunits of nucleoside diphosphate kinase--a ubiquitous enzyme that transfers the terminal phosphates from ATP to (d)NDPs. Although having an 88% amino acid sequence identity and an already assigned biochemical role in the cell, the two subunits appear to have additional and distinctive cell functions. In particular, both subunits have been reported to be involved in tumor progression and metastasis. The aim of this study was to determine the specific, and potentially distinct, localizations of both subunits in tumor cells of different origin and differentiation and therefore to search for a possible link between their localization and the stage of disease. We used the GFP reporter system to analyze the ectopic expression of GFP-Nm23 proteins in head and neck tumor cell lines by fluorescent microscopy techniques. Our experiments revealed that GFP-fused Nm23-H1 and -H2 proteins display the same localization in transfected cells, regardless of their origin and differentiation status. The proteins are principally found in the cytosol and the endoplasmic reticulum. Moreover, some cells exhibit nuclear staining, which appears to be cell cycle-dependent.","author":[{"dropping-particle":"","family":"Herak Bosnar","given":"Maja","non-dropping-particle":"","parse-names":false,"suffix":""},{"dropping-particle":"","family":"Gunzburg","given":"Jean","non-dropping-particle":"de","parse-names":false,"suffix":""},{"dropping-particle":"","family":"Bago","given":"Ružica","non-dropping-particle":"","parse-names":false,"suffix":""},{"dropping-particle":"","family":"Brečević","given":"Lukrecija","non-dropping-particle":"","parse-names":false,"suffix":""},{"dropping-particle":"","family":"Weber","given":"Igor","non-dropping-particle":"","parse-names":false,"suffix":""},{"dropping-particle":"","family":"Pavelić","given":"Jasminka","non-dropping-particle":"","parse-names":false,"suffix":""}],"container-title":"Experimental Cell Research","id":"ITEM-1","issue":"1","issued":{"date-parts":[["2004","8","1"]]},"page":"275-284","title":"Subcellular localization of A and B Nm23/NDPK subunits","type":"article-journal","volume":"298"},"uris":["http://www.mendeley.com/documents/?uuid=fe91f1bf-e9ea-4dc2-a8f7-ea3489079403"]}],"mendeley":{"formattedCitation":"[85]","plainTextFormattedCitation":"[85]","previouslyFormattedCitation":"[85]"},"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[85]</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More interest was given to the mitochondrial NME3, partially localizing at the outer face of the MOM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{"citationItems":[{"id":"ITEM-1","itemData":{"DOI":"10.1073/pnas.1818629116","ISSN":"0027-8424","PMID":"30587587","abstract":"It is known that nutrient starvation stimulates mitochondrial fusion for cell survival. In this study, a homozygous mutation in the NME3 gene, which encodes an NDP kinase, was identified in a fatal neurodegenerative disorder. Cells derived from the patient were deficient of NME3 and intolerant to glucose starvation. Patient cells were used to demonstrate that NME3 rescued cell survival by two separate functions, namely stimulation of mitochondrial fusion and NDP kinase activity. Since mitochondrial dynamics and energy efficiency are important for neuronal development, our data suggest a link between two functions of NME3 and a fatal neuronal disorder.","author":[{"dropping-particle":"","family":"Chen","given":"Chih-Wei","non-dropping-particle":"","parse-names":false,"suffix":""},{"dropping-particle":"","family":"Wang","given":"Hong-Ling","non-dropping-particle":"","parse-names":false,"suffix":""},{"dropping-particle":"","family":"Huang","given":"Ching-Wen","non-dropping-particle":"","parse-names":false,"suffix":""},{"dropping-particle":"","family":"Huang","given":"Chang-Yu","non-dropping-particle":"","parse-names":false,"suffix":""},{"dropping-particle":"","family":"Lim","given":"Wai Keong","non-dropping-particle":"","parse-names":false,"suffix":""},{"dropping-particle":"","family":"Tu","given":"I-Chen","non-dropping-particle":"","parse-names":false,"suffix":""},{"dropping-particle":"","family":"Koorapati","given":"Atmaja","non-dropping-particle":"","parse-names":false,"suffix":""},{"dropping-particle":"","family":"Hsieh","given":"Sung-Tsang","non-dropping-particle":"","parse-names":false,"suffix":""},{"dropping-particle":"","family":"Kan","given":"Hung-Wei","non-dropping-particle":"","parse-names":false,"suffix":""},{"dropping-particle":"","family":"Tzeng","given":"Shiou-Ru","non-dropping-particle":"","parse-names":false,"suffix":""},{"dropping-particle":"","family":"Liao","given":"Jung-Chi","non-dropping-particle":"","parse-names":false,"suffix":""},{"dropping-particle":"","family":"Chong","given":"Weng Man","non-dropping-particle":"","parse-names":false,"suffix":""},{"dropping-particle":"","family":"Naroditzky","given":"Inna","non-dropping-particle":"","parse-names":false,"suffix":""},{"dropping-particle":"","family":"Kidron","given":"Dvora","non-dropping-particle":"","parse-names":false,"suffix":""},{"dropping-particle":"","family":"Eran","given":"Ayelet","non-dropping-particle":"","parse-names":false,"suffix":""},{"dropping-particle":"","family":"Nijim","given":"Yousif","non-dropping-particle":"","parse-names":false,"suffix":""},{"dropping-particle":"","family":"Sela","given":"Ella","non-dropping-particle":"","parse-names":false,"suffix":""},{"dropping-particle":"","family":"Feldman","given":"Hagit Baris","non-dropping-particle":"","parse-names":false,"suffix":""},{"dropping-particle":"","family":"Kalfon","given":"Limor","non-dropping-particle":"","parse-names":false,"suffix":""},{"dropping-particle":"","family":"Raveh-Barak","given":"Hadas","non-dropping-particle":"","parse-names":false,"suffix":""},{"dropping-particle":"","family":"Falik-Zaccai","given":"Tzipora C.","non-dropping-particle":"","parse-names":false,"suffix":""},{"dropping-particle":"","family":"Elpeleg","given":"Orly","non-dropping-particle":"","parse-names":false,"suffix":""},{"dropping-particle":"","family":"Mandel","given":"Hanna","non-dropping-particle":"","parse-names":false,"suffix":""},{"dropping-particle":"","family":"Chang","given":"Zee-Fen","non-dropping-particle":"","parse-names":false,"suffix":""}],"container-title":"Proceedings of the National Academy of Sciences","id":"ITEM-1","issue":"2","issued":{"date-parts":[["2019","1","8"]]},"page":"566-574","title":"Two separate functions of NME3 critical for cell survival underlie a neurodegenerative disorder","type":"article-journal","volume":"116"},"uris":["http://www.mendeley.com/documents/?uuid=96217a27-cb1d-431e-bd06-6222fbaba292"]},{"id":"ITEM-2","itemData":{"DOI":"10.3390/ijms21145048","ISSN":"1422-0067","PMID":"32708927","abstract":"NME3 is a member of the nucleoside diphosphate kinase (NDPK) family that binds to the mitochondrial outer membrane to stimulate mitochondrial fusion. In this study, we showed that NME3 knockdown delayed DNA repair without reducing the cellular levels of nucleotide triphosphates. Further analyses revealed that NME3 knockdown increased fragmentation of mitochondria, which in turn led to mitochondrial oxidative stress-mediated DNA single-strand breaks (SSBs) in nuclear DNA. Re-expression of wild-type NME3 or inhibition of mitochondrial fission markedly reduced SSBs and facilitated DNA repair in NME3 knockdown cells, while expression of N-terminal deleted mutant defective in mitochondrial binding had no rescue effect. We further showed that disruption of mitochondrial fusion by knockdown of NME4 or MFN1 also caused mitochondrial oxidative stress-mediated genome instability. In conclusion, the contribution of NME3 to redox-regulated genome stability lies in its function in mitochondrial fusion.","author":[{"dropping-particle":"","family":"Chen","given":"Chih-Wei","non-dropping-particle":"","parse-names":false,"suffix":""},{"dropping-particle":"","family":"Tsao","given":"Ning","non-dropping-particle":"","parse-names":false,"suffix":""},{"dropping-particle":"","family":"Zhang","given":"Wei","non-dropping-particle":"","parse-names":false,"suffix":""},{"dropping-particle":"","family":"Chang","given":"Zee-Fen","non-dropping-particle":"","parse-names":false,"suffix":""}],"container-title":"International Journal of Molecular Sciences","id":"ITEM-2","issue":"14","issued":{"date-parts":[["2020","7","17"]]},"page":"5048","title":"NME3 Regulates Mitochondria to Reduce ROS-Mediated Genome Instability","type":"article-journal","volume":"21"},"uris":["http://www.mendeley.com/documents/?uuid=a9465582-edef-472f-9670-6e19573fb8b8"]}],"mendeley":{"formattedCitation":"[19,20]","plainTextFormattedCitation":"[19,20]","previouslyFormattedCitation":"[19,20]"},"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[19,20]</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and the mitochondrial NME4, interacting with the MIM and facing either the IMS or the matrix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{"citationItems":[{"id":"ITEM-1","itemData":{"DOI":"10.1074/jbc.M803132200","ISSN":"00219258","abstract":"Nucleoside diphosphate kinase (NDPK/Nm23), responsible for intracellular di- and triphosphonucleoside homeostasis, plays multiple roles in cellular energetics, signaling, proliferation, differentiation and tumor invasion. The only human NDPK with a mitochondrial targeting sequence is NDPK-D, the NME4 gene product, which is a peripheral protein of mitochondrial membranes. Subfractionation of rat liver and HEK 293 cell mitochondria revealed that NDPK-D is essentially bound to the inner membrane. Surface plasmon resonance analysis of the interaction using recombinant NDPK-D and model liposomes showed that NDPK-D interacts electrostatically with anionic phospholipids, with highest affinity observed for cardiolipin. Mutation of the central arginine (Arg-90) in a surface-exposed basic RRK motif unique to NDPK-D strongly reduced interaction with anionic phospholipids. Due to its symmetrical hexameric structure, NDPK-D was able to cross-link anionic phospholipid-containing liposomes, suggesting that NDPK-D could promote intermembrane contacts. Latency assays with isolated mitochondria and antibody binding to mitoplasts indicated a dual orientation for NDPK-D. In HeLa cells, stable expression of wild type but not of the R90D mutant led to membrane-bound enzyme in vivo. Respiration was significantly stimulated by the NDPK substrate TDP in mitochondria containing wild-type NDPK-D, but not in those expressing the R90D mutant, which is catalytically equally active. This indicates local ADP regeneration in the mitochondrial intermembrane space and a tight functional coupling of NDPK-D with oxidative phosphorylation that depends on its membrane-bound state. © 2008 by The American Society for Biochemistry and Molecular Biology, Inc.","author":[{"dropping-particle":"","family":"Tokarska-Schlattner","given":"Malgorzata","non-dropping-particle":"","parse-names":false,"suffix":""},{"dropping-particle":"","family":"Boissan","given":"Mathieu","non-dropping-particle":"","parse-names":false,"suffix":""},{"dropping-particle":"","family":"Munier","given":"Annie","non-dropping-particle":"","parse-names":false,"suffix":""},{"dropping-particle":"","family":"Borot","given":"Caroline","non-dropping-particle":"","parse-names":false,"suffix":""},{"dropping-particle":"","family":"Mailleau","given":"Christiane","non-dropping-particle":"","parse-names":false,"suffix":""},{"dropping-particle":"","family":"Speer","given":"Oliver","non-dropping-particle":"","parse-names":false,"suffix":""},{"dropping-particle":"","family":"Schlattner","given":"Uwe","non-dropping-particle":"","parse-names":false,"suffix":""},{"dropping-particle":"","family":"Lacombe","given":"Marie-Lise","non-dropping-particle":"","parse-names":false,"suffix":""}],"container-title":"Journal of Biological Chemistry","id":"ITEM-1","issue":"38","issued":{"date-parts":[["2008","9","19"]]},"page":"26198-26207","title":"The Nucleoside Diphosphate Kinase D (NM23-H4) Binds the Inner Mitochondrial Membrane with High Affinity to Cardiolipin and Couples Nucleotide Transfer with Respiration","type":"article-journal","volume":"283"},"uris":["http://www.mendeley.com/documents/?uuid=7aeaf41c-4e80-495d-a071-2a968eb7e6c2"]}],"mendeley":{"formattedCitation":"[94]","plainTextFormattedCitation":"[94]","previouslyFormattedCitation":"[94]"},"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[94]</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 immunoprecipitation revealed the absence of stable interactions between NME6 and NME3, a rational result considering their respective localization, where the proteins would be physically separated by two lipidic membranes, the MIM and the MOM. Similarly, we showed the absence of an interaction between NME6 and NME4. Nevertheless, a proximity ligation assay indicated that the two proteins are localized in close vicinity within the mitochondria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{"citationItems":[{"id":"ITEM-1","itemData":{"DOI":"10.1186/s13578-021-00707-0","ISSN":"2045-3701","PMID":"34789336","abstract":"BACKGROUND NME6 is a member of the nucleoside diphosphate kinase (NDPK/NME/Nm23) family which has key roles in nucleotide homeostasis, signal transduction, membrane remodeling and metastasis suppression. The well-studied NME1-NME4 proteins are hexameric and catalyze, via a phospho-histidine intermediate, the transfer of the terminal phosphate from (d)NTPs to (d)NDPs (NDP kinase) or proteins (protein histidine kinase). For the NME6, a gene/protein that emerged early in eukaryotic evolution, only scarce and partially inconsistent data are available. Here we aim to clarify and extend our knowledge on the human NME6. RESULTS We show that NME6 is mostly expressed as a 186 amino acid protein, but that a second albeit much less abundant isoform exists. The recombinant NME6 remains monomeric, and does not assemble into homo-oligomers or hetero-oligomers with NME1-NME4. Consequently, NME6 is unable to catalyze phosphotransfer: it does not generate the phospho-histidine intermediate, and no NDPK activity can be detected. In cells, we could resolve and extend existing contradictory reports by localizing NME6 within mitochondria, largely associated with the mitochondrial inner membrane and matrix space. Overexpressing NME6 reduces ADP-stimulated mitochondrial respiration and complex III abundance, thus linking NME6 to dysfunctional oxidative phosphorylation. However, it did not alter mitochondrial membrane potential, mass, or network characteristics. Our screen for NME6 protein partners revealed its association with NME4 and OPA1, but a direct interaction was observed only with RCC1L, a protein involved in mitochondrial ribosome assembly and mitochondrial translation, and identified as essential for oxidative phosphorylation. CONCLUSIONS NME6, RCC1L and mitoribosomes localize together at the inner membrane/matrix space where NME6, in concert with RCC1L, may be involved in regulation of the mitochondrial translation of essential oxidative phosphorylation subunits. Our findings suggest new functions for NME6, independent of the classical phosphotransfer activity associated with NME proteins.","author":[{"dropping-particle":"","family":"Proust","given":"Bastien","non-dropping-particle":"","parse-names":false,"suffix":""},{"dropping-particle":"","family":"Radić","given":"Martina","non-dropping-particle":"","parse-names":false,"suffix":""},{"dropping-particle":"","family":"Vidaček","given":"Nikolina Škrobot","non-dropping-particle":"","parse-names":false,"suffix":""},{"dropping-particle":"","family":"Cottet","given":"Cécile","non-dropping-particle":"","parse-names":false,"suffix":""},{"dropping-particle":"","family":"Attia","given":"Stéphane","non-dropping-particle":"","parse-names":false,"suffix":""},{"dropping-particle":"","family":"Lamarche","given":"Frédéric","non-dropping-particle":"","parse-names":false,"suffix":""},{"dropping-particle":"","family":"Ačkar","given":"Lucija","non-dropping-particle":"","parse-names":false,"suffix":""},{"dropping-particle":"","family":"Mikulčić","given":"Vlatka Godinić","non-dropping-particle":"","parse-names":false,"suffix":""},{"dropping-particle":"","family":"Tokarska-Schlattner","given":"Malgorzata","non-dropping-particle":"","parse-names":false,"suffix":""},{"dropping-particle":"","family":"Ćetković","given":"Helena","non-dropping-particle":"","parse-names":false,"suffix":""},{"dropping-particle":"","family":"Schlattner","given":"Uwe","non-dropping-particle":"","parse-names":false,"suffix":""},{"dropping-particle":"","family":"Bosnar","given":"Maja Herak","non-dropping-particle":"","parse-names":false,"suffix":""}],"container-title":"Cell &amp; Bioscience","id":"ITEM-1","issue":"1","issued":{"date-parts":[["2021","12","17"]]},"page":"195","publisher":"BioMed Central Ltd","title":"NME6 is a phosphotransfer-inactive, monomeric NME/NDPK family member and functions in complexes at the interface of mitochondrial inner membrane and matrix","type":"article-journal","volume":"11"},"uris":["http://www.mendeley.com/documents/?uuid=34765eca-a7db-33c5-98be-33ec310f31f6"]}],"mendeley":{"formattedCitation":"[81]","plainTextFormattedCitation":"[81]","previouslyFormattedCitation":"[81]"},"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[81]</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w:t>
      </w:r>
    </w:p>
    <w:p w14:paraId="7857BB14" w14:textId="3A7BDCF1"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To narrow down the potential mitochondrial pathways in which NME6 could be involved, we searched for possible protein interacting partners. </w:t>
      </w:r>
      <w:r w:rsidRPr="003B2CF6">
        <w:rPr>
          <w:rFonts w:ascii="Times New Roman" w:hAnsi="Times New Roman" w:cs="Times New Roman"/>
          <w:i/>
          <w:sz w:val="24"/>
          <w:szCs w:val="24"/>
        </w:rPr>
        <w:t>In silico</w:t>
      </w:r>
      <w:r w:rsidRPr="003B2CF6">
        <w:rPr>
          <w:rFonts w:ascii="Times New Roman" w:hAnsi="Times New Roman" w:cs="Times New Roman"/>
          <w:sz w:val="24"/>
          <w:szCs w:val="24"/>
        </w:rPr>
        <w:t xml:space="preserve"> analysis of large-scale protein-protein interaction studies pinpointed RCC1L as a potential interactor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{"citationItems":[{"id":"ITEM-1","itemData":{"DOI":"10.1016/j.cmet.2020.07.017","ISSN":"15504131","PMID":"32877691","abstract":"We used BioID, a proximity-dependent biotinylation assay with 100 mitochondrial baits from all mitochondrial sub-compartments, to create a high-resolution human mitochondrial proximity interaction network. We identified 1,465 proteins, producing 15,626 unique high-confidence proximity interactions. Of these, 528 proteins were previously annotated as mitochondrial, nearly half of the mitochondrial proteome defined by Mitocarta 2.0. Bait-bait analysis showed a clear separation of mitochondrial compartments, and correlation analysis among preys across all baits allowed us to identify functional clusters involved in diverse mitochondrial functions and to assign uncharacterized proteins to specific modules. We demonstrate that this analysis can assign isoforms of the same mitochondrial protein to different mitochondrial sub-compartments and show that some proteins may have multiple cellular locations. Outer membrane baits showed specific proximity interactions with cytosolic proteins and proteins in other organellar membranes, suggesting specialization of proteins responsible for contact site formation between mitochondria and individual organelles.","author":[{"dropping-particle":"","family":"Antonicka","given":"Hana","non-dropping-particle":"","parse-names":false,"suffix":""},{"dropping-particle":"","family":"Lin","given":"Zhen-Yuan","non-dropping-particle":"","parse-names":false,"suffix":""},{"dropping-particle":"","family":"Janer","given":"Alexandre","non-dropping-particle":"","parse-names":false,"suffix":""},{"dropping-particle":"","family":"Aaltonen","given":"Mari J.","non-dropping-particle":"","parse-names":false,"suffix":""},{"dropping-particle":"","family":"Weraarpachai","given":"Woranontee","non-dropping-particle":"","parse-names":false,"suffix":""},{"dropping-particle":"","family":"Gingras","given":"Anne-Claude","non-dropping-particle":"","parse-names":false,"suffix":""},{"dropping-particle":"","family":"Shoubridge","given":"Eric A.","non-dropping-particle":"","parse-names":false,"suffix":""}],"container-title":"Cell Metabolism","id":"ITEM-1","issue":"3","issued":{"date-parts":[["2020","9"]]},"note":"Nme6 in found in strong interaction with RCC1-L protein.","page":"479-497","title":"A High-Density Human Mitochondrial Proximity Interaction Network","type":"article-journal","volume":"32"},"uris":["http://www.mendeley.com/documents/?uuid=81810419-0b42-453a-b720-83a6aef22b79"]},{"id":"ITEM-2","itemData":{"DOI":"10.1016/j.cmet.2016.08.017","ISSN":"15504131","PMID":"27667664","abstract":"Oxidative phosphorylation (OXPHOS) is the major pathway for ATP production in humans. Deficiencies in OXPHOS can arise from mutations in either mitochondrial or nuclear genomes and comprise the largest collection of inborn errors of metabolism. At present we lack a complete catalog of human genes and pathways essential for OXPHOS. Here we introduce a genome-wide CRISPR “death screen” that actively selects dying cells to reveal human genes required for OXPHOS, inspired by the classic observation that human cells deficient in OXPHOS survive in glucose but die in galactose. We report 191 high-confidence hits essential for OXPHOS, including 72 underlying known OXPHOS diseases. Our screen reveals a functional module consisting of NGRN, WBSCR16, RPUSD3, RPUSD4, TRUB2, and FASTKD2 that regulates the mitochondrial 16S rRNA and intra-mitochondrial translation. Our work yields a rich catalog of genes required for OXPHOS and, more generally, demonstrates the power of death screening for functional genomic analysis.","author":[{"dropping-particle":"","family":"Arroyo","given":"Jason D.","non-dropping-particle":"","parse-names":false,"suffix":""},{"dropping-particle":"","family":"Jourdain","given":"Alexis A.","non-dropping-particle":"","parse-names":false,"suffix":""},{"dropping-particle":"","family":"Calvo","given":"Sarah E.","non-dropping-particle":"","parse-names":false,"suffix":""},{"dropping-particle":"","family":"Ballarano","given":"Carmine A.","non-dropping-particle":"","parse-names":false,"suffix":""},{"dropping-particle":"","family":"Doench","given":"John G.","non-dropping-particle":"","parse-names":false,"suffix":""},{"dropping-particle":"","family":"Root","given":"David E.","non-dropping-particle":"","parse-names":false,"suffix":""},{"dropping-particle":"","family":"Mootha","given":"Vamsi K.","non-dropping-particle":"","parse-names":false,"suffix":""}],"container-title":"Cell Metabolism","id":"ITEM-2","issue":"6","issued":{"date-parts":[["2016","12"]]},"page":"875-885","title":"A Genome-wide CRISPR Death Screen Identifies Genes Essential for Oxidative Phosphorylation","type":"article-journal","volume":"24"},"uris":["http://www.mendeley.com/documents/?uuid=50ab3005-005f-4c19-8d6a-b0f94b9f208e"]},{"id":"ITEM-3","itemData":{"DOI":"10.1016/j.molcel.2016.06.033","ISSN":"10972765","PMID":"27499296","abstract":"Mitochondria are essential for numerous cellular processes, yet hundreds of their proteins lack robust functional annotation. To reveal functions for these proteins (termed MXPs), we assessed condition-specific protein-protein interactions for 50 select MXPs using affinity enrichment mass spectrometry. Our data connect MXPs to diverse mitochondrial processes, including multiple aspects of respiratory chain function. Building upon these observations, we validated C17orf89 as a complex I (CI) assembly factor. Disruption of C17orf89 markedly reduced CI activity, and its depletion is found in an unresolved case of CI deficiency. We likewise discovered that LYRM5 interacts with and deflavinates the electron-transferring flavoprotein that shuttles electrons to coenzyme Q (CoQ). Finally, we identified a dynamic human CoQ biosynthetic complex involving multiple MXPs whose topology we map using purified components. Collectively, our data lend mechanistic insight into respiratory chain-related activities and prioritize hundreds of additional interactions for further exploration of mitochondrial protein function.","author":[{"dropping-particle":"","family":"Floyd","given":"Brendan J.","non-dropping-particle":"","parse-names":false,"suffix":""},{"dropping-particle":"","family":"Wilkerson","given":"Emily M.","non-dropping-particle":"","parse-names":false,"suffix":""},{"dropping-particle":"","family":"Veling","given":"Mike T.","non-dropping-particle":"","parse-names":false,"suffix":""},{"dropping-particle":"","family":"Minogue","given":"Catie E.","non-dropping-particle":"","parse-names":false,"suffix":""},{"dropping-particle":"","family":"Xia","given":"Chuanwu","non-dropping-particle":"","parse-names":false,"suffix":""},{"dropping-particle":"","family":"Beebe","given":"Emily T.","non-dropping-particle":"","parse-names":false,"suffix":""},{"dropping-particle":"","family":"Wrobel","given":"Russell L.","non-dropping-particle":"","parse-names":false,"suffix":""},{"dropping-particle":"","family":"Cho","given":"Holly","non-dropping-particle":"","parse-names":false,"suffix":""},{"dropping-particle":"","family":"Kremer","given":"Laura S.","non-dropping-particle":"","parse-names":false,"suffix":""},{"dropping-particle":"","family":"Alston","given":"Charlotte L.","non-dropping-particle":"","parse-names":false,"suffix":""},{"dropping-particle":"","family":"Gromek","given":"Katarzyna A.","non-dropping-particle":"","parse-names":false,"suffix":""},{"dropping-particle":"","family":"Dolan","given":"Brendan K.","non-dropping-particle":"","parse-names":false,"suffix":""},{"dropping-particle":"","family":"Ulbrich","given":"Arne","non-dropping-particle":"","parse-names":false,"suffix":""},{"dropping-particle":"","family":"Stefely","given":"Jonathan A.","non-dropping-particle":"","parse-names":false,"suffix":""},{"dropping-particle":"","family":"Bohl","given":"Sarah L.","non-dropping-particle":"","parse-names":false,"suffix":""},{"dropping-particle":"","family":"Werner","given":"Kelly M.","non-dropping-particle":"","parse-names":false,"suffix":""},{"dropping-particle":"","family":"Jochem","given":"Adam","non-dropping-particle":"","parse-names":false,"suffix":""},{"dropping-particle":"","family":"Westphall","given":"Michael S.","non-dropping-particle":"","parse-names":false,"suffix":""},{"dropping-particle":"","family":"Rensvold","given":"Jarred W.","non-dropping-particle":"","parse-names":false,"suffix":""},{"dropping-particle":"","family":"Taylor","given":"Robert W.","non-dropping-particle":"","parse-names":false,"suffix":""},{"dropping-particle":"","family":"Prokisch","given":"Holger","non-dropping-particle":"","parse-names":false,"suffix":""},{"dropping-particle":"","family":"Kim","given":"Jung-Ja P.","non-dropping-particle":"","parse-names":false,"suffix":""},{"dropping-particle":"","family":"Coon","given":"Joshua J.","non-dropping-particle":"","parse-names":false,"suffix":""},{"dropping-particle":"","family":"Pagliarini","given":"David J.","non-dropping-particle":"","parse-names":false,"suffix":""}],"container-title":"Molecular Cell","id":"ITEM-3","issue":"4","issued":{"date-parts":[["2016","8"]]},"page":"621-632","title":"Mitochondrial Protein Interaction Mapping Identifies Regulators of Respiratory Chain Function","type":"article-journal","volume":"63"},"uris":["http://www.mendeley.com/documents/?uuid=2db9e713-3b8b-4792-a251-d5bcb90fa81e"]},{"id":"ITEM-4","itemData":{"DOI":"10.1016/j.cell.2021.04.011","ISSN":"00928674","PMID":"33961781","abstract":"Thousands of interactions assemble proteins into modules that impart spatial and functional organization to the cellular proteome. Through affinity-purification mass spectrometry, we have created two proteome-scale, cell-line-specific interaction networks. The first, BioPlex 3.0, results from affinity purification of 10,128 human proteins-half the proteome-in 293T cells and includes 118,162 interactions among 14,586 proteins. The second results from 5,522 immunoprecipitations in HCT116 cells. These networks model the interactome whose structure encodes protein function, localization, and complex membership. Comparison across cell lines validates thousands of interactions and reveals extensive customization. Whereas shared interactions reside in core complexes and involve essential proteins, cell-specific interactions link these complexes, \"rewiring\" subnetworks within each cell's interactome. Interactions covary among proteins of shared function as the proteome remodels to produce each cell's phenotype. Viewable interactively online through BioPlexExplorer, these networks define principles of proteome organization and enable unknown protein characterization.","author":[{"dropping-particle":"","family":"Huttlin","given":"Edward L","non-dropping-particle":"","parse-names":false,"suffix":""},{"dropping-particle":"","family":"Bruckner","given":"Raphael J","non-dropping-particle":"","parse-names":false,"suffix":""},{"dropping-particle":"","family":"Navarrete-Perea","given":"Jose","non-dropping-particle":"","parse-names":false,"suffix":""},{"dropping-particle":"","family":"Cannon","given":"Joe R","non-dropping-particle":"","parse-names":false,"suffix":""},{"dropping-particle":"","family":"Baltier","given":"Kurt","non-dropping-particle":"","parse-names":false,"suffix":""},{"dropping-particle":"","family":"Gebreab","given":"Fana","non-dropping-particle":"","parse-names":false,"suffix":""},{"dropping-particle":"","family":"Gygi","given":"Melanie P","non-dropping-particle":"","parse-names":false,"suffix":""},{"dropping-particle":"","family":"Thornock","given":"Alexandra","non-dropping-particle":"","parse-names":false,"suffix":""},{"dropping-particle":"","family":"Zarraga","given":"Gabriela","non-dropping-particle":"","parse-names":false,"suffix":""},{"dropping-particle":"","family":"Tam","given":"Stanley","non-dropping-particle":"","parse-names":false,"suffix":""},{"dropping-particle":"","family":"Szpyt","given":"John","non-dropping-particle":"","parse-names":false,"suffix":""},{"dropping-particle":"","family":"Gassaway","given":"Brandon M","non-dropping-particle":"","parse-names":false,"suffix":""},{"dropping-particle":"","family":"Panov","given":"Alexandra","non-dropping-particle":"","parse-names":false,"suffix":""},{"dropping-particle":"","family":"Parzen","given":"Hannah","non-dropping-particle":"","parse-names":false,"suffix":""},{"dropping-particle":"","family":"Fu","given":"Sipei","non-dropping-particle":"","parse-names":false,"suffix":""},{"dropping-particle":"","family":"Golbazi","given":"Arvene","non-dropping-particle":"","parse-names":false,"suffix":""},{"dropping-particle":"","family":"Maenpaa","given":"Eila","non-dropping-particle":"","parse-names":false,"suffix":""},{"dropping-particle":"","family":"Stricker","given":"Keegan","non-dropping-particle":"","parse-names":false,"suffix":""},{"dropping-particle":"","family":"Guha Thakurta","given":"Sanjukta","non-dropping-particle":"","parse-names":false,"suffix":""},{"dropping-particle":"","family":"Zhang","given":"Tian","non-dropping-particle":"","parse-names":false,"suffix":""},{"dropping-particle":"","family":"Rad","given":"Ramin","non-dropping-particle":"","parse-names":false,"suffix":""},{"dropping-particle":"","family":"Pan","given":"Joshua","non-dropping-particle":"","parse-names":false,"suffix":""},{"dropping-particle":"","family":"Nusinow","given":"David P","non-dropping-particle":"","parse-names":false,"suffix":""},{"dropping-particle":"","family":"Paulo","given":"Joao A","non-dropping-particle":"","parse-names":false,"suffix":""},{"dropping-particle":"","family":"Schweppe","given":"Devin K","non-dropping-particle":"","parse-names":false,"suffix":""},{"dropping-particle":"","family":"Vaites","given":"Laura Pontano","non-dropping-particle":"","parse-names":false,"suffix":""},{"dropping-particle":"","family":"Harper","given":"J Wade","non-dropping-particle":"","parse-names":false,"suffix":""},{"dropping-particle":"","family":"Gygi","given":"Steven P","non-dropping-particle":"","parse-names":false,"suffix":""}],"container-title":"Cell","id":"ITEM-4","issue":"11","issued":{"date-parts":[["2021","5","27"]]},"page":"3022-3040","publisher":"Cell Press","title":"Dual proteome-scale networks reveal cell-specific remodeling of the human interactome","type":"article-journal","volume":"184"},"uris":["http://www.mendeley.com/documents/?uuid=394c3161-1abc-36c5-8d7b-7a9a36582993"]},{"id":"ITEM-5","itemData":{"DOI":"10.1038/msb.2011.67","ISSN":"1744-4292","PMID":"21988832","abstract":"Proteome-scale protein interaction maps are available for many organisms, ranging from bacteria, yeast, worms and flies to humans. These maps provide substantial new insights into systems biology, disease research and drug discovery. However, only a small fraction of the total number of human protein-protein interactions has been identified. In this study, we map the interactions of an unbiased selection of 5026 human liver expression proteins by yeast two-hybrid technology and establish a human liver protein interaction network (HLPN) composed of 3484 interactions among 2582 proteins. The data set has a validation rate of over 72% as determined by three independent biochemical or cellular assays. The network includes metabolic enzymes and liver-specific, liver-phenotype and liver-disease proteins that are individually critical for the maintenance of liver functions. The liver enriched proteins had significantly different topological properties and increased our understanding of the functional relationships among proteins in a liver-specific manner. Our data represent the first comprehensive description of a HLPN, which could be a valuable tool for understanding the functioning of the protein interaction network of the human liver.","author":[{"dropping-particle":"","family":"Wang","given":"Jian","non-dropping-particle":"","parse-names":false,"suffix":""},{"dropping-particle":"","family":"Huo","given":"Keke","non-dropping-particle":"","parse-names":false,"suffix":""},{"dropping-particle":"","family":"Ma","given":"Lixin","non-dropping-particle":"","parse-names":false,"suffix":""},{"dropping-particle":"","family":"Tang","given":"Liujun","non-dropping-particle":"","parse-names":false,"suffix":""},{"dropping-particle":"","family":"Li","given":"Dong","non-dropping-particle":"","parse-names":false,"suffix":""},{"dropping-particle":"","family":"Huang","given":"Xiaobi","non-dropping-particle":"","parse-names":false,"suffix":""},{"dropping-particle":"","family":"Yuan","given":"Yanzhi","non-dropping-particle":"","parse-names":false,"suffix":""},{"dropping-particle":"","family":"Li","given":"Chunhua","non-dropping-particle":"","parse-names":false,"suffix":""},{"dropping-particle":"","family":"Wang","given":"Wei","non-dropping-particle":"","parse-names":false,"suffix":""},{"dropping-particle":"","family":"Guan","given":"Wei","non-dropping-particle":"","parse-names":false,"suffix":""},{"dropping-particle":"","family":"Chen","given":"Hui","non-dropping-particle":"","parse-names":false,"suffix":""},{"dropping-particle":"","family":"Jin","given":"Chaozhi","non-dropping-particle":"","parse-names":false,"suffix":""},{"dropping-particle":"","family":"Wei","given":"Juncheng","non-dropping-particle":"","parse-names":false,"suffix":""},{"dropping-particle":"","family":"Zhang","given":"Wanqiao","non-dropping-particle":"","parse-names":false,"suffix":""},{"dropping-particle":"","family":"Yang","given":"Yongsheng","non-dropping-particle":"","parse-names":false,"suffix":""},{"dropping-particle":"","family":"Liu","given":"Qiongming","non-dropping-particle":"","parse-names":false,"suffix":""},{"dropping-particle":"","family":"Zhou","given":"Ying","non-dropping-particle":"","parse-names":false,"suffix":""},{"dropping-particle":"","family":"Zhang","given":"Cuili","non-dropping-particle":"","parse-names":false,"suffix":""},{"dropping-particle":"","family":"Wu","given":"Zhihao","non-dropping-particle":"","parse-names":false,"suffix":""},{"dropping-particle":"","family":"Xu","given":"Wangxiang","non-dropping-particle":"","parse-names":false,"suffix":""},{"dropping-particle":"","family":"Zhang","given":"Ying","non-dropping-particle":"","parse-names":false,"suffix":""},{"dropping-particle":"","family":"Liu","given":"Tao","non-dropping-particle":"","parse-names":false,"suffix":""},{"dropping-particle":"","family":"Yu","given":"Donghui","non-dropping-particle":"","parse-names":false,"suffix":""},{"dropping-particle":"","family":"Zhang","given":"Yaping","non-dropping-particle":"","parse-names":false,"suffix":""},{"dropping-particle":"","family":"Chen","given":"Liang","non-dropping-particle":"","parse-names":false,"suffix":""},{"dropping-particle":"","family":"Zhu","given":"Dewu","non-dropping-particle":"","parse-names":false,"suffix":""},{"dropping-particle":"","family":"Zhong","given":"Xing","non-dropping-particle":"","parse-names":false,"suffix":""},{"dropping-particle":"","family":"Kang","given":"Lixin","non-dropping-particle":"","parse-names":false,"suffix":""},{"dropping-particle":"","family":"Gan","given":"Xiang","non-dropping-particle":"","parse-names":false,"suffix":""},{"dropping-particle":"","family":"Yu","given":"Xiaolan","non-dropping-particle":"","parse-names":false,"suffix":""},{"dropping-particle":"","family":"Ma","given":"Qi","non-dropping-particle":"","parse-names":false,"suffix":""},{"dropping-particle":"","family":"Yan","given":"Jing","non-dropping-particle":"","parse-names":false,"suffix":""},{"dropping-particle":"","family":"Zhou","given":"Li","non-dropping-particle":"","parse-names":false,"suffix":""},{"dropping-particle":"","family":"Liu","given":"Zhongyang","non-dropping-particle":"","parse-names":false,"suffix":""},{"dropping-particle":"","family":"Zhu","given":"Yunping","non-dropping-particle":"","parse-names":false,"suffix":""},{"dropping-particle":"","family":"Zhou","given":"Tao","non-dropping-particle":"","parse-names":false,"suffix":""},{"dropping-particle":"","family":"He","given":"Fuchu","non-dropping-particle":"","parse-names":false,"suffix":""},{"dropping-particle":"","family":"Yang","given":"Xiaoming","non-dropping-particle":"","parse-names":false,"suffix":""}],"container-title":"Molecular Systems Biology","id":"ITEM-5","issue":"1","issued":{"date-parts":[["2011","1","11"]]},"page":"536","title":"Toward an understanding of the protein interaction network of the human liver","type":"article-journal","volume":"7"},"uris":["http://www.mendeley.com/documents/?uuid=c9bb5da9-435f-4076-9028-08446e93974e"]}],"mendeley":{"formattedCitation":"[116–120]","plainTextFormattedCitation":"[116–120]","previouslyFormattedCitation":"[116–120]"},"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[116–120]</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Indeed, those studies using yeast two hybrid or affinity purification followed by mass spectrometry, with NME6 as a bait and/or a prey, consistently detected NME6/RCC1L interaction with high scores. OPA1 protein was also included in our screen, due to its well-known interaction with NME4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{"citationItems":[{"id":"ITEM-1","itemData":{"DOI":"10.1038/labinvest.2017.113","ISSN":"1530-0307","PMID":"29035377","abstract":"Mitophagy is an emerging paradigm for mitochondrial quality control and cell homeostasis. Dysregulation of mitophagy can lead to human pathologies such as neurodegenerative disorders and contributes to the aging process. Complex protein signaling cascades have been described that regulate mitophagy. We have identified a novel lipid signaling pathway that involves the phospholipid cardiolipin (CL). CL is synthesized and normally confined at the inner mitochondrial membrane. However, upon a mitophagic trigger, ie, collapse of the inner membrane potential, CL is rapidly externalized to the mitochondrial surface with the assistance of the hexameric nucleoside diphosphate kinase D (NME4, NDPK-D, or NM23-H4). In addition to its NDP kinase activity, NME4/NDPK-D shows intermembrane phospholipid transfer activity in vitro and in cellular systems, which relies on NME4/NDPK-D interaction with CL, CL-dependent crosslinking of inner and outer mitochondrial membranes by symmetrical, hexameric NME4/NDPK-D, and a putative NME4/NDPK-D-based CL-transfer pathway. CL exposed at the mitochondrial surface then serves as an 'eat me' signal for the mitophagic machinery; it is recognized by the LC3 receptor of autophagosomes, targeting the dysfunctional mitochondrion to lysosomal degradation. Similar NME4-supported CL externalization is likely also involved in apoptosis and inflammatory reactions.","author":[{"dropping-particle":"","family":"Schlattner","given":"Uwe","non-dropping-particle":"","parse-names":false,"suffix":""},{"dropping-particle":"","family":"Tokarska-Schlattner","given":"Malgorzata","non-dropping-particle":"","parse-names":false,"suffix":""},{"dropping-particle":"","family":"Epand","given":"Richard M.","non-dropping-particle":"","parse-names":false,"suffix":""},{"dropping-particle":"","family":"Boissan","given":"Mathieu","non-dropping-particle":"","parse-names":false,"suffix":""},{"dropping-particle":"","family":"Lacombe","given":"Marie-Lise","non-dropping-particle":"","parse-names":false,"suffix":""},{"dropping-particle":"","family":"Kagan","given":"Valerian E.","non-dropping-particle":"","parse-names":false,"suffix":""}],"container-title":"Laboratory investigation; a journal of technical methods and pathology","id":"ITEM-1","issue":"2","issued":{"date-parts":[["2018","2","16"]]},"page":"228-232","title":"NME4/nucleoside diphosphate kinase D in cardiolipin signaling and mitophagy.","type":"article-journal","volume":"98"},"uris":["http://www.mendeley.com/documents/?uuid=6573edaa-70fc-4001-ab4e-f6d91dcb9b62"]}],"mendeley":{"formattedCitation":"[146]","plainTextFormattedCitation":"[146]","previouslyFormattedCitation":"[146]"},"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[146]</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and to its described interaction with RCC1L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{"citationItems":[{"id":"ITEM-1","itemData":{"DOI":"10.1016/j.celrep.2017.06.090","ISSN":"22111247","abstract":"Regulated inter-mitochondrial fusion/fission is essential for maintaining optimal mitochondrial respiration and control of apoptosis and autophagy. In mammals, mitochondrial fusion is controlled by outer membrane GTPases MFN1 and MFN2 and by inner membrane (IM) GTPase OPA1. Disordered mitochondrial fusion/fission contributes to various pathologies, and MFN2 or OPA1 mutations underlie neurodegenerative diseases. Here, we show that the WBSCR16 protein is primarily associated with the outer face of the inner mitochondrial membrane and is important for mitochondrial fusion. We provide evidence of a WBSCR16/OPA1 physical interaction in the intact cell and of a WBSCR16 function as an OPA1-specific guanine nucleotide exchange factor (GEF). Homozygosity for a Wbscr16 mutation causes early embryonic lethality, whereas neurons of mice heterozygous for the mutation have mitochondria with reduced membrane potential and increased susceptibility to fragmentation upon exposure to stress, suggesting roles for WBSCR16 deficits in neuronal pathologies.","author":[{"dropping-particle":"","family":"Huang","given":"Guorui","non-dropping-particle":"","parse-names":false,"suffix":""},{"dropping-particle":"","family":"Massoudi","given":"Dawiyat","non-dropping-particle":"","parse-names":false,"suffix":""},{"dropping-particle":"","family":"Muir","given":"Alison M.","non-dropping-particle":"","parse-names":false,"suffix":""},{"dropping-particle":"","family":"Joshi","given":"Dinesh C.","non-dropping-particle":"","parse-names":false,"suffix":""},{"dropping-particle":"","family":"Zhang","given":"Chuan-Li","non-dropping-particle":"","parse-names":false,"suffix":""},{"dropping-particle":"","family":"Chiu","given":"Shing Yan","non-dropping-particle":"","parse-names":false,"suffix":""},{"dropping-particle":"","family":"Greenspan","given":"Daniel S.","non-dropping-particle":"","parse-names":false,"suffix":""}],"container-title":"Cell Reports","id":"ITEM-1","issue":"4","issued":{"date-parts":[["2017","7"]]},"page":"923-934","title":"WBSCR16 Is a Guanine Nucleotide Exchange Factor Important for Mitochondrial Fusion","type":"article-journal","volume":"20"},"uris":["http://www.mendeley.com/documents/?uuid=008887fd-5780-44fa-93b6-18ff9296316d"]}],"mendeley":{"formattedCitation":"[127]","plainTextFormattedCitation":"[127]","previouslyFormattedCitation":"[127]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[127]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Co-immunoprecipitation realized in a forward and reverse manner confirmed that endogenous NME6 and exogenous NME6-FLAG (194 aa and 186 aa) both interact with the endogenous RCC1L protein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_Ref106009882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43</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Interestingly, in a proximity-dependent biotinylating assay using over 100 mitochondrial baits from all compartments of the mitochondria, NME6 was detected in proximity to RCC1L with infinite specificity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{"citationItems":[{"id":"ITEM-1","itemData":{"DOI":"10.1016/j.cmet.2020.07.017","ISSN":"15504131","PMID":"32877691","abstract":"We used BioID, a proximity-dependent biotinylation assay with 100 mitochondrial baits from all mitochondrial sub-compartments, to create a high-resolution human mitochondrial proximity interaction network. We identified 1,465 proteins, producing 15,626 unique high-confidence proximity interactions. Of these, 528 proteins were previously annotated as mitochondrial, nearly half of the mitochondrial proteome defined by Mitocarta 2.0. Bait-bait analysis showed a clear separation of mitochondrial compartments, and correlation analysis among preys across all baits allowed us to identify functional clusters involved in diverse mitochondrial functions and to assign uncharacterized proteins to specific modules. We demonstrate that this analysis can assign isoforms of the same mitochondrial protein to different mitochondrial sub-compartments and show that some proteins may have multiple cellular locations. Outer membrane baits showed specific proximity interactions with cytosolic proteins and proteins in other organellar membranes, suggesting specialization of proteins responsible for contact site formation between mitochondria and individual organelles.","author":[{"dropping-particle":"","family":"Antonicka","given":"Hana","non-dropping-particle":"","parse-names":false,"suffix":""},{"dropping-particle":"","family":"Lin","given":"Zhen-Yuan","non-dropping-particle":"","parse-names":false,"suffix":""},{"dropping-particle":"","family":"Janer","given":"Alexandre","non-dropping-particle":"","parse-names":false,"suffix":""},{"dropping-particle":"","family":"Aaltonen","given":"Mari J.","non-dropping-particle":"","parse-names":false,"suffix":""},{"dropping-particle":"","family":"Weraarpachai","given":"Woranontee","non-dropping-particle":"","parse-names":false,"suffix":""},{"dropping-particle":"","family":"Gingras","given":"Anne-Claude","non-dropping-particle":"","parse-names":false,"suffix":""},{"dropping-particle":"","family":"Shoubridge","given":"Eric A.","non-dropping-particle":"","parse-names":false,"suffix":""}],"container-title":"Cell Metabolism","id":"ITEM-1","issue":"3","issued":{"date-parts":[["2020","9"]]},"note":"Nme6 in found in strong interaction with RCC1-L protein.","page":"479-497","title":"A High-Density Human Mitochondrial Proximity Interaction Network","type":"article-journal","volume":"32"},"uris":["http://www.mendeley.com/documents/?uuid=81810419-0b42-453a-b720-83a6aef22b79"]}],"mendeley":{"formattedCitation":"[116]","plainTextFormattedCitation":"[116]","previouslyFormattedCitation":"[116]"},"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[116]</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In other words, none of the other 100 baits detected NME6 in its neighborhood, indicating a highly specific interaction between NME6 and RCC1L. No interaction was found between NME6 and OPA1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_Ref106009882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43</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and interestingly, the OPA1/RCC1L interaction described in the literature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{"citationItems":[{"id":"ITEM-1","itemData":{"DOI":"10.1016/j.celrep.2017.06.090","ISSN":"22111247","abstract":"Regulated inter-mitochondrial fusion/fission is essential for maintaining optimal mitochondrial respiration and control of apoptosis and autophagy. In mammals, mitochondrial fusion is controlled by outer membrane GTPases MFN1 and MFN2 and by inner membrane (IM) GTPase OPA1. Disordered mitochondrial fusion/fission contributes to various pathologies, and MFN2 or OPA1 mutations underlie neurodegenerative diseases. Here, we show that the WBSCR16 protein is primarily associated with the outer face of the inner mitochondrial membrane and is important for mitochondrial fusion. We provide evidence of a WBSCR16/OPA1 physical interaction in the intact cell and of a WBSCR16 function as an OPA1-specific guanine nucleotide exchange factor (GEF). Homozygosity for a Wbscr16 mutation causes early embryonic lethality, whereas neurons of mice heterozygous for the mutation have mitochondria with reduced membrane potential and increased susceptibility to fragmentation upon exposure to stress, suggesting roles for WBSCR16 deficits in neuronal pathologies.","author":[{"dropping-particle":"","family":"Huang","given":"Guorui","non-dropping-particle":"","parse-names":false,"suffix":""},{"dropping-particle":"","family":"Massoudi","given":"Dawiyat","non-dropping-particle":"","parse-names":false,"suffix":""},{"dropping-particle":"","family":"Muir","given":"Alison M.","non-dropping-particle":"","parse-names":false,"suffix":""},{"dropping-particle":"","family":"Joshi","given":"Dinesh C.","non-dropping-particle":"","parse-names":false,"suffix":""},{"dropping-particle":"","family":"Zhang","given":"Chuan-Li","non-dropping-particle":"","parse-names":false,"suffix":""},{"dropping-particle":"","family":"Chiu","given":"Shing Yan","non-dropping-particle":"","parse-names":false,"suffix":""},{"dropping-particle":"","family":"Greenspan","given":"Daniel S.","non-dropping-particle":"","parse-names":false,"suffix":""}],"container-title":"Cell Reports","id":"ITEM-1","issue":"4","issued":{"date-parts":[["2017","7"]]},"page":"923-934","title":"WBSCR16 Is a Guanine Nucleotide Exchange Factor Important for Mitochondrial Fusion","type":"article-journal","volume":"20"},"uris":["http://www.mendeley.com/documents/?uuid=008887fd-5780-44fa-93b6-18ff9296316d"]}],"mendeley":{"formattedCitation":"[127]","plainTextFormattedCitation":"[127]","previouslyFormattedCitation":"[127]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[127]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could not be confirmed in our hands.</w:t>
      </w:r>
    </w:p>
    <w:p w14:paraId="58B0E3C1" w14:textId="6ECE56CF"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RCC1L (also called WBSCR16) is a mitochondrial matrix protein belonging to the RCC1 superfamily. The most studied protein of the family, RCC1, is localized in the nucleus and acts as a guanine exchange factor (GEF) for the RAN GTPase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{"citationItems":[{"id":"ITEM-1","itemData":{"DOI":"10.1016/S0092-8674(01)00315-4","ISSN":"00928674","PMID":"11336674","abstract":"RCC1 (regulator of chromosome condensation), a β propeller chromatin-bound protein, is the guanine nucleotide exchange factor (GEF) for the nuclear GTP binding protein Ran. We report here the 1.8 Å crystal structure of a Ran•RCC1 complex in the absence of nucleotide, an intermediate in the multistep GEF reaction. In contrast to previous structures, the phosphate binding region of the nucleotide binding site is perturbed only marginally, possibly due to the presence of a polyvalent anion in the P loop. Biochemical experiments show that a sulfate ion stabilizes the Ran•RCC1 complex and inhibits dissociation by guanine nucleotides. Based on the available structural and biochemical evidence, we present a unified scenario for the GEF mechanism where interaction of the P loop lysine with an acidic residue is a crucial element for the overall reaction.","author":[{"dropping-particle":"","family":"Renault","given":"Louis","non-dropping-particle":"","parse-names":false,"suffix":""},{"dropping-particle":"","family":"Kuhlmann","given":"Jürgen","non-dropping-particle":"","parse-names":false,"suffix":""},{"dropping-particle":"","family":"Henkel","given":"Andreas","non-dropping-particle":"","parse-names":false,"suffix":""},{"dropping-particle":"","family":"Wittinghofer","given":"Alfred","non-dropping-particle":"","parse-names":false,"suffix":""}],"container-title":"Cell","id":"ITEM-1","issue":"2","issued":{"date-parts":[["2001","4","20"]]},"page":"245-255","publisher":"Cell","title":"Structural Basis for Guanine Nucleotide Exchange on Ran by the Regulator of Chromosome Condensation (RCC1)","type":"article-journal","volume":"105"},"uris":["http://www.mendeley.com/documents/?uuid=a5c4a7e7-d865-3944-8f10-0706743d0fd9"]},{"id":"ITEM-2","itemData":{"DOI":"10.1016/j.bbamcr.2008.03.015","ISSN":"01674889","abstract":"The Regulator of Chromosome Condensation 1 (RCC1) was identified over 20 years ago as a critical cell cycle regulator. By analyzing its amino acid sequence, RCC1 was found to consist of seven homologous repeats of 51-68 amino acid residues, which were later shown to adopt a seven-bladed β-propeller fold. Since the initial identification of RCC1, a number of proteins have been discovered that contain one or more RCC1-like domains (RLDs). As we show here, these RCC1 superfamily proteins can be subdivided in five subgroups based on structural criteria. In recent years, a number of studies have been published regarding the functions of RCC1 superfamily proteins. From these studies, the emerging picture is that the RLD is a versatile domain which may perform many different functions, including guanine nucleotide exchange on small GTP-binding proteins, enzyme inhibition or interaction with proteins and lipids. Here, we review the available structural and functional data on RCC1 superfamily members, paying special attention to the human proteins and their involvement in disease. © 2008 Elsevier B.V. All rights reserved.","author":[{"dropping-particle":"","family":"Hadjebi","given":"Ouadah","non-dropping-particle":"","parse-names":false,"suffix":""},{"dropping-particle":"","family":"Casas-Terradellas","given":"Eduard","non-dropping-particle":"","parse-names":false,"suffix":""},{"dropping-particle":"","family":"Garcia-Gonzalo","given":"Francesc R.","non-dropping-particle":"","parse-names":false,"suffix":""},{"dropping-particle":"","family":"Rosa","given":"Jose Luis","non-dropping-particle":"","parse-names":false,"suffix":""}],"container-title":"Biochimica et Biophysica Acta (BBA) - Molecular Cell Research","id":"ITEM-2","issue":"8","issued":{"date-parts":[["2008","8"]]},"page":"1467-1479","title":"The RCC1 superfamily: From genes, to function, to disease","type":"article-journal","volume":"1783"},"uris":["http://www.mendeley.com/documents/?uuid=a0923738-bd47-48cb-8500-1d874ff02045"]}],"mendeley":{"formattedCitation":"[121,123]","plainTextFormattedCitation":"[121,123]","previouslyFormattedCitation":"[121,123]"},"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[121,123]</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 mitochondrial RCC1L was described to interact with, and to act as a GEF for OPA1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{"citationItems":[{"id":"ITEM-1","itemData":{"DOI":"10.1016/j.celrep.2017.06.090","ISSN":"22111247","abstract":"Regulated inter-mitochondrial fusion/fission is essential for maintaining optimal mitochondrial respiration and control of apoptosis and autophagy. In mammals, mitochondrial fusion is controlled by outer membrane GTPases MFN1 and MFN2 and by inner membrane (IM) GTPase OPA1. Disordered mitochondrial fusion/fission contributes to various pathologies, and MFN2 or OPA1 mutations underlie neurodegenerative diseases. Here, we show that the WBSCR16 protein is primarily associated with the outer face of the inner mitochondrial membrane and is important for mitochondrial fusion. We provide evidence of a WBSCR16/OPA1 physical interaction in the intact cell and of a WBSCR16 function as an OPA1-specific guanine nucleotide exchange factor (GEF). Homozygosity for a Wbscr16 mutation causes early embryonic lethality, whereas neurons of mice heterozygous for the mutation have mitochondria with reduced membrane potential and increased susceptibility to fragmentation upon exposure to stress, suggesting roles for WBSCR16 deficits in neuronal pathologies.","author":[{"dropping-particle":"","family":"Huang","given":"Guorui","non-dropping-particle":"","parse-names":false,"suffix":""},{"dropping-particle":"","family":"Massoudi","given":"Dawiyat","non-dropping-particle":"","parse-names":false,"suffix":""},{"dropping-particle":"","family":"Muir","given":"Alison M.","non-dropping-particle":"","parse-names":false,"suffix":""},{"dropping-particle":"","family":"Joshi","given":"Dinesh C.","non-dropping-particle":"","parse-names":false,"suffix":""},{"dropping-particle":"","family":"Zhang","given":"Chuan-Li","non-dropping-particle":"","parse-names":false,"suffix":""},{"dropping-particle":"","family":"Chiu","given":"Shing Yan","non-dropping-particle":"","parse-names":false,"suffix":""},{"dropping-particle":"","family":"Greenspan","given":"Daniel S.","non-dropping-particle":"","parse-names":false,"suffix":""}],"container-title":"Cell Reports","id":"ITEM-1","issue":"4","issued":{"date-parts":[["2017","7"]]},"page":"923-934","title":"WBSCR16 Is a Guanine Nucleotide Exchange Factor Important for Mitochondrial Fusion","type":"article-journal","volume":"20"},"uris":["http://www.mendeley.com/documents/?uuid=008887fd-5780-44fa-93b6-18ff9296316d"]}],"mendeley":{"formattedCitation":"[127]","plainTextFormattedCitation":"[127]","previouslyFormattedCitation":"[127]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[127]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even though in </w:t>
      </w:r>
      <w:r w:rsidRPr="003B2CF6">
        <w:rPr>
          <w:rFonts w:ascii="Times New Roman" w:hAnsi="Times New Roman" w:cs="Times New Roman"/>
          <w:sz w:val="24"/>
          <w:szCs w:val="24"/>
        </w:rPr>
        <w:lastRenderedPageBreak/>
        <w:t xml:space="preserve">our hands we did not detect RCC1L/OPA1 interaction. The recent focus on RCC1L unraveled an important role along the mitochondrial translation processes. RCC1L is a component of the pseudouridylation module and is, therefore, related to the post transcriptional modification of mtRNA, including the pseudouridylation of 16S rRNA, a structural RNA constituent of the large subunit of the mitoribosome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{"citationItems":[{"id":"ITEM-1","itemData":{"DOI":"10.1016/j.cmet.2016.08.017","ISSN":"15504131","PMID":"27667664","abstract":"Oxidative phosphorylation (OXPHOS) is the major pathway for ATP production in humans. Deficiencies in OXPHOS can arise from mutations in either mitochondrial or nuclear genomes and comprise the largest collection of inborn errors of metabolism. At present we lack a complete catalog of human genes and pathways essential for OXPHOS. Here we introduce a genome-wide CRISPR “death screen” that actively selects dying cells to reveal human genes required for OXPHOS, inspired by the classic observation that human cells deficient in OXPHOS survive in glucose but die in galactose. We report 191 high-confidence hits essential for OXPHOS, including 72 underlying known OXPHOS diseases. Our screen reveals a functional module consisting of NGRN, WBSCR16, RPUSD3, RPUSD4, TRUB2, and FASTKD2 that regulates the mitochondrial 16S rRNA and intra-mitochondrial translation. Our work yields a rich catalog of genes required for OXPHOS and, more generally, demonstrates the power of death screening for functional genomic analysis.","author":[{"dropping-particle":"","family":"Arroyo","given":"Jason D.","non-dropping-particle":"","parse-names":false,"suffix":""},{"dropping-particle":"","family":"Jourdain","given":"Alexis A.","non-dropping-particle":"","parse-names":false,"suffix":""},{"dropping-particle":"","family":"Calvo","given":"Sarah E.","non-dropping-particle":"","parse-names":false,"suffix":""},{"dropping-particle":"","family":"Ballarano","given":"Carmine A.","non-dropping-particle":"","parse-names":false,"suffix":""},{"dropping-particle":"","family":"Doench","given":"John G.","non-dropping-particle":"","parse-names":false,"suffix":""},{"dropping-particle":"","family":"Root","given":"David E.","non-dropping-particle":"","parse-names":false,"suffix":""},{"dropping-particle":"","family":"Mootha","given":"Vamsi K.","non-dropping-particle":"","parse-names":false,"suffix":""}],"container-title":"Cell Metabolism","id":"ITEM-1","issue":"6","issued":{"date-parts":[["2016","12"]]},"page":"875-885","title":"A Genome-wide CRISPR Death Screen Identifies Genes Essential for Oxidative Phosphorylation","type":"article-journal","volume":"24"},"uris":["http://www.mendeley.com/documents/?uuid=50ab3005-005f-4c19-8d6a-b0f94b9f208e"]},{"id":"ITEM-2","itemData":{"DOI":"10.15252/embr.201643391","ISSN":"1469-221X","PMID":"27974379","abstract":"Pseudouridylation is a common post-transcriptional modification in RNA, but its functional consequences at the cellular level remain largely unknown. Using a proximity-biotinylation assay, we identified a protein module in mitochondrial RNA granules, platforms for post-transcriptional RNA modification and ribosome assembly, containing several proteins of unknown function including three uncharacterized pseudouridine synthases, TRUB2, RPUSD3, and RPUSD4. TRUB2 and RPUSD4 were previously identified as core essential genes in CRISPR/Cas9 screens. Depletion of the individual enzymes produced specific mitochondrial protein synthesis and oxidative phosphorylation assembly defects without affecting mitochondrial mRNA levels. Investigation of the molecular targets in mitochondrial RNA by pseudouridine-Seq showed that RPUSD4 plays a role in the pseudouridylation of a single residue in the 16S rRNA, a modification that is essential for its stability and assembly into the mitochondrial ribosome, while TRUB2/RPUSD3 were similarly involved in pseudouridylating specific residues in mitochondrial mRNAs. These results establish essential roles for epitranscriptomic modification of mitochondrial RNA in mitochondrial protein synthesis, oxidative phosphorylation, and cell survival.","author":[{"dropping-particle":"","family":"Antonicka","given":"Hana","non-dropping-particle":"","parse-names":false,"suffix":""},{"dropping-particle":"","family":"Choquet","given":"Karine","non-dropping-particle":"","parse-names":false,"suffix":""},{"dropping-particle":"","family":"Lin","given":"Zhen‐Yuan","non-dropping-particle":"","parse-names":false,"suffix":""},{"dropping-particle":"","family":"Gingras","given":"Anne‐Claude","non-dropping-particle":"","parse-names":false,"suffix":""},{"dropping-particle":"","family":"Kleinman","given":"Claudia L","non-dropping-particle":"","parse-names":false,"suffix":""},{"dropping-particle":"","family":"Shoubridge","given":"Eric A","non-dropping-particle":"","parse-names":false,"suffix":""}],"container-title":"EMBO reports","id":"ITEM-2","issue":"1","issued":{"date-parts":[["2017","1","14"]]},"page":"28-38","title":"A pseudouridine synthase module is essential for mitochondrial protein synthesis and cell viability","type":"article-journal","volume":"18"},"uris":["http://www.mendeley.com/documents/?uuid=91486377-1e24-41cb-ad3d-4083696e1804"]}],"mendeley":{"formattedCitation":"[117,125]","plainTextFormattedCitation":"[117,125]","previouslyFormattedCitation":"[117,125]"},"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[117,125]</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Silencing or overexpression of RCC1L was associated with a decreased level of 16S rRNA, thus affecting mitochondrial translation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{"citationItems":[{"id":"ITEM-1","itemData":{"DOI":"10.1016/j.cmet.2016.08.017","ISSN":"15504131","PMID":"27667664","abstract":"Oxidative phosphorylation (OXPHOS) is the major pathway for ATP production in humans. Deficiencies in OXPHOS can arise from mutations in either mitochondrial or nuclear genomes and comprise the largest collection of inborn errors of metabolism. At present we lack a complete catalog of human genes and pathways essential for OXPHOS. Here we introduce a genome-wide CRISPR “death screen” that actively selects dying cells to reveal human genes required for OXPHOS, inspired by the classic observation that human cells deficient in OXPHOS survive in glucose but die in galactose. We report 191 high-confidence hits essential for OXPHOS, including 72 underlying known OXPHOS diseases. Our screen reveals a functional module consisting of NGRN, WBSCR16, RPUSD3, RPUSD4, TRUB2, and FASTKD2 that regulates the mitochondrial 16S rRNA and intra-mitochondrial translation. Our work yields a rich catalog of genes required for OXPHOS and, more generally, demonstrates the power of death screening for functional genomic analysis.","author":[{"dropping-particle":"","family":"Arroyo","given":"Jason D.","non-dropping-particle":"","parse-names":false,"suffix":""},{"dropping-particle":"","family":"Jourdain","given":"Alexis A.","non-dropping-particle":"","parse-names":false,"suffix":""},{"dropping-particle":"","family":"Calvo","given":"Sarah E.","non-dropping-particle":"","parse-names":false,"suffix":""},{"dropping-particle":"","family":"Ballarano","given":"Carmine A.","non-dropping-particle":"","parse-names":false,"suffix":""},{"dropping-particle":"","family":"Doench","given":"John G.","non-dropping-particle":"","parse-names":false,"suffix":""},{"dropping-particle":"","family":"Root","given":"David E.","non-dropping-particle":"","parse-names":false,"suffix":""},{"dropping-particle":"","family":"Mootha","given":"Vamsi K.","non-dropping-particle":"","parse-names":false,"suffix":""}],"container-title":"Cell Metabolism","id":"ITEM-1","issue":"6","issued":{"date-parts":[["2016","12"]]},"page":"875-885","title":"A Genome-wide CRISPR Death Screen Identifies Genes Essential for Oxidative Phosphorylation","type":"article-journal","volume":"24"},"uris":["http://www.mendeley.com/documents/?uuid=50ab3005-005f-4c19-8d6a-b0f94b9f208e"]},{"id":"ITEM-2","itemData":{"DOI":"10.1371/journal.pgen.1008923","ISSN":"1553-7404","author":[{"dropping-particle":"","family":"Reyes","given":"Aurelio","non-dropping-particle":"","parse-names":false,"suffix":""},{"dropping-particle":"","family":"Favia","given":"Paola","non-dropping-particle":"","parse-names":false,"suffix":""},{"dropping-particle":"","family":"Vidoni","given":"Sara","non-dropping-particle":"","parse-names":false,"suffix":""},{"dropping-particle":"","family":"Petruzzella","given":"Vittoria","non-dropping-particle":"","parse-names":false,"suffix":""},{"dropping-particle":"","family":"Zeviani","given":"Massimo","non-dropping-particle":"","parse-names":false,"suffix":""}],"container-title":"PLOS Genetics","editor":[{"dropping-particle":"","family":"Filipovska","given":"Aleksandra","non-dropping-particle":"","parse-names":false,"suffix":""}],"id":"ITEM-2","issue":"7","issued":{"date-parts":[["2020","7","31"]]},"page":"e1008923","title":"RCC1L (WBSCR16) isoforms coordinate mitochondrial ribosome assembly through their interaction with GTPases","type":"article-journal","volume":"16"},"uris":["http://www.mendeley.com/documents/?uuid=429858cc-8986-40b1-b986-310c09b10d00"]}],"mendeley":{"formattedCitation":"[117,128]","plainTextFormattedCitation":"[117,128]","previouslyFormattedCitation":"[117,128]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[117,128]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Moreover, RCC1L was shown to interact with both subunits of the mitochondrial ribosome, and silencing or overexpression negatively affected the mitoribosome biogenesis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10.1371/journal.pgen.1008923","ISSN":"1553-7404","author":[{"dropping-particle":"","family":"Reyes","given":"Aurelio","non-dropping-particle":"","parse-names":false,"suffix":""},{"dropping-particle":"","family":"Favia","given":"Paola","non-dropping-particle":"","parse-names":false,"suffix":""},{"dropping-particle":"","family":"Vidoni","given":"Sara","non-dropping-particle":"","parse-names":false,"suffix":""},{"dropping-particle":"","family":"Petruzzella","given":"Vittoria","non-dropping-particle":"","parse-names":false,"suffix":""},{"dropping-particle":"","family":"Zeviani","given":"Massimo","non-dropping-particle":"","parse-names":false,"suffix":""}],"container-title":"PLOS Genetics","editor":[{"dropping-particle":"","family":"Filipovska","given":"Aleksandra","non-dropping-particle":"","parse-names":false,"suffix":""}],"id":"ITEM-1","issue":"7","issued":{"date-parts":[["2020","7","31"]]},"page":"e1008923","title":"RCC1L (WBSCR16) isoforms coordinate mitochondrial ribosome assembly through their interaction with GTPases","type":"article-journal","volume":"16"},"uris":["http://www.mendeley.com/documents/?uuid=429858cc-8986-40b1-b986-310c09b10d00"]}],"mendeley":{"formattedCitation":"[128]","plainTextFormattedCitation":"[128]","previouslyFormattedCitation":"[128]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Consequently, the tuning of RCC1L expression led to a strong decrease of the </w:t>
      </w:r>
      <w:r w:rsidRPr="003B2CF6">
        <w:rPr>
          <w:rFonts w:ascii="Times New Roman" w:hAnsi="Times New Roman" w:cs="Times New Roman"/>
          <w:i/>
          <w:sz w:val="24"/>
          <w:szCs w:val="24"/>
        </w:rPr>
        <w:t xml:space="preserve">de novo </w:t>
      </w:r>
      <w:r w:rsidRPr="003B2CF6">
        <w:rPr>
          <w:rFonts w:ascii="Times New Roman" w:hAnsi="Times New Roman" w:cs="Times New Roman"/>
          <w:sz w:val="24"/>
          <w:szCs w:val="24"/>
        </w:rPr>
        <w:t xml:space="preserve">synthesis of mitochondria-encoded proteins, eventually decreasing the abundance of the respiratory chain complexes and leading to a global decrease in oxygen consumption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{"citationItems":[{"id":"ITEM-1","itemData":{"DOI":"10.15252/embr.201643391","ISSN":"1469-221X","PMID":"27974379","abstract":"Pseudouridylation is a common post-transcriptional modification in RNA, but its functional consequences at the cellular level remain largely unknown. Using a proximity-biotinylation assay, we identified a protein module in mitochondrial RNA granules, platforms for post-transcriptional RNA modification and ribosome assembly, containing several proteins of unknown function including three uncharacterized pseudouridine synthases, TRUB2, RPUSD3, and RPUSD4. TRUB2 and RPUSD4 were previously identified as core essential genes in CRISPR/Cas9 screens. Depletion of the individual enzymes produced specific mitochondrial protein synthesis and oxidative phosphorylation assembly defects without affecting mitochondrial mRNA levels. Investigation of the molecular targets in mitochondrial RNA by pseudouridine-Seq showed that RPUSD4 plays a role in the pseudouridylation of a single residue in the 16S rRNA, a modification that is essential for its stability and assembly into the mitochondrial ribosome, while TRUB2/RPUSD3 were similarly involved in pseudouridylating specific residues in mitochondrial mRNAs. These results establish essential roles for epitranscriptomic modification of mitochondrial RNA in mitochondrial protein synthesis, oxidative phosphorylation, and cell survival.","author":[{"dropping-particle":"","family":"Antonicka","given":"Hana","non-dropping-particle":"","parse-names":false,"suffix":""},{"dropping-particle":"","family":"Choquet","given":"Karine","non-dropping-particle":"","parse-names":false,"suffix":""},{"dropping-particle":"","family":"Lin","given":"Zhen‐Yuan","non-dropping-particle":"","parse-names":false,"suffix":""},{"dropping-particle":"","family":"Gingras","given":"Anne‐Claude","non-dropping-particle":"","parse-names":false,"suffix":""},{"dropping-particle":"","family":"Kleinman","given":"Claudia L","non-dropping-particle":"","parse-names":false,"suffix":""},{"dropping-particle":"","family":"Shoubridge","given":"Eric A","non-dropping-particle":"","parse-names":false,"suffix":""}],"container-title":"EMBO reports","id":"ITEM-1","issue":"1","issued":{"date-parts":[["2017","1","14"]]},"page":"28-38","title":"A pseudouridine synthase module is essential for mitochondrial protein synthesis and cell viability","type":"article-journal","volume":"18"},"uris":["http://www.mendeley.com/documents/?uuid=91486377-1e24-41cb-ad3d-4083696e1804"]},{"id":"ITEM-2","itemData":{"DOI":"10.1371/journal.pgen.1008923","ISSN":"1553-7404","author":[{"dropping-particle":"","family":"Reyes","given":"Aurelio","non-dropping-particle":"","parse-names":false,"suffix":""},{"dropping-particle":"","family":"Favia","given":"Paola","non-dropping-particle":"","parse-names":false,"suffix":""},{"dropping-particle":"","family":"Vidoni","given":"Sara","non-dropping-particle":"","parse-names":false,"suffix":""},{"dropping-particle":"","family":"Petruzzella","given":"Vittoria","non-dropping-particle":"","parse-names":false,"suffix":""},{"dropping-particle":"","family":"Zeviani","given":"Massimo","non-dropping-particle":"","parse-names":false,"suffix":""}],"container-title":"PLOS Genetics","editor":[{"dropping-particle":"","family":"Filipovska","given":"Aleksandra","non-dropping-particle":"","parse-names":false,"suffix":""}],"id":"ITEM-2","issue":"7","issued":{"date-parts":[["2020","7","31"]]},"page":"e1008923","title":"RCC1L (WBSCR16) isoforms coordinate mitochondrial ribosome assembly through their interaction with GTPases","type":"article-journal","volume":"16"},"uris":["http://www.mendeley.com/documents/?uuid=429858cc-8986-40b1-b986-310c09b10d00"]},{"id":"ITEM-3","itemData":{"DOI":"10.1016/j.cmet.2016.08.017","ISSN":"15504131","PMID":"27667664","abstract":"Oxidative phosphorylation (OXPHOS) is the major pathway for ATP production in humans. Deficiencies in OXPHOS can arise from mutations in either mitochondrial or nuclear genomes and comprise the largest collection of inborn errors of metabolism. At present we lack a complete catalog of human genes and pathways essential for OXPHOS. Here we introduce a genome-wide CRISPR “death screen” that actively selects dying cells to reveal human genes required for OXPHOS, inspired by the classic observation that human cells deficient in OXPHOS survive in glucose but die in galactose. We report 191 high-confidence hits essential for OXPHOS, including 72 underlying known OXPHOS diseases. Our screen reveals a functional module consisting of NGRN, WBSCR16, RPUSD3, RPUSD4, TRUB2, and FASTKD2 that regulates the mitochondrial 16S rRNA and intra-mitochondrial translation. Our work yields a rich catalog of genes required for OXPHOS and, more generally, demonstrates the power of death screening for functional genomic analysis.","author":[{"dropping-particle":"","family":"Arroyo","given":"Jason D.","non-dropping-particle":"","parse-names":false,"suffix":""},{"dropping-particle":"","family":"Jourdain","given":"Alexis A.","non-dropping-particle":"","parse-names":false,"suffix":""},{"dropping-particle":"","family":"Calvo","given":"Sarah E.","non-dropping-particle":"","parse-names":false,"suffix":""},{"dropping-particle":"","family":"Ballarano","given":"Carmine A.","non-dropping-particle":"","parse-names":false,"suffix":""},{"dropping-particle":"","family":"Doench","given":"John G.","non-dropping-particle":"","parse-names":false,"suffix":""},{"dropping-particle":"","family":"Root","given":"David E.","non-dropping-particle":"","parse-names":false,"suffix":""},{"dropping-particle":"","family":"Mootha","given":"Vamsi K.","non-dropping-particle":"","parse-names":false,"suffix":""}],"container-title":"Cell Metabolism","id":"ITEM-3","issue":"6","issued":{"date-parts":[["2016","12"]]},"page":"875-885","title":"A Genome-wide CRISPR Death Screen Identifies Genes Essential for Oxidative Phosphorylation","type":"article-journal","volume":"24"},"uris":["http://www.mendeley.com/documents/?uuid=50ab3005-005f-4c19-8d6a-b0f94b9f208e"]}],"mendeley":{"formattedCitation":"[117,125,128]","plainTextFormattedCitation":"[117,125,128]","previouslyFormattedCitation":"[117,125,128]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[117,125,128]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Noteworthy, the silencing of any component of the pseudouridylation module leads to a decrease of 16S rRNA abundance, FASTKD2 excluded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{"citationItems":[{"id":"ITEM-1","itemData":{"DOI":"10.1016/j.cmet.2016.08.017","ISSN":"15504131","PMID":"27667664","abstract":"Oxidative phosphorylation (OXPHOS) is the major pathway for ATP production in humans. Deficiencies in OXPHOS can arise from mutations in either mitochondrial or nuclear genomes and comprise the largest collection of inborn errors of metabolism. At present we lack a complete catalog of human genes and pathways essential for OXPHOS. Here we introduce a genome-wide CRISPR “death screen” that actively selects dying cells to reveal human genes required for OXPHOS, inspired by the classic observation that human cells deficient in OXPHOS survive in glucose but die in galactose. We report 191 high-confidence hits essential for OXPHOS, including 72 underlying known OXPHOS diseases. Our screen reveals a functional module consisting of NGRN, WBSCR16, RPUSD3, RPUSD4, TRUB2, and FASTKD2 that regulates the mitochondrial 16S rRNA and intra-mitochondrial translation. Our work yields a rich catalog of genes required for OXPHOS and, more generally, demonstrates the power of death screening for functional genomic analysis.","author":[{"dropping-particle":"","family":"Arroyo","given":"Jason D.","non-dropping-particle":"","parse-names":false,"suffix":""},{"dropping-particle":"","family":"Jourdain","given":"Alexis A.","non-dropping-particle":"","parse-names":false,"suffix":""},{"dropping-particle":"","family":"Calvo","given":"Sarah E.","non-dropping-particle":"","parse-names":false,"suffix":""},{"dropping-particle":"","family":"Ballarano","given":"Carmine A.","non-dropping-particle":"","parse-names":false,"suffix":""},{"dropping-particle":"","family":"Doench","given":"John G.","non-dropping-particle":"","parse-names":false,"suffix":""},{"dropping-particle":"","family":"Root","given":"David E.","non-dropping-particle":"","parse-names":false,"suffix":""},{"dropping-particle":"","family":"Mootha","given":"Vamsi K.","non-dropping-particle":"","parse-names":false,"suffix":""}],"container-title":"Cell Metabolism","id":"ITEM-1","issue":"6","issued":{"date-parts":[["2016","12"]]},"page":"875-885","title":"A Genome-wide CRISPR Death Screen Identifies Genes Essential for Oxidative Phosphorylation","type":"article-journal","volume":"24"},"uris":["http://www.mendeley.com/documents/?uuid=50ab3005-005f-4c19-8d6a-b0f94b9f208e"]}],"mendeley":{"formattedCitation":"[117]","plainTextFormattedCitation":"[117]","previouslyFormattedCitation":"[117]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[117]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w:t>
      </w:r>
    </w:p>
    <w:p w14:paraId="151E35C3" w14:textId="21CAC682"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In the light of these information, the study of mitochondrial respiration was included in our screen of NME6 impact in basic cellular processes, namely apoptosis and cell cycle. We found that the overexpression or silencing of NME6 had no impact on both apoptosis and cell cycle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_Ref106009913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45</w:t>
      </w:r>
      <w:r w:rsidR="007A1636">
        <w:rPr>
          <w:rFonts w:ascii="Times New Roman" w:hAnsi="Times New Roman" w:cs="Times New Roman"/>
          <w:sz w:val="24"/>
          <w:szCs w:val="24"/>
        </w:rPr>
        <w:fldChar w:fldCharType="end"/>
      </w:r>
      <w:r w:rsidR="007A1636">
        <w:rPr>
          <w:rFonts w:ascii="Times New Roman" w:hAnsi="Times New Roman" w:cs="Times New Roman"/>
          <w:sz w:val="24"/>
          <w:szCs w:val="24"/>
        </w:rPr>
        <w:t xml:space="preserve"> and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_Ref106009941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46</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Our cell cycle analysis showed clear-cut results, with no differences observed between wild-type cells, NME6-overexpressing and control clones or NME6-silencing and controls. Interestingly, the overexpression of NME6 was previously described to influence the cell cycle, by blocking the cells in the G2/M phase, and eventually driving the generation of multinucleated cells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These contradictory results could be explained by the different approaches in the experimental design. First, different cell lines were used. While Tsuiki et al.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used an osteosarcoma cell line isolated from the primary tumor site (SAOS2), we used a mammary adenocarcinoma cell line isolated from a metastatic pleural effusion (MDA-MB-231T). Second, Tsuiki et al. used an inducible approach to overexpress NME6, driven by the Cre-recombinase delivered by adenovirus 96h prior analysis, while we produced stable clones constantly overexpressing NME6 protein. Hence, as stated by authors in their article, “we cannot completely rule out the possibility that the overexpression of Cre-recombinase by adenovirus may have some effects on cell cycle regulation”</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{"citationItems":[{"id":"ITEM-1","itemData":{"DOI":"10.1002/(SICI)1097-4644(20000201)76:2&lt;254::AID-JCB9&gt;3.0.CO;2-G","ISSN":"0730-2312","PMID":"10618642","abstract":"Nucleoside diphosphate kinases (NDP kinases) are enzymes known to be conserved throughout evolution and have been shown to be involved in various biological events, in addition to the \"housekeeping\" phosphotransferase activity. We present the molecular cloning of a novel human NDP kinase gene, termed Nm23-H6. Nm23-H6 gene has been mapped at chromosome 3p21.3 and is highly expressed in heart, placenta, skeletal muscle, and some of the cancer cell lines. Recombinant Nm23-H6 protein has been identified to exhibit functional NDP kinase activity. Immunolocalization studies showed that both endogenous and inducibly expressed Nm23-H6 proteins were present as short, filament-like, perinuclear radical arrays and that they colocalized with mitochondria. Cell fractionation study also demonstrated the presence of Nm23-H6 protein in a mitochondria-rich fraction. Moreover, induction of overexpression of Nm23-H6 in SAOS2 cells, using the Cre-loxP gene activation system, resulted in growth suppression and generation of multinucleated cells. Flow cytometric analysis also demonstrated that the proportion of cells with more than 4N DNA content increased to 28.1% after induction of Nm23-H6, coinciding with the appearance of multinucleated cells. These observations suggest that Nm23-H6, a new member of the NDP kinase family, resides in mitochondria and plays a role in regulation of cell growth and cell cycle progression.","author":[{"dropping-particle":"","family":"Tsuiki","given":"Hiromasa","non-dropping-particle":"","parse-names":false,"suffix":""},{"dropping-particle":"","family":"Nitta","given":"Masayuki","non-dropping-particle":"","parse-names":false,"suffix":""},{"dropping-particle":"","family":"Furuya","given":"Akiko","non-dropping-particle":"","parse-names":false,"suffix":""},{"dropping-particle":"","family":"Hanai","given":"Nobuo","non-dropping-particle":"","parse-names":false,"suffix":""},{"dropping-particle":"","family":"Fujiwara","given":"Toshiyoshi","non-dropping-particle":"","parse-names":false,"suffix":""},{"dropping-particle":"","family":"Inagaki","given":"Masaki","non-dropping-particle":"","parse-names":false,"suffix":""},{"dropping-particle":"","family":"Kochi","given":"Masato","non-dropping-particle":"","parse-names":false,"suffix":""},{"dropping-particle":"","family":"Ushio","given":"Yukitaka","non-dropping-particle":"","parse-names":false,"suffix":""},{"dropping-particle":"","family":"Saya","given":"Hideyuki","non-dropping-particle":"","parse-names":false,"suffix":""},{"dropping-particle":"","family":"Nakamura","given":"Hideo","non-dropping-particle":"","parse-names":false,"suffix":""}],"container-title":"Journal of Cellular Biochemistry","id":"ITEM-1","issue":"2","issued":{"date-parts":[["2000","2","1"]]},"page":"254-269","title":"A novel human nucleoside diphosphate (NDP) kinase, Nm23-H6, localizes in mitochondria and affects cytokinesis","type":"article-journal","volume":"76"},"uris":["http://www.mendeley.com/documents/?uuid=df2c4c21-5d94-4732-9900-18fddab52f72"]}],"mendeley":{"formattedCitation":"[8]","plainTextFormattedCitation":"[8]","previouslyFormattedCitation":"[8]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On the other hand, our stable clones that survived a harsh antibiotic selection while overexpressing NME6 protein could have adapted to be more resilient, thus influencing the cell cycle results. An extensive analysis of the cell cycle upon NME6 overexpression or downregulation should be </w:t>
      </w:r>
      <w:r w:rsidRPr="003B2CF6">
        <w:rPr>
          <w:rFonts w:ascii="Times New Roman" w:hAnsi="Times New Roman" w:cs="Times New Roman"/>
          <w:sz w:val="24"/>
          <w:szCs w:val="24"/>
        </w:rPr>
        <w:lastRenderedPageBreak/>
        <w:t>performed in a large panel of human cell lines in order to conclude on the general effect of NME6 on cell cycle.</w:t>
      </w:r>
    </w:p>
    <w:p w14:paraId="43013ABA" w14:textId="27BDDFFE"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Regardless, NME6 localizes completely within the mitochondria, and is absent from the nucleus, where the regulation of the cell cycle occurs. Even though a deregulation of mitochondrial fusion/fission could have potentially affected the cell cycle </w:t>
      </w:r>
      <w:r w:rsidRPr="003B2CF6">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{"citationItems":[{"id":"ITEM-1","itemData":{"DOI":"10.1038/s41580-020-0210-7","ISSN":"1471-0072","PMID":"32071438","abstract":"Owing to their ability to efficiently generate ATP required to sustain normal cell function, mitochondria are often considered the ‘powerhouses of the cell’. However, our understanding of the role of mitochondria in cell biology recently expanded when we recognized that they are key platforms for a plethora of cell signalling cascades. This functional versatility is tightly coupled to constant reshaping of the cellular mitochondrial network in a series of processes, collectively referred to as mitochondrial membrane dynamics and involving organelle fusion and fission (division) as well as ultrastructural remodelling of the membrane. Accordingly, mitochondrial dynamics influence and often orchestrate not only metabolism but also complex cell signalling events, such as those involved in regulating cell pluripotency, division, differentiation, senescence and death. Reciprocally, mitochondrial membrane dynamics are extensively regulated by post-translational modifications of its machinery and by the formation of membrane contact sites between mitochondria and other organelles, both of which have the capacity to integrate inputs from various pathways. Here, we discuss mitochondrial membrane dynamics and their regulation and describe how bioenergetics and cellular signalling are linked to these dynamic changes of mitochondrial morphology. Mitochondrial networks are dynamically remodelled via fusion, fission and ultrastructural changes to mitochondrial membranes. These mitochondrial membrane dynamics are tightly coupled to cell function, with morphological changes to mitochondria accompanying a multitude of processes as diverse as cell pluripotency, division, differentiation, senescence and death. Accordingly, disturbed dynamics of mitochondrial membranes are linked to severe human disorders.","author":[{"dropping-particle":"","family":"Giacomello","given":"Marta","non-dropping-particle":"","parse-names":false,"suffix":""},{"dropping-particle":"","family":"Pyakurel","given":"Aswin","non-dropping-particle":"","parse-names":false,"suffix":""},{"dropping-particle":"","family":"Glytsou","given":"Christina","non-dropping-particle":"","parse-names":false,"suffix":""},{"dropping-particle":"","family":"Scorrano","given":"Luca","non-dropping-particle":"","parse-names":false,"suffix":""}],"container-title":"Nature Reviews Molecular Cell Biology","id":"ITEM-1","issue":"4","issued":{"date-parts":[["2020","4","18"]]},"page":"204-224","publisher":"Nature Publishing Group","title":"The cell biology of mitochondrial membrane dynamics","type":"article-journal","volume":"21"},"uris":["http://www.mendeley.com/documents/?uuid=a7b34b3e-d6d1-3a29-8039-bcff1eeb0f40"]},{"id":"ITEM-2","itemData":{"DOI":"10.1007/s10495-016-1295-5","ISSN":"1360-8185","PMID":"27658785","abstract":"Mitochondria are the cell’s power plant that must be in a proper functional state in order to produce the energy necessary for basic cellular functions, such as proliferation. Mitochondria are ‘dynamic’ in that they are constantly undergoing fission and fusion to remain in a functional state throughout the cell cycle, as well as during other vital processes such as energy supply, cellular respiration and programmed cell death. The mitochondrial fission/fusion machinery is involved in generating young mitochondria, while eliminating old, damaged and non-repairable ones. As a result, the organelles change in shape, size and number throughout the cell cycle. Such precise and accurate balance is maintained by the cytoskeletal transporting system via microtubules, which deliver the mitochondrion from one location to another. During the gap phases G1 and G2, mitochondria form an interconnected network, whereas in mitosis and S-phase fragmentation of the mitochondrial network will take place. However, such balance is lost during neoplastic transformation and autoimmune disorders. Several proteins, such as Drp1, Fis1, Kif-family proteins, Opa1, Bax and mitofusins change in activity and might link the mitochondrial fission/fusion events with processes such as alteration of mitochondrial membrane potential, apoptosis, necrosis, cell cycle arrest, and malignant growth. All this indicates how vital proper functioning of mitochondria is in maintaining cell integrity and preventing carcinogenesis.","author":[{"dropping-particle":"","family":"Horbay","given":"Rostyslav","non-dropping-particle":"","parse-names":false,"suffix":""},{"dropping-particle":"","family":"Bilyy","given":"Rostyslav","non-dropping-particle":"","parse-names":false,"suffix":""}],"container-title":"Apoptosis","id":"ITEM-2","issue":"12","issued":{"date-parts":[["2016","12","23"]]},"page":"1327-1335","publisher":"Apoptosis","title":"Mitochondrial dynamics during cell cycling","type":"article-journal","volume":"21"},"uris":["http://www.mendeley.com/documents/?uuid=abfc5231-281d-3e3d-9500-60608c542252"]}],"mendeley":{"formattedCitation":"[52,147]","plainTextFormattedCitation":"[52,147]","previouslyFormattedCitation":"[52,147]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[52,147]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the absence of NME6 impact we observed on MDA-MB-231T was somehow expected.</w:t>
      </w:r>
    </w:p>
    <w:p w14:paraId="2136D6F3" w14:textId="6DE9AC8C"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As NME6 localized within the mitochondria, which represents an important hub along the apoptosis process, a possible involvement of the protein was envisaged to impact apoptosis. Our results showing that NME6 overexpression or silencing does not impact apoptosis, remained open to discussion. Indeed, the apoptosis experiment was conducted on RKO cells due to their wild type p53 status, while p53 is mutated in MDA-MB-231T cells which we used as our major model system. As our stable clones overexpressing NME6 were produced in MDA-MB-231T cell line, they were not usable for this experiment. Thus, a transient transfection approach was chosen to overexpress NME6 proteins in RKO cells. Unfortunately, the transfection method used for KI was itself driving cells into apoptosis and causing cell death, while the transfection reagents used for silencing was not harmful for the cells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_Ref106009894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44</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Results showed no statistical difference between KI-CTRL and KI-NME6, but this result needs to be considered carefully, giving the fact that the apoptosis driven by the transfection method itself could potentially mask a minor effect of NME6 on apoptosis. Our experiment implies that NME6 overexpression or silencing does not have a drastic impact on apoptosis in RKO cells. However, a thorough study should be performed using NME6-KI stable clones in several cell lines to abrogate the transfection-induced apoptosis, and potentially reveal a minor effect of NME6 on apoptosis. </w:t>
      </w:r>
    </w:p>
    <w:p w14:paraId="4FE0F8E6" w14:textId="62384012"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The impact of NME6 expression on mitochondrial respiration was studied with attention, after the discovery of RCC1L/NME6 interaction within the mitochondrial matrix. The basal respiration (LEAK) of digitonin-permeabilized cells was largely unaffected by the overexpression of NME6 in clones. However, the ADP-stimulated respiration (OXPHOS) was largely decreased in all overexpressing clones, leading to a ratio OXPHOS/LEAK significantly different when compared to control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_Ref106009962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47</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The NME6 silencing showed a trend for an opposite effect, but the significance was lost when calculating the OXPHOS/LEAK ratio</w:t>
      </w:r>
      <w:r w:rsidR="007A1636">
        <w:rPr>
          <w:rFonts w:ascii="Times New Roman" w:hAnsi="Times New Roman" w:cs="Times New Roman"/>
          <w:sz w:val="24"/>
          <w:szCs w:val="24"/>
        </w:rPr>
        <w:t xml:space="preserve">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_Ref106009969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48</w:t>
      </w:r>
      <w:r w:rsidR="007A1636">
        <w:rPr>
          <w:rFonts w:ascii="Times New Roman" w:hAnsi="Times New Roman" w:cs="Times New Roman"/>
          <w:sz w:val="24"/>
          <w:szCs w:val="24"/>
        </w:rPr>
        <w:fldChar w:fldCharType="end"/>
      </w:r>
      <w:r w:rsidR="007A1636">
        <w:rPr>
          <w:rFonts w:ascii="Times New Roman" w:hAnsi="Times New Roman" w:cs="Times New Roman"/>
          <w:sz w:val="24"/>
          <w:szCs w:val="24"/>
        </w:rPr>
        <w:t>)</w:t>
      </w:r>
      <w:r w:rsidRPr="003B2CF6">
        <w:rPr>
          <w:rFonts w:ascii="Times New Roman" w:hAnsi="Times New Roman" w:cs="Times New Roman"/>
          <w:sz w:val="24"/>
          <w:szCs w:val="24"/>
        </w:rPr>
        <w:t xml:space="preserve">. Even though the silencing was efficient (up to 90% downregulation), it was not </w:t>
      </w:r>
      <w:r w:rsidRPr="003B2CF6">
        <w:rPr>
          <w:rFonts w:ascii="Times New Roman" w:hAnsi="Times New Roman" w:cs="Times New Roman"/>
          <w:sz w:val="24"/>
          <w:szCs w:val="24"/>
        </w:rPr>
        <w:lastRenderedPageBreak/>
        <w:t xml:space="preserve">complete and the remaining NME6 protein present in the mitochondria could have been sufficient to maintain respiratory parameters close to the one of the control cells. </w:t>
      </w:r>
    </w:p>
    <w:p w14:paraId="04B97A7B" w14:textId="75505D53"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We showed that the overexpression of NME6 strongly negatively impacted the mitochondrial respiration in presence of ATP, suggesting a reduced OXPHOS capacity. Consistently, we observed a significant decrease of the respiratory chain complex-III abundance at the protein level upon NME6 overexpression, while a similar trend was observed for complex-I and complex-IV. The complex-II which is entirely encoded by the nuclear DNA was unaffected by the overexpression of NME6. All proteins used as complex markers in this experiment were encoded in the nucleus (</w:t>
      </w:r>
      <w:r w:rsidR="007A1636">
        <w:rPr>
          <w:rFonts w:ascii="Times New Roman" w:hAnsi="Times New Roman" w:cs="Times New Roman"/>
          <w:sz w:val="24"/>
          <w:szCs w:val="24"/>
        </w:rPr>
        <w:fldChar w:fldCharType="begin"/>
      </w:r>
      <w:r w:rsidR="007A1636">
        <w:rPr>
          <w:rFonts w:ascii="Times New Roman" w:hAnsi="Times New Roman" w:cs="Times New Roman"/>
          <w:sz w:val="24"/>
          <w:szCs w:val="24"/>
        </w:rPr>
        <w:instrText xml:space="preserve"> REF _Ref106010006 \h </w:instrText>
      </w:r>
      <w:r w:rsidR="007A1636">
        <w:rPr>
          <w:rFonts w:ascii="Times New Roman" w:hAnsi="Times New Roman" w:cs="Times New Roman"/>
          <w:sz w:val="24"/>
          <w:szCs w:val="24"/>
        </w:rPr>
      </w:r>
      <w:r w:rsidR="007A1636">
        <w:rPr>
          <w:rFonts w:ascii="Times New Roman" w:hAnsi="Times New Roman" w:cs="Times New Roman"/>
          <w:sz w:val="24"/>
          <w:szCs w:val="24"/>
        </w:rPr>
        <w:fldChar w:fldCharType="separate"/>
      </w:r>
      <w:r w:rsidR="00790F77" w:rsidRPr="002E26D2">
        <w:rPr>
          <w:rFonts w:ascii="Times New Roman" w:hAnsi="Times New Roman" w:cs="Times New Roman"/>
          <w:sz w:val="24"/>
          <w:szCs w:val="24"/>
        </w:rPr>
        <w:t xml:space="preserve">Figure </w:t>
      </w:r>
      <w:r w:rsidR="00790F77">
        <w:rPr>
          <w:rFonts w:ascii="Times New Roman" w:hAnsi="Times New Roman" w:cs="Times New Roman"/>
          <w:noProof/>
          <w:sz w:val="24"/>
          <w:szCs w:val="24"/>
        </w:rPr>
        <w:t>49</w:t>
      </w:r>
      <w:r w:rsidR="007A1636">
        <w:rPr>
          <w:rFonts w:ascii="Times New Roman" w:hAnsi="Times New Roman" w:cs="Times New Roman"/>
          <w:sz w:val="24"/>
          <w:szCs w:val="24"/>
        </w:rPr>
        <w:fldChar w:fldCharType="end"/>
      </w:r>
      <w:r w:rsidRPr="003B2CF6">
        <w:rPr>
          <w:rFonts w:ascii="Times New Roman" w:hAnsi="Times New Roman" w:cs="Times New Roman"/>
          <w:sz w:val="24"/>
          <w:szCs w:val="24"/>
        </w:rPr>
        <w:t>). Nevertheless, our latest experiments show that NME6 overexpression strongly downregulate some of the components of the respiratory chain complexes encoded within the mitochondria (unpublished data). Thus, experimental data point to a repressing role of NME6 along the mitochondrial translation process, with its overexpression eventually leading to a reduced abundance of respiratory chain complexes and to a decrease of mitochondrial respiration.</w:t>
      </w:r>
    </w:p>
    <w:p w14:paraId="5A9C7BE0" w14:textId="2E8DCB92"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Interestingly, the protein we used as a complex-III marker, UQCRC2, assemble at the MIM/matrix interface by forming a dimer with the complex-III protein UQCRC1. Worthy to note, the latest protein is encoded in the nucleus on chromosome 3p21.31, and is in a close vicinity of the NME6 gene, with only 260 kb separating the two genes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{"citationItems":[{"id":"ITEM-1","itemData":{"DOI":"10.1093/nar/gkab1049","ISBN":"988/6430486","ISSN":"0305-1048","PMID":"34791404","abstract":"Ensembl (https://www.ensembl.org) is unique in its flexible infrastructure for access to genomic data and annotation. It has been designed to efficiently deliver annotation at scale for all eukaryotic life, and it also provides deep comprehensive annotation for key species. Genomes representing a greater diversity of species are increasingly being sequenced. In response, we have focussed our recent efforts on expediting the annotation of new assemblies. Here, we report the release of the greatest annual number of newly annotated genomes in the history of Ensembl via our dedicated Ensembl Rapid Release platform (http://rapid.ensembl.org). We have also developed a new method to generate comparative analyses at scale for these assemblies and, for the first time, we have annotated non-vertebrate eukaryotes. Meanwhile, we continually improve, extend and update the annotation for our high-value reference vertebrate genomes and report the details here. We have a range of specific software tools for specific tasks, such as the Ensembl Variant Effect Predictor (VEP) and the newly developed interface for the Variant Recoder. All Ensembl data, software and tools are freely available for download and are accessible programmatically.","author":[{"dropping-particle":"","family":"Cunningham","given":"Fiona","non-dropping-particle":"","parse-names":false,"suffix":""},{"dropping-particle":"","family":"Allen","given":"James E","non-dropping-particle":"","parse-names":false,"suffix":""},{"dropping-particle":"","family":"Allen","given":"Jamie","non-dropping-particle":"","parse-names":false,"suffix":""},{"dropping-particle":"","family":"Alvarez-Jarreta","given":"Jorge","non-dropping-particle":"","parse-names":false,"suffix":""},{"dropping-particle":"","family":"Amode","given":"M Ridwan","non-dropping-particle":"","parse-names":false,"suffix":""},{"dropping-particle":"","family":"Armean","given":"Irina M","non-dropping-particle":"","parse-names":false,"suffix":""},{"dropping-particle":"","family":"Austine-Orimoloye","given":"Olanrewaju","non-dropping-particle":"","parse-names":false,"suffix":""},{"dropping-particle":"","family":"Azov","given":"Andrey G","non-dropping-particle":"","parse-names":false,"suffix":""},{"dropping-particle":"","family":"Barnes","given":"If","non-dropping-particle":"","parse-names":false,"suffix":""},{"dropping-particle":"","family":"Bennett","given":"Ruth","non-dropping-particle":"","parse-names":false,"suffix":""},{"dropping-particle":"","family":"Berry","given":"Andrew","non-dropping-particle":"","parse-names":false,"suffix":""},{"dropping-particle":"","family":"Bhai","given":"Jyothish","non-dropping-particle":"","parse-names":false,"suffix":""},{"dropping-particle":"","family":"Bignell","given":"Alexandra","non-dropping-particle":"","parse-names":false,"suffix":""},{"dropping-particle":"","family":"Billis","given":"Konstantinos","non-dropping-particle":"","parse-names":false,"suffix":""},{"dropping-particle":"","family":"Boddu","given":"Sanjay","non-dropping-particle":"","parse-names":false,"suffix":""},{"dropping-particle":"","family":"Brooks","given":"Lucy","non-dropping-particle":"","parse-names":false,"suffix":""},{"dropping-particle":"","family":"Charkhchi","given":"Mehrnaz","non-dropping-particle":"","parse-names":false,"suffix":""},{"dropping-particle":"","family":"Cummins","given":"Carla","non-dropping-particle":"","parse-names":false,"suffix":""},{"dropping-particle":"","family":"Rin Fioretto","given":"Luca","non-dropping-particle":"Da","parse-names":false,"suffix":""},{"dropping-particle":"","family":"Davidson","given":"Claire","non-dropping-particle":"","parse-names":false,"suffix":""},{"dropping-particle":"","family":"Dodiya","given":"Kamalkumar","non-dropping-particle":"","parse-names":false,"suffix":""},{"dropping-particle":"","family":"Donaldson","given":"Sarah","non-dropping-particle":"","parse-names":false,"suffix":""},{"dropping-particle":"","family":"Houdaigui","given":"Bilal","non-dropping-particle":"El","parse-names":false,"suffix":""},{"dropping-particle":"","family":"Naboulsi","given":"Tamara","non-dropping-particle":"El","parse-names":false,"suffix":""},{"dropping-particle":"","family":"Fatima","given":"Reham","non-dropping-particle":"","parse-names":false,"suffix":""},{"dropping-particle":"","family":"Giron","given":"Carlos Garcia","non-dropping-particle":"","parse-names":false,"suffix":""},{"dropping-particle":"","family":"Genez","given":"Thiago","non-dropping-particle":"","parse-names":false,"suffix":""},{"dropping-particle":"","family":"Martinez","given":"Jose Gonzalez","non-dropping-particle":"","parse-names":false,"suffix":""},{"dropping-particle":"","family":"Guijarro-Clarke","given":"Cristina","non-dropping-particle":"","parse-names":false,"suffix":""},{"dropping-particle":"","family":"Gymer","given":"Arthur","non-dropping-particle":"","parse-names":false,"suffix":""},{"dropping-particle":"","family":"Hardy","given":"Matthew","non-dropping-particle":"","parse-names":false,"suffix":""},{"dropping-particle":"","family":"Hollis","given":"Zoe","non-dropping-particle":"","parse-names":false,"suffix":""},{"dropping-particle":"","family":"Hourlier","given":"Thibaut","non-dropping-particle":"","parse-names":false,"suffix":""},{"dropping-particle":"","family":"Hunt","given":"Toby","non-dropping-particle":"","parse-names":false,"suffix":""},{"dropping-particle":"","family":"Juettemann","given":"Thomas","non-dropping-particle":"","parse-names":false,"suffix":""},{"dropping-particle":"","family":"Kaikala","given":"Vinay","non-dropping-particle":"","parse-names":false,"suffix":""},{"dropping-particle":"","family":"Kay","given":"Mike","non-dropping-particle":"","parse-names":false,"suffix":""},{"dropping-particle":"","family":"Lavidas","given":"Ilias","non-dropping-particle":"","parse-names":false,"suffix":""},{"dropping-particle":"","family":"Le","given":"Tuan","non-dropping-particle":"","parse-names":false,"suffix":""},{"dropping-particle":"","family":"Lemos","given":"Diana","non-dropping-particle":"","parse-names":false,"suffix":""},{"dropping-particle":"","family":"Marugán","given":"José Carlos","non-dropping-particle":"","parse-names":false,"suffix":""},{"dropping-particle":"","family":"Mohanan","given":"Shamika","non-dropping-particle":"","parse-names":false,"suffix":""},{"dropping-particle":"","family":"Mushtaq","given":"Aleena","non-dropping-particle":"","parse-names":false,"suffix":""},{"dropping-particle":"","family":"Naven","given":"Marc","non-dropping-particle":"","parse-names":false,"suffix":""},{"dropping-particle":"","family":"Ogeh","given":"Denye N","non-dropping-particle":"","parse-names":false,"suffix":""},{"dropping-particle":"","family":"Parker","given":"Anne","non-dropping-particle":"","parse-names":false,"suffix":""},{"dropping-particle":"","family":"Parton","given":"Andrew","non-dropping-particle":"","parse-names":false,"suffix":""},{"dropping-particle":"","family":"Perry","given":"Malcolm","non-dropping-particle":"","parse-names":false,"suffix":""},{"dropping-particle":"","family":"Piližota","given":"Ivana","non-dropping-particle":"","parse-names":false,"suffix":""},{"dropping-particle":"","family":"Prosovetskaia","given":"Irina","non-dropping-particle":"","parse-names":false,"suffix":""},{"dropping-particle":"","family":"Sakthivel","given":"Manoj Pandian","non-dropping-particle":"","parse-names":false,"suffix":""},{"dropping-particle":"","family":"Salam","given":"Ahamed Imran Abdul","non-dropping-particle":"","parse-names":false,"suffix":""},{"dropping-particle":"","family":"Schmitt","given":"Bianca M","non-dropping-particle":"","parse-names":false,"suffix":""},{"dropping-particle":"","family":"Schuilenburg","given":"Helen","non-dropping-particle":"","parse-names":false,"suffix":""},{"dropping-particle":"","family":"Sheppard","given":"Dan","non-dropping-particle":"","parse-names":false,"suffix":""},{"dropping-particle":"","family":"Pérez-Silva","given":"José G","non-dropping-particle":"","parse-names":false,"suffix":""},{"dropping-particle":"","family":"Stark","given":"William","non-dropping-particle":"","parse-names":false,"suffix":""},{"dropping-particle":"","family":"Steed","given":"Emily","non-dropping-particle":"","parse-names":false,"suffix":""},{"dropping-particle":"","family":"Sutinen","given":"Kyösti","non-dropping-particle":"","parse-names":false,"suffix":""},{"dropping-particle":"","family":"Sukumaran","given":"Ranjit","non-dropping-particle":"","parse-names":false,"suffix":""},{"dropping-particle":"","family":"Sumathipala","given":"Dulika","non-dropping-particle":"","parse-names":false,"suffix":""},{"dropping-particle":"","family":"Suner","given":"Marie-Marthe","non-dropping-particle":"","parse-names":false,"suffix":""},{"dropping-particle":"","family":"Szpak","given":"Michal","non-dropping-particle":"","parse-names":false,"suffix":""},{"dropping-particle":"","family":"Thormann","given":"Anja","non-dropping-particle":"","parse-names":false,"suffix":""},{"dropping-particle":"","family":"Tricomi","given":"Francesca Floriana","non-dropping-particle":"","parse-names":false,"suffix":""},{"dropping-particle":"","family":"Urbina-Gómez","given":"David","non-dropping-particle":"","parse-names":false,"suffix":""},{"dropping-particle":"","family":"Veidenberg","given":"Andres","non-dropping-particle":"","parse-names":false,"suffix":""},{"dropping-particle":"","family":"Walsh","given":"Thomas A","non-dropping-particle":"","parse-names":false,"suffix":""},{"dropping-particle":"","family":"Walts","given":"Brandon","non-dropping-particle":"","parse-names":false,"suffix":""},{"dropping-particle":"","family":"Willhoft","given":"Natalie","non-dropping-particle":"","parse-names":false,"suffix":""},{"dropping-particle":"","family":"Winterbottom","given":"Andrea","non-dropping-particle":"","parse-names":false,"suffix":""},{"dropping-particle":"","family":"Wass","given":"Elizabeth","non-dropping-particle":"","parse-names":false,"suffix":""},{"dropping-particle":"","family":"Chakiachvili","given":"Marc","non-dropping-particle":"","parse-names":false,"suffix":""},{"dropping-particle":"","family":"Flint","given":"Bethany","non-dropping-particle":"","parse-names":false,"suffix":""},{"dropping-particle":"","family":"Frankish","given":"Adam","non-dropping-particle":"","parse-names":false,"suffix":""},{"dropping-particle":"","family":"Giorgetti","given":"Stefano","non-dropping-particle":"","parse-names":false,"suffix":""},{"dropping-particle":"","family":"Haggerty","given":"Leanne","non-dropping-particle":"","parse-names":false,"suffix":""},{"dropping-particle":"","family":"Hunt","given":"Sarah E","non-dropping-particle":"","parse-names":false,"suffix":""},{"dropping-particle":"","family":"IIsley","given":"Garth R","non-dropping-particle":"","parse-names":false,"suffix":""},{"dropping-particle":"","family":"Loveland","given":"Jane E","non-dropping-particle":"","parse-names":false,"suffix":""},{"dropping-particle":"","family":"Martin","given":"Fergal J","non-dropping-particle":"","parse-names":false,"suffix":""},{"dropping-particle":"","family":"Moore","given":"Benjamin","non-dropping-particle":"","parse-names":false,"suffix":""},{"dropping-particle":"","family":"Mudge","given":"Jonathan M","non-dropping-particle":"","parse-names":false,"suffix":""},{"dropping-particle":"","family":"Muffato","given":"Matthieu","non-dropping-particle":"","parse-names":false,"suffix":""},{"dropping-particle":"","family":"Perry","given":"Emily","non-dropping-particle":"","parse-names":false,"suffix":""},{"dropping-particle":"","family":"Ruffier","given":"Magali","non-dropping-particle":"","parse-names":false,"suffix":""},{"dropping-particle":"","family":"Tate","given":"John","non-dropping-particle":"","parse-names":false,"suffix":""},{"dropping-particle":"","family":"Thybert","given":"David","non-dropping-particle":"","parse-names":false,"suffix":""},{"dropping-particle":"","family":"Trevanion","given":"Stephen J","non-dropping-particle":"","parse-names":false,"suffix":""},{"dropping-particle":"","family":"Dyer","given":"Sarah","non-dropping-particle":"","parse-names":false,"suffix":""},{"dropping-particle":"","family":"Harrison","given":"Peter W","non-dropping-particle":"","parse-names":false,"suffix":""},{"dropping-particle":"","family":"Howe","given":"Kevin L","non-dropping-particle":"","parse-names":false,"suffix":""},{"dropping-particle":"","family":"Yates","given":"Andrew D","non-dropping-particle":"","parse-names":false,"suffix":""},{"dropping-particle":"","family":"Zerbino","given":"Daniel R","non-dropping-particle":"","parse-names":false,"suffix":""},{"dropping-particle":"","family":"Flicek","given":"Paul","non-dropping-particle":"","parse-names":false,"suffix":""}],"container-title":"Nucleic Acids Research","id":"ITEM-1","issue":"D1","issued":{"date-parts":[["2022","1","7"]]},"page":"D988-D995","publisher":"Oxford Academic","title":"Ensembl 2022","type":"article-journal","volume":"50"},"uris":["http://www.mendeley.com/documents/?uuid=35e3d0c3-f4e0-313b-8460-17ffae3cdfb0"]}],"mendeley":{"formattedCitation":"[104]","plainTextFormattedCitation":"[104]","previouslyFormattedCitation":"[104]"},"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[104]</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An attractive hypothesis would postulate that both genes, clustering in a DNA domain such as topologically associating domain, would display a coordinated expression upon cellular needs </w:t>
      </w:r>
      <w:r w:rsidRPr="003B2CF6">
        <w:rPr>
          <w:rFonts w:ascii="Times New Roman" w:hAnsi="Times New Roman" w:cs="Times New Roman"/>
          <w:sz w:val="24"/>
          <w:szCs w:val="24"/>
        </w:rPr>
        <w:fldChar w:fldCharType="begin" w:fldLock="1"/>
      </w:r>
      <w:r w:rsidR="00317506">
        <w:rPr>
          <w:rFonts w:ascii="Times New Roman" w:hAnsi="Times New Roman" w:cs="Times New Roman"/>
          <w:sz w:val="24"/>
          <w:szCs w:val="24"/>
        </w:rPr>
        <w:instrText>ADDIN CSL_CITATION {"citationItems":[{"id":"ITEM-1","itemData":{"DOI":"10.3389/fcell.2021.702787","ISSN":"2296-634X","abstract":"Animal genomes are folded in topologically associating domains (TADs) that have been linked to the regulation of the genes they contain by constraining regulatory interactions between cis -regulatory elements and promoters. Therefore, TADs are proposed as structural scaffolds for the establishment of regulatory landscapes (RLs). In this review, we discuss recent advances in the connection between TADs and gene regulation, their relationship with gene RLs and their dynamics during development and differentiation. Moreover, we describe how restructuring TADs may lead to pathological conditions, which explains their high evolutionary conservation, but at the same time it provides a substrate for the emergence of evolutionary innovations that lay at the origin of vertebrates and other phylogenetic clades.","author":[{"dropping-particle":"","family":"Tena","given":"Juan J.","non-dropping-particle":"","parse-names":false,"suffix":""},{"dropping-particle":"","family":"Santos-Pereira","given":"José M.","non-dropping-particle":"","parse-names":false,"suffix":""}],"container-title":"Frontiers in Cell and Developmental Biology","id":"ITEM-1","issued":{"date-parts":[["2021","7","6"]]},"page":"1817","publisher":"Frontiers Media S.A.","title":"Topologically Associating Domains and Regulatory Landscapes in Development, Evolution and Disease","type":"article-journal","volume":"9"},"uris":["http://www.mendeley.com/documents/?uuid=a91292bb-25b8-35c9-b921-8fb4520bddbd"]},{"id":"ITEM-2","itemData":{"DOI":"10.1126/sciadv.aaw1668","ISSN":"2375-2548","PMID":"30989119","abstract":"This review discusses the features of TADs across species, and their role in chromosome organization, genome function, and evolution.","author":[{"dropping-particle":"","family":"Szabo","given":"Quentin","non-dropping-particle":"","parse-names":false,"suffix":""},{"dropping-particle":"","family":"Bantignies","given":"Frédéric","non-dropping-particle":"","parse-names":false,"suffix":""},{"dropping-particle":"","family":"Cavalli","given":"Giacomo","non-dropping-particle":"","parse-names":false,"suffix":""}],"container-title":"Science Advances","id":"ITEM-2","issue":"4","issued":{"date-parts":[["2019","4","5"]]},"page":"eaaw1668","publisher":"American Association for the Advancement of Science","title":"Principles of genome folding into topologically associating domains","type":"article-journal","volume":"5"},"uris":["http://www.mendeley.com/documents/?uuid=9be3ee22-436a-325a-89f7-2e047424d273"]}],"mendeley":{"formattedCitation":"[148,149]","plainTextFormattedCitation":"[148,149]","previouslyFormattedCitation":"[148,149]"},"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[148,149]</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even though testing this hypothesis is beyond the scope of this work. Nevertheless, this improbable gene proximity reinforces the obvious link between NME6 and the respiratory chain.</w:t>
      </w:r>
    </w:p>
    <w:p w14:paraId="40492D3F" w14:textId="7F1A4EE3" w:rsidR="003B2CF6" w:rsidRPr="003B2CF6" w:rsidRDefault="003B2CF6" w:rsidP="003B2CF6">
      <w:pPr>
        <w:spacing w:line="360" w:lineRule="auto"/>
        <w:jc w:val="both"/>
        <w:rPr>
          <w:rFonts w:ascii="Times New Roman" w:hAnsi="Times New Roman" w:cs="Times New Roman"/>
          <w:sz w:val="24"/>
          <w:szCs w:val="24"/>
        </w:rPr>
      </w:pPr>
      <w:r w:rsidRPr="003B2CF6">
        <w:rPr>
          <w:rFonts w:ascii="Times New Roman" w:hAnsi="Times New Roman" w:cs="Times New Roman"/>
          <w:sz w:val="24"/>
          <w:szCs w:val="24"/>
        </w:rPr>
        <w:t xml:space="preserve">Altogether, our work suggests a role of NME6 in mitochondrial translation, in concert with RCC1L. Both proteins arose early in the course of evolution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{"citationItems":[{"id":"ITEM-1","itemData":{"DOI":"10.1016/j.bbamcr.2008.03.015","ISSN":"01674889","abstract":"The Regulator of Chromosome Condensation 1 (RCC1) was identified over 20 years ago as a critical cell cycle regulator. By analyzing its amino acid sequence, RCC1 was found to consist of seven homologous repeats of 51-68 amino acid residues, which were later shown to adopt a seven-bladed β-propeller fold. Since the initial identification of RCC1, a number of proteins have been discovered that contain one or more RCC1-like domains (RLDs). As we show here, these RCC1 superfamily proteins can be subdivided in five subgroups based on structural criteria. In recent years, a number of studies have been published regarding the functions of RCC1 superfamily proteins. From these studies, the emerging picture is that the RLD is a versatile domain which may perform many different functions, including guanine nucleotide exchange on small GTP-binding proteins, enzyme inhibition or interaction with proteins and lipids. Here, we review the available structural and functional data on RCC1 superfamily members, paying special attention to the human proteins and their involvement in disease. © 2008 Elsevier B.V. All rights reserved.","author":[{"dropping-particle":"","family":"Hadjebi","given":"Ouadah","non-dropping-particle":"","parse-names":false,"suffix":""},{"dropping-particle":"","family":"Casas-Terradellas","given":"Eduard","non-dropping-particle":"","parse-names":false,"suffix":""},{"dropping-particle":"","family":"Garcia-Gonzalo","given":"Francesc R.","non-dropping-particle":"","parse-names":false,"suffix":""},{"dropping-particle":"","family":"Rosa","given":"Jose Luis","non-dropping-particle":"","parse-names":false,"suffix":""}],"container-title":"Biochimica et Biophysica Acta (BBA) - Molecular Cell Research","id":"ITEM-1","issue":"8","issued":{"date-parts":[["2008","8"]]},"page":"1467-1479","title":"The RCC1 superfamily: From genes, to function, to disease","type":"article-journal","volume":"1783"},"uris":["http://www.mendeley.com/documents/?uuid=a0923738-bd47-48cb-8500-1d874ff02045"]},{"id":"ITEM-2","itemData":{"DOI":"10.1186/1471-2148-9-256","ISSN":"1471-2148","abstract":"Background: The Nme family, previously known as Nm23 or NDPK, is involved in various molecular processes including tumor metastasis and some members of the family, but not all, exhibit a Nucleoside Diphosphate Kinase (NDPK) activity. Ten genes are known in humans, in which some members have been extensively studied. In non-mammalian species, the Nme protein family has received, in contrast, far less attention. The picture of the vertebrate Nme family remains thus incomplete and orthology relationships with mammalian counterparts were only partially characterized. The present study therefore aimed at characterizing the Nme gene repertoire in vertebrates with special interest for teleosts, and providing a comprehensive overview of the Nme gene family evolutionary history in vertebrates. Results: In the present study, we present the evolutionary history of the Nme family in vertebrates and characterize the gene family repertoire for the first time in several non-mammalian species. Our observations show that vertebrate Nme genes can be separated in two evolutionary distinct groups. Nme1, Nme2, Nme3, and Nme4 belong to Group I while vertebrate Nme5, Nme6, Nme7, Nme8, and Nme9 belong to Group II. The position of Nme10 is in contrast more debatable due to its very specific evolutionary history. The present study clearly indicates that Nme5, Nme6, Nme7, and Nme8 originate from duplication events that occurred before the chordate radiation. In contrast, Nme genes of the Group I have a very different evolutionary history as our results suggest that they all arise from a common gene present in the chordate ancestor. In addition, expression patterns of all zebrafish nme transcripts were studied in a broad range of tissues by quantitative PCR and discussed in the light of the function of their mammalian counterparts. Conclusion: This work offers an evolutionary framework that will pave the way for future studies on vertebrate Nme proteins and provides a unified vertebrate Nme nomenclature that is consistent with the nomenclature in use in mammals. Based on protein structure and expression data, we also provide new insight into molecular functions of Nme proteins among vertebrates and raise intriguing questions on the roles of Nme proteins in gonads.","author":[{"dropping-particle":"","family":"Desvignes","given":"Thomas","non-dropping-particle":"","parse-names":false,"suffix":""},{"dropping-particle":"","family":"Pontarotti","given":"Pierre","non-dropping-particle":"","parse-names":false,"suffix":""},{"dropping-particle":"","family":"Fauvel","given":"Christian","non-dropping-particle":"","parse-names":false,"suffix":""},{"dropping-particle":"","family":"Bobe","given":"Julien","non-dropping-particle":"","parse-names":false,"suffix":""}],"container-title":"BMC Evolutionary Biology","id":"ITEM-2","issue":"1","issued":{"date-parts":[["2009","12","23"]]},"page":"256","title":"Nme protein family evolutionary history, a vertebrate perspective","type":"article-journal","volume":"9"},"uris":["http://www.mendeley.com/documents/?uuid=2897fc36-6f9c-4d15-8a18-dad9a2344296"]},{"id":"ITEM-3","itemData":{"DOI":"10.1007/s00210-011-0635-9","ISBN":"0028-1298","ISSN":"0028-1298","PMID":"21533994","abstract":"Nucleoside diphosphate kinases (NDPKs) are evolutionarily conserved enzymes involved in many biological processes such as metastasis, proliferation, development, differentiation, ciliary functions, vesicle transport and apoptosis in vertebrates. Biochemical mechanisms of these processes are still largely unknown. Sponges (Porifera) are simple metazoans without tissues, closest to the common ancestor of all animals. They changed little during evolution and probably provide the best insight into the metazoan ancestors' genomic features. The purpose of this study was to address structural and functional properties of group II Nme6 gene/protein ortholog from the marine sponge Suberites domuncula, Nme6, in order to elucidate its evolutionary history. Sponge Nme6 gene and promoter were sequenced and analysed with various bioinformatical tools. Nme6 and Nme6Δ31 proteins were produced in E. coli strain BL21 and NDPK activity was measured using a coupled pyruvate kinase-lactate dehydrogenase assay. Subcellular localization in human tumour cells was examined by confocal scanning microscopy. Our results show that the sponge Nme6 compared to human Nme6 does not possess NDPK activity, does not localize in mitochondria at least in human cells although it has a putative mitochondrial signal sequence, lacks two recent introns that comprise miRNAs and have different transcriptional binding sites in the promoter region. Therefore, we conclude that the structure of Nme6 gene has changed during metazoan evolution possibly in correlation with the function of the protein.","author":[{"dropping-particle":"","family":"Perina","given":"Drago","non-dropping-particle":"","parse-names":false,"suffix":""},{"dropping-particle":"","family":"Herak Bosnar","given":"Maja","non-dropping-particle":"","parse-names":false,"suffix":""},{"dropping-particle":"","family":"Mikoč","given":"Andreja","non-dropping-particle":"","parse-names":false,"suffix":""},{"dropping-particle":"","family":"Müller","given":"Werner E. G.","non-dropping-particle":"","parse-names":false,"suffix":""},{"dropping-particle":"","family":"Ćetković","given":"Helena","non-dropping-particle":"","parse-names":false,"suffix":""}],"container-title":"Naunyn-Schmiedeberg's Archives of Pharmacology","id":"ITEM-3","issue":"4-5","issued":{"date-parts":[["2011","10","2"]]},"page":"451-460","publisher":"Springer-Verlag","title":"Characterization of Nme6-like gene/protein from marine sponge Suberites domuncula","type":"article-journal","volume":"384"},"uris":["http://www.mendeley.com/documents/?uuid=3089d1cd-f2e2-35bb-9bd6-c04478f05767"]}],"mendeley":{"formattedCitation":"[1,27,121]","plainTextFormattedCitation":"[1,27,121]","previouslyFormattedCitation":"[1,27,121]"},"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[1,27,121]</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are localized in the mitochondrial matrix and interact with one another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10.1371/journal.pgen.1008923","ISSN":"1553-7404","author":[{"dropping-particle":"","family":"Reyes","given":"Aurelio","non-dropping-particle":"","parse-names":false,"suffix":""},{"dropping-particle":"","family":"Favia","given":"Paola","non-dropping-particle":"","parse-names":false,"suffix":""},{"dropping-particle":"","family":"Vidoni","given":"Sara","non-dropping-particle":"","parse-names":false,"suffix":""},{"dropping-particle":"","family":"Petruzzella","given":"Vittoria","non-dropping-particle":"","parse-names":false,"suffix":""},{"dropping-particle":"","family":"Zeviani","given":"Massimo","non-dropping-particle":"","parse-names":false,"suffix":""}],"container-title":"PLOS Genetics","editor":[{"dropping-particle":"","family":"Filipovska","given":"Aleksandra","non-dropping-particle":"","parse-names":false,"suffix":""}],"id":"ITEM-1","issue":"7","issued":{"date-parts":[["2020","7","31"]]},"page":"e1008923","title":"RCC1L (WBSCR16) isoforms coordinate mitochondrial ribosome assembly through their interaction with GTPases","type":"article-journal","volume":"16"},"uris":["http://www.mendeley.com/documents/?uuid=429858cc-8986-40b1-b986-310c09b10d00"]},{"id":"ITEM-2","itemData":{"DOI":"10.1186/s13578-021-00707-0","ISSN":"2045-3701","PMID":"34789336","abstract":"BACKGROUND NME6 is a member of the nucleoside diphosphate kinase (NDPK/NME/Nm23) family which has key roles in nucleotide homeostasis, signal transduction, membrane remodeling and metastasis suppression. The well-studied NME1-NME4 proteins are hexameric and catalyze, via a phospho-histidine intermediate, the transfer of the terminal phosphate from (d)NTPs to (d)NDPs (NDP kinase) or proteins (protein histidine kinase). For the NME6, a gene/protein that emerged early in eukaryotic evolution, only scarce and partially inconsistent data are available. Here we aim to clarify and extend our knowledge on the human NME6. RESULTS We show that NME6 is mostly expressed as a 186 amino acid protein, but that a second albeit much less abundant isoform exists. The recombinant NME6 remains monomeric, and does not assemble into homo-oligomers or hetero-oligomers with NME1-NME4. Consequently, NME6 is unable to catalyze phosphotransfer: it does not generate the phospho-histidine intermediate, and no NDPK activity can be detected. In cells, we could resolve and extend existing contradictory reports by localizing NME6 within mitochondria, largely associated with the mitochondrial inner membrane and matrix space. Overexpressing NME6 reduces ADP-stimulated mitochondrial respiration and complex III abundance, thus linking NME6 to dysfunctional oxidative phosphorylation. However, it did not alter mitochondrial membrane potential, mass, or network characteristics. Our screen for NME6 protein partners revealed its association with NME4 and OPA1, but a direct interaction was observed only with RCC1L, a protein involved in mitochondrial ribosome assembly and mitochondrial translation, and identified as essential for oxidative phosphorylation. CONCLUSIONS NME6, RCC1L and mitoribosomes localize together at the inner membrane/matrix space where NME6, in concert with RCC1L, may be involved in regulation of the mitochondrial translation of essential oxidative phosphorylation subunits. Our findings suggest new functions for NME6, independent of the classical phosphotransfer activity associated with NME proteins.","author":[{"dropping-particle":"","family":"Proust","given":"Bastien","non-dropping-particle":"","parse-names":false,"suffix":""},{"dropping-particle":"","family":"Radić","given":"Martina","non-dropping-particle":"","parse-names":false,"suffix":""},{"dropping-particle":"","family":"Vidaček","given":"Nikolina Škrobot","non-dropping-particle":"","parse-names":false,"suffix":""},{"dropping-particle":"","family":"Cottet","given":"Cécile","non-dropping-particle":"","parse-names":false,"suffix":""},{"dropping-particle":"","family":"Attia","given":"Stéphane","non-dropping-particle":"","parse-names":false,"suffix":""},{"dropping-particle":"","family":"Lamarche","given":"Frédéric","non-dropping-particle":"","parse-names":false,"suffix":""},{"dropping-particle":"","family":"Ačkar","given":"Lucija","non-dropping-particle":"","parse-names":false,"suffix":""},{"dropping-particle":"","family":"Mikulčić","given":"Vlatka Godinić","non-dropping-particle":"","parse-names":false,"suffix":""},{"dropping-particle":"","family":"Tokarska-Schlattner","given":"Malgorzata","non-dropping-particle":"","parse-names":false,"suffix":""},{"dropping-particle":"","family":"Ćetković","given":"Helena","non-dropping-particle":"","parse-names":false,"suffix":""},{"dropping-particle":"","family":"Schlattner","given":"Uwe","non-dropping-particle":"","parse-names":false,"suffix":""},{"dropping-particle":"","family":"Bosnar","given":"Maja Herak","non-dropping-particle":"","parse-names":false,"suffix":""}],"container-title":"Cell &amp; Bioscience","id":"ITEM-2","issue":"1","issued":{"date-parts":[["2021","12","17"]]},"page":"195","publisher":"BioMed Central Ltd","title":"NME6 is a phosphotransfer-inactive, monomeric NME/NDPK family member and functions in complexes at the interface of mitochondrial inner membrane and matrix","type":"article-journal","volume":"11"},"uris":["http://www.mendeley.com/documents/?uuid=34765eca-a7db-33c5-98be-33ec310f31f6"]}],"mendeley":{"formattedCitation":"[81,128]","plainTextFormattedCitation":"[81,128]","previouslyFormattedCitation":"[81,128]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[81,128]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The tuning of either of their expression levels leads to a decrease of respiratory chain complexes abundance, and to a reduction of mitochondrial respiration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{"citationItems":[{"id":"ITEM-1","itemData":{"DOI":"10.1016/j.cmet.2016.08.017","ISSN":"15504131","PMID":"27667664","abstract":"Oxidative phosphorylation (OXPHOS) is the major pathway for ATP production in humans. Deficiencies in OXPHOS can arise from mutations in either mitochondrial or nuclear genomes and comprise the largest collection of inborn errors of metabolism. At present we lack a complete catalog of human genes and pathways essential for OXPHOS. Here we introduce a genome-wide CRISPR “death screen” that actively selects dying cells to reveal human genes required for OXPHOS, inspired by the classic observation that human cells deficient in OXPHOS survive in glucose but die in galactose. We report 191 high-confidence hits essential for OXPHOS, including 72 underlying known OXPHOS diseases. Our screen reveals a functional module consisting of NGRN, WBSCR16, RPUSD3, RPUSD4, TRUB2, and FASTKD2 that regulates the mitochondrial 16S rRNA and intra-mitochondrial translation. Our work yields a rich catalog of genes required for OXPHOS and, more generally, demonstrates the power of death screening for functional genomic analysis.","author":[{"dropping-particle":"","family":"Arroyo","given":"Jason D.","non-dropping-particle":"","parse-names":false,"suffix":""},{"dropping-particle":"","family":"Jourdain","given":"Alexis A.","non-dropping-particle":"","parse-names":false,"suffix":""},{"dropping-particle":"","family":"Calvo","given":"Sarah E.","non-dropping-particle":"","parse-names":false,"suffix":""},{"dropping-particle":"","family":"Ballarano","given":"Carmine A.","non-dropping-particle":"","parse-names":false,"suffix":""},{"dropping-particle":"","family":"Doench","given":"John G.","non-dropping-particle":"","parse-names":false,"suffix":""},{"dropping-particle":"","family":"Root","given":"David E.","non-dropping-particle":"","parse-names":false,"suffix":""},{"dropping-particle":"","family":"Mootha","given":"Vamsi K.","non-dropping-particle":"","parse-names":false,"suffix":""}],"container-title":"Cell Metabolism","id":"ITEM-1","issue":"6","issued":{"date-parts":[["2016","12"]]},"page":"875-885","title":"A Genome-wide CRISPR Death Screen Identifies Genes Essential for Oxidative Phosphorylation","type":"article-journal","volume":"24"},"uris":["http://www.mendeley.com/documents/?uuid=50ab3005-005f-4c19-8d6a-b0f94b9f208e"]},{"id":"ITEM-2","itemData":{"DOI":"10.1371/journal.pgen.1008923","ISSN":"1553-7404","author":[{"dropping-particle":"","family":"Reyes","given":"Aurelio","non-dropping-particle":"","parse-names":false,"suffix":""},{"dropping-particle":"","family":"Favia","given":"Paola","non-dropping-particle":"","parse-names":false,"suffix":""},{"dropping-particle":"","family":"Vidoni","given":"Sara","non-dropping-particle":"","parse-names":false,"suffix":""},{"dropping-particle":"","family":"Petruzzella","given":"Vittoria","non-dropping-particle":"","parse-names":false,"suffix":""},{"dropping-particle":"","family":"Zeviani","given":"Massimo","non-dropping-particle":"","parse-names":false,"suffix":""}],"container-title":"PLOS Genetics","editor":[{"dropping-particle":"","family":"Filipovska","given":"Aleksandra","non-dropping-particle":"","parse-names":false,"suffix":""}],"id":"ITEM-2","issue":"7","issued":{"date-parts":[["2020","7","31"]]},"page":"e1008923","title":"RCC1L (WBSCR16) isoforms coordinate mitochondrial ribosome assembly through their interaction with GTPases","type":"article-journal","volume":"16"},"uris":["http://www.mendeley.com/documents/?uuid=429858cc-8986-40b1-b986-310c09b10d00"]},{"id":"ITEM-3","itemData":{"DOI":"10.1186/s13578-021-00707-0","ISSN":"2045-3701","PMID":"34789336","abstract":"BACKGROUND NME6 is a member of the nucleoside diphosphate kinase (NDPK/NME/Nm23) family which has key roles in nucleotide homeostasis, signal transduction, membrane remodeling and metastasis suppression. The well-studied NME1-NME4 proteins are hexameric and catalyze, via a phospho-histidine intermediate, the transfer of the terminal phosphate from (d)NTPs to (d)NDPs (NDP kinase) or proteins (protein histidine kinase). For the NME6, a gene/protein that emerged early in eukaryotic evolution, only scarce and partially inconsistent data are available. Here we aim to clarify and extend our knowledge on the human NME6. RESULTS We show that NME6 is mostly expressed as a 186 amino acid protein, but that a second albeit much less abundant isoform exists. The recombinant NME6 remains monomeric, and does not assemble into homo-oligomers or hetero-oligomers with NME1-NME4. Consequently, NME6 is unable to catalyze phosphotransfer: it does not generate the phospho-histidine intermediate, and no NDPK activity can be detected. In cells, we could resolve and extend existing contradictory reports by localizing NME6 within mitochondria, largely associated with the mitochondrial inner membrane and matrix space. Overexpressing NME6 reduces ADP-stimulated mitochondrial respiration and complex III abundance, thus linking NME6 to dysfunctional oxidative phosphorylation. However, it did not alter mitochondrial membrane potential, mass, or network characteristics. Our screen for NME6 protein partners revealed its association with NME4 and OPA1, but a direct interaction was observed only with RCC1L, a protein involved in mitochondrial ribosome assembly and mitochondrial translation, and identified as essential for oxidative phosphorylation. CONCLUSIONS NME6, RCC1L and mitoribosomes localize together at the inner membrane/matrix space where NME6, in concert with RCC1L, may be involved in regulation of the mitochondrial translation of essential oxidative phosphorylation subunits. Our findings suggest new functions for NME6, independent of the classical phosphotransfer activity associated with NME proteins.","author":[{"dropping-particle":"","family":"Proust","given":"Bastien","non-dropping-particle":"","parse-names":false,"suffix":""},{"dropping-particle":"","family":"Radić","given":"Martina","non-dropping-particle":"","parse-names":false,"suffix":""},{"dropping-particle":"","family":"Vidaček","given":"Nikolina Škrobot","non-dropping-particle":"","parse-names":false,"suffix":""},{"dropping-particle":"","family":"Cottet","given":"Cécile","non-dropping-particle":"","parse-names":false,"suffix":""},{"dropping-particle":"","family":"Attia","given":"Stéphane","non-dropping-particle":"","parse-names":false,"suffix":""},{"dropping-particle":"","family":"Lamarche","given":"Frédéric","non-dropping-particle":"","parse-names":false,"suffix":""},{"dropping-particle":"","family":"Ačkar","given":"Lucija","non-dropping-particle":"","parse-names":false,"suffix":""},{"dropping-particle":"","family":"Mikulčić","given":"Vlatka Godinić","non-dropping-particle":"","parse-names":false,"suffix":""},{"dropping-particle":"","family":"Tokarska-Schlattner","given":"Malgorzata","non-dropping-particle":"","parse-names":false,"suffix":""},{"dropping-particle":"","family":"Ćetković","given":"Helena","non-dropping-particle":"","parse-names":false,"suffix":""},{"dropping-particle":"","family":"Schlattner","given":"Uwe","non-dropping-particle":"","parse-names":false,"suffix":""},{"dropping-particle":"","family":"Bosnar","given":"Maja Herak","non-dropping-particle":"","parse-names":false,"suffix":""}],"container-title":"Cell &amp; Bioscience","id":"ITEM-3","issue":"1","issued":{"date-parts":[["2021","12","17"]]},"page":"195","publisher":"BioMed Central Ltd","title":"NME6 is a phosphotransfer-inactive, monomeric NME/NDPK family member and functions in complexes at the interface of mitochondrial inner membrane and matrix","type":"article-journal","volume":"11"},"uris":["http://www.mendeley.com/documents/?uuid=34765eca-a7db-33c5-98be-33ec310f31f6"]}],"mendeley":{"formattedCitation":"[81,117,128]","plainTextFormattedCitation":"[81,117,128]","previouslyFormattedCitation":"[81,117,128]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[81,117,128]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At the level of the organism, the loss of NME6 expression </w:t>
      </w:r>
      <w:r w:rsidRPr="003B2CF6">
        <w:rPr>
          <w:rFonts w:ascii="Times New Roman" w:hAnsi="Times New Roman" w:cs="Times New Roman"/>
          <w:sz w:val="24"/>
          <w:szCs w:val="24"/>
        </w:rPr>
        <w:fldChar w:fldCharType="begin" w:fldLock="1"/>
      </w:r>
      <w:r w:rsidR="002F3889">
        <w:rPr>
          <w:rFonts w:ascii="Times New Roman" w:hAnsi="Times New Roman" w:cs="Times New Roman"/>
          <w:sz w:val="24"/>
          <w:szCs w:val="24"/>
        </w:rPr>
        <w:instrText>ADDIN CSL_CITATION {"citationItems":[{"id":"ITEM-1","itemData":{"URL":"https://www.mousephenotype.org/data/genes/MGI:1861676","accessed":{"date-parts":[["2021","12","5"]]},"author":[{"dropping-particle":"","family":"International Mouse Phenotyping Consortium","given":"","non-dropping-particle":"","parse-names":false,"suffix":""}],"id":"ITEM-1","issued":{"date-parts":[["0"]]},"title":"(IMPC)_NME6","type":"webpage"},"uris":["http://www.mendeley.com/documents/?uuid=d6c65c2b-8799-4871-8c4e-90abf9bb6f4c"]}],"mendeley":{"formattedCitation":"[138]","plainTextFormattedCitation":"[138]","previouslyFormattedCitation":"[138]"},"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[138]</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or homozygous mutation of RCC1L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{"citationItems":[{"id":"ITEM-1","itemData":{"DOI":"10.1016/j.celrep.2017.06.090","ISSN":"22111247","abstract":"Regulated inter-mitochondrial fusion/fission is essential for maintaining optimal mitochondrial respiration and control of apoptosis and autophagy. In mammals, mitochondrial fusion is controlled by outer membrane GTPases MFN1 and MFN2 and by inner membrane (IM) GTPase OPA1. Disordered mitochondrial fusion/fission contributes to various pathologies, and MFN2 or OPA1 mutations underlie neurodegenerative diseases. Here, we show that the WBSCR16 protein is primarily associated with the outer face of the inner mitochondrial membrane and is important for mitochondrial fusion. We provide evidence of a WBSCR16/OPA1 physical interaction in the intact cell and of a WBSCR16 function as an OPA1-specific guanine nucleotide exchange factor (GEF). Homozygosity for a Wbscr16 mutation causes early embryonic lethality, whereas neurons of mice heterozygous for the mutation have mitochondria with reduced membrane potential and increased susceptibility to fragmentation upon exposure to stress, suggesting roles for WBSCR16 deficits in neuronal pathologies.","author":[{"dropping-particle":"","family":"Huang","given":"Guorui","non-dropping-particle":"","parse-names":false,"suffix":""},{"dropping-particle":"","family":"Massoudi","given":"Dawiyat","non-dropping-particle":"","parse-names":false,"suffix":""},{"dropping-particle":"","family":"Muir","given":"Alison M.","non-dropping-particle":"","parse-names":false,"suffix":""},{"dropping-particle":"","family":"Joshi","given":"Dinesh C.","non-dropping-particle":"","parse-names":false,"suffix":""},{"dropping-particle":"","family":"Zhang","given":"Chuan-Li","non-dropping-particle":"","parse-names":false,"suffix":""},{"dropping-particle":"","family":"Chiu","given":"Shing Yan","non-dropping-particle":"","parse-names":false,"suffix":""},{"dropping-particle":"","family":"Greenspan","given":"Daniel S.","non-dropping-particle":"","parse-names":false,"suffix":""}],"container-title":"Cell Reports","id":"ITEM-1","issue":"4","issued":{"date-parts":[["2017","7"]]},"page":"923-934","title":"WBSCR16 Is a Guanine Nucleotide Exchange Factor Important for Mitochondrial Fusion","type":"article-journal","volume":"20"},"uris":["http://www.mendeley.com/documents/?uuid=008887fd-5780-44fa-93b6-18ff9296316d"]}],"mendeley":{"formattedCitation":"[127]","plainTextFormattedCitation":"[127]","previouslyFormattedCitation":"[127]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[127]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both lead to early embryonic lethality in mice. At the cellular level, RCC1L KO increases apoptosis in HeLa cells </w:t>
      </w:r>
      <w:r w:rsidRPr="003B2CF6">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{"citationItems":[{"id":"ITEM-1","itemData":{"DOI":"10.1016/j.celrep.2017.06.090","ISSN":"22111247","abstract":"Regulated inter-mitochondrial fusion/fission is essential for maintaining optimal mitochondrial respiration and control of apoptosis and autophagy. In mammals, mitochondrial fusion is controlled by outer membrane GTPases MFN1 and MFN2 and by inner membrane (IM) GTPase OPA1. Disordered mitochondrial fusion/fission contributes to various pathologies, and MFN2 or OPA1 mutations underlie neurodegenerative diseases. Here, we show that the WBSCR16 protein is primarily associated with the outer face of the inner mitochondrial membrane and is important for mitochondrial fusion. We provide evidence of a WBSCR16/OPA1 physical interaction in the intact cell and of a WBSCR16 function as an OPA1-specific guanine nucleotide exchange factor (GEF). Homozygosity for a Wbscr16 mutation causes early embryonic lethality, whereas neurons of mice heterozygous for the mutation have mitochondria with reduced membrane potential and increased susceptibility to fragmentation upon exposure to stress, suggesting roles for WBSCR16 deficits in neuronal pathologies.","author":[{"dropping-particle":"","family":"Huang","given":"Guorui","non-dropping-particle":"","parse-names":false,"suffix":""},{"dropping-particle":"","family":"Massoudi","given":"Dawiyat","non-dropping-particle":"","parse-names":false,"suffix":""},{"dropping-particle":"","family":"Muir","given":"Alison M.","non-dropping-particle":"","parse-names":false,"suffix":""},{"dropping-particle":"","family":"Joshi","given":"Dinesh C.","non-dropping-particle":"","parse-names":false,"suffix":""},{"dropping-particle":"","family":"Zhang","given":"Chuan-Li","non-dropping-particle":"","parse-names":false,"suffix":""},{"dropping-particle":"","family":"Chiu","given":"Shing Yan","non-dropping-particle":"","parse-names":false,"suffix":""},{"dropping-particle":"","family":"Greenspan","given":"Daniel S.","non-dropping-particle":"","parse-names":false,"suffix":""}],"container-title":"Cell Reports","id":"ITEM-1","issue":"4","issued":{"date-parts":[["2017","7"]]},"page":"923-934","title":"WBSCR16 Is a Guanine Nucleotide Exchange Factor Important for Mitochondrial Fusion","type":"article-journal","volume":"20"},"uris":["http://www.mendeley.com/documents/?uuid=008887fd-5780-44fa-93b6-18ff9296316d"]}],"mendeley":{"formattedCitation":"[127]","plainTextFormattedCitation":"[127]","previouslyFormattedCitation":"[127]"},"properties":{"noteIndex":0},"schema":"https://github.com/citation-style-language/schema/raw/master/csl-citation.json"}</w:instrText>
      </w:r>
      <w:r w:rsidRPr="003B2CF6">
        <w:rPr>
          <w:rFonts w:ascii="Times New Roman" w:hAnsi="Times New Roman" w:cs="Times New Roman"/>
          <w:sz w:val="24"/>
          <w:szCs w:val="24"/>
        </w:rPr>
        <w:fldChar w:fldCharType="separate"/>
      </w:r>
      <w:r w:rsidRPr="003B2CF6">
        <w:rPr>
          <w:rFonts w:ascii="Times New Roman" w:hAnsi="Times New Roman" w:cs="Times New Roman"/>
          <w:noProof/>
          <w:sz w:val="24"/>
          <w:szCs w:val="24"/>
        </w:rPr>
        <w:t>[127]</w:t>
      </w:r>
      <w:r w:rsidRPr="003B2CF6">
        <w:rPr>
          <w:rFonts w:ascii="Times New Roman" w:hAnsi="Times New Roman" w:cs="Times New Roman"/>
          <w:sz w:val="24"/>
          <w:szCs w:val="24"/>
        </w:rPr>
        <w:fldChar w:fldCharType="end"/>
      </w:r>
      <w:r w:rsidRPr="003B2CF6">
        <w:rPr>
          <w:rFonts w:ascii="Times New Roman" w:hAnsi="Times New Roman" w:cs="Times New Roman"/>
          <w:sz w:val="24"/>
          <w:szCs w:val="24"/>
        </w:rPr>
        <w:t xml:space="preserve">, while we were unable to produce homozygous NME6 KO clones in MDA-MB-231T cells, probably due to cell lethality of the later condition. We propose a joint role of NME6 </w:t>
      </w:r>
      <w:r w:rsidRPr="003B2CF6">
        <w:rPr>
          <w:rFonts w:ascii="Times New Roman" w:hAnsi="Times New Roman" w:cs="Times New Roman"/>
          <w:sz w:val="24"/>
          <w:szCs w:val="24"/>
        </w:rPr>
        <w:lastRenderedPageBreak/>
        <w:t>with RCC1L within the mitochondrial matrix, regulating the mitochondrial translation and consequently the mitochondrial respiration. NME6 could play a role in the maturation of mtRNA, either mRNA, tRNA or rRNA, by influencing their pseudouridylation status via the NME6 interaction with RCC1L. Moreover, NME6 could direct the biogenesis of mitoribosomes through its interaction with RCC1L, and/or help the mitoribosome assembly. The exact roles of NME6 are only emerging and remain unclear, but the extensive description of the protein we produced helped to drastically narrow down the possible pathway(s) in which NME6 is involved.</w:t>
      </w:r>
    </w:p>
    <w:p w14:paraId="2ABAC0D4" w14:textId="77777777" w:rsidR="003B2CF6" w:rsidRPr="003B2CF6" w:rsidRDefault="003B2CF6" w:rsidP="003B2CF6">
      <w:pPr>
        <w:rPr>
          <w:rFonts w:ascii="Times New Roman" w:hAnsi="Times New Roman" w:cs="Times New Roman"/>
          <w:sz w:val="24"/>
          <w:szCs w:val="24"/>
        </w:rPr>
      </w:pPr>
    </w:p>
    <w:p w14:paraId="7BB201DE" w14:textId="77777777" w:rsidR="001E1872" w:rsidRDefault="001E1872">
      <w:pPr>
        <w:rPr>
          <w:rFonts w:ascii="Times New Roman" w:eastAsia="Calibri" w:hAnsi="Times New Roman" w:cs="Times New Roman"/>
          <w:b/>
          <w:sz w:val="32"/>
          <w:szCs w:val="32"/>
          <w:u w:val="single"/>
        </w:rPr>
      </w:pPr>
      <w:r>
        <w:rPr>
          <w:rFonts w:cs="Times New Roman"/>
          <w:szCs w:val="32"/>
        </w:rPr>
        <w:br w:type="page"/>
      </w:r>
    </w:p>
    <w:p w14:paraId="09B18FCD" w14:textId="4D06A91F" w:rsidR="001E1872" w:rsidRDefault="00314B90" w:rsidP="004927BB">
      <w:pPr>
        <w:pStyle w:val="Heading1"/>
        <w:spacing w:line="360" w:lineRule="auto"/>
        <w:rPr>
          <w:rFonts w:cs="Times New Roman"/>
          <w:szCs w:val="32"/>
        </w:rPr>
      </w:pPr>
      <w:bookmarkStart w:id="279" w:name="_Toc117153906"/>
      <w:r w:rsidRPr="005953EB">
        <w:rPr>
          <w:rFonts w:cs="Times New Roman"/>
          <w:szCs w:val="32"/>
        </w:rPr>
        <w:lastRenderedPageBreak/>
        <w:t>CONCLUSION</w:t>
      </w:r>
      <w:bookmarkEnd w:id="279"/>
    </w:p>
    <w:p w14:paraId="4A4A8BDF" w14:textId="77777777" w:rsidR="00D84287" w:rsidRPr="00D84287" w:rsidRDefault="00D84287" w:rsidP="00D84287">
      <w:pPr>
        <w:spacing w:line="360" w:lineRule="auto"/>
        <w:jc w:val="both"/>
        <w:rPr>
          <w:rFonts w:ascii="Times New Roman" w:hAnsi="Times New Roman" w:cs="Times New Roman"/>
          <w:sz w:val="24"/>
          <w:szCs w:val="24"/>
        </w:rPr>
      </w:pPr>
      <w:r w:rsidRPr="00D84287">
        <w:rPr>
          <w:rFonts w:ascii="Times New Roman" w:hAnsi="Times New Roman" w:cs="Times New Roman"/>
          <w:sz w:val="24"/>
          <w:szCs w:val="24"/>
        </w:rPr>
        <w:t xml:space="preserve">To conclude, we produced an extensive description of the human NME6 protein. We argued in favor of the ubiquitous expression of NME6 in human cell lines. We demonstrated the expression of two NME6 isoforms in the cell, even though the shorter 186 amino acid isoform was dominantly expressed at the protein level. We confirmed that both endogenous and exogenous NME6 are localizing in the mitochondria and refined the localization to the matrix compartment, partially interacting with the mitochondrial inner membrane. We described the enzymatic properties of NME6 and showed a lack of NDPK activity associated with the inability of the protein to oligomerize with itself or with Group I NME proteins. We further revealed the NME6 inactive catalytic site, supported by the absence of a high-energy histidine-phosphorylated NME6 in the cellular environment, thus precluding enzymatic activities such as NDPK and protein histidine kinase activities. We described an interaction of NME6 with RCC1L, a mitochondrial matrix protein affecting mitochondrial translation. Apoptosis and cell cycle distribution were not disturbed by changes in NME6 expression levels. However, the mitochondrial respiration was largely downregulated upon overexpression of NME6, concomitant with a global downregulation of respiratory complexes at the protein level. Therefore, we suggest a new role of NME6 independent of its phosphotransfer-activity, and hypothesize a synergistic role of NME6 and RCC1L within the mitochondrial matrix, involved along the mitochondrial translation process, thus affecting mitochondrial respiration. </w:t>
      </w:r>
    </w:p>
    <w:p w14:paraId="1392E9A6" w14:textId="77777777" w:rsidR="00D84287" w:rsidRPr="00D84287" w:rsidRDefault="00D84287" w:rsidP="00D84287">
      <w:pPr>
        <w:rPr>
          <w:rFonts w:ascii="Times New Roman" w:hAnsi="Times New Roman" w:cs="Times New Roman"/>
          <w:sz w:val="24"/>
          <w:szCs w:val="24"/>
        </w:rPr>
      </w:pPr>
    </w:p>
    <w:p w14:paraId="74D0612C" w14:textId="77777777" w:rsidR="001E1872" w:rsidRDefault="001E1872">
      <w:pPr>
        <w:rPr>
          <w:rFonts w:ascii="Times New Roman" w:eastAsia="Calibri" w:hAnsi="Times New Roman" w:cs="Times New Roman"/>
          <w:b/>
          <w:sz w:val="32"/>
          <w:szCs w:val="32"/>
          <w:u w:val="single"/>
        </w:rPr>
      </w:pPr>
      <w:r>
        <w:rPr>
          <w:rFonts w:cs="Times New Roman"/>
          <w:szCs w:val="32"/>
        </w:rPr>
        <w:br w:type="page"/>
      </w:r>
    </w:p>
    <w:p w14:paraId="55465DEC" w14:textId="482C1874" w:rsidR="000B3AF7" w:rsidRDefault="00314B90" w:rsidP="004927BB">
      <w:pPr>
        <w:pStyle w:val="Heading1"/>
        <w:spacing w:line="360" w:lineRule="auto"/>
        <w:rPr>
          <w:rFonts w:cs="Times New Roman"/>
          <w:szCs w:val="32"/>
        </w:rPr>
      </w:pPr>
      <w:bookmarkStart w:id="280" w:name="_Toc117153907"/>
      <w:r w:rsidRPr="005953EB">
        <w:rPr>
          <w:rFonts w:cs="Times New Roman"/>
          <w:szCs w:val="32"/>
        </w:rPr>
        <w:lastRenderedPageBreak/>
        <w:t>ABBREVIATION</w:t>
      </w:r>
      <w:bookmarkEnd w:id="280"/>
    </w:p>
    <w:p w14:paraId="4D7B00CA" w14:textId="3D011526"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AA: Amino acid</w:t>
      </w:r>
    </w:p>
    <w:p w14:paraId="02DA1ACE" w14:textId="4D8BA278"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ACETYL COA: Acetyl-Coenzyme A</w:t>
      </w:r>
    </w:p>
    <w:p w14:paraId="04430703"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AK2: Adenylate kinase 2</w:t>
      </w:r>
    </w:p>
    <w:p w14:paraId="1A70BE15"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ANT: Adenine nucleotide translocator</w:t>
      </w:r>
    </w:p>
    <w:p w14:paraId="7238FABE"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APAF1: Apoptotic peptidase activating factor 1</w:t>
      </w:r>
    </w:p>
    <w:p w14:paraId="0EF834CA"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AU: Absorbance unit</w:t>
      </w:r>
    </w:p>
    <w:p w14:paraId="630DD883"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AWD: Abnormal wing discs</w:t>
      </w:r>
    </w:p>
    <w:p w14:paraId="2537FD19"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BAK: BCL2 homologous antagonist/killer</w:t>
      </w:r>
    </w:p>
    <w:p w14:paraId="6FF563F2" w14:textId="05F9CB4D" w:rsidR="00572606"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BAX: BCL2 associated X</w:t>
      </w:r>
    </w:p>
    <w:p w14:paraId="5AF8FCE6" w14:textId="0872167A" w:rsidR="00631FE8" w:rsidRDefault="00631FE8" w:rsidP="00572606">
      <w:pPr>
        <w:spacing w:line="360" w:lineRule="auto"/>
        <w:rPr>
          <w:rFonts w:ascii="Times New Roman" w:hAnsi="Times New Roman" w:cs="Times New Roman"/>
          <w:sz w:val="24"/>
          <w:szCs w:val="24"/>
        </w:rPr>
      </w:pPr>
      <w:r w:rsidRPr="00631FE8">
        <w:rPr>
          <w:rFonts w:ascii="Times New Roman" w:hAnsi="Times New Roman" w:cs="Times New Roman"/>
          <w:sz w:val="24"/>
          <w:szCs w:val="24"/>
        </w:rPr>
        <w:t>BCA:</w:t>
      </w:r>
      <w:r>
        <w:rPr>
          <w:rFonts w:ascii="Times New Roman" w:hAnsi="Times New Roman" w:cs="Times New Roman"/>
          <w:sz w:val="24"/>
          <w:szCs w:val="24"/>
        </w:rPr>
        <w:t xml:space="preserve"> </w:t>
      </w:r>
      <w:r w:rsidRPr="00631FE8">
        <w:rPr>
          <w:rFonts w:ascii="Times New Roman" w:hAnsi="Times New Roman" w:cs="Times New Roman"/>
          <w:sz w:val="24"/>
          <w:szCs w:val="24"/>
        </w:rPr>
        <w:t>Bicinchoninic acid</w:t>
      </w:r>
    </w:p>
    <w:p w14:paraId="1BD5069C" w14:textId="2665CC7C" w:rsidR="00631FE8" w:rsidRPr="00631FE8" w:rsidRDefault="00631FE8" w:rsidP="00572606">
      <w:pPr>
        <w:spacing w:line="360" w:lineRule="auto"/>
        <w:rPr>
          <w:rFonts w:ascii="Times New Roman" w:hAnsi="Times New Roman" w:cs="Times New Roman"/>
          <w:sz w:val="24"/>
          <w:szCs w:val="24"/>
        </w:rPr>
      </w:pPr>
      <w:r>
        <w:rPr>
          <w:rFonts w:ascii="Times New Roman" w:hAnsi="Times New Roman" w:cs="Times New Roman"/>
          <w:sz w:val="24"/>
          <w:szCs w:val="24"/>
        </w:rPr>
        <w:t>BSA: Bovine serum albumin</w:t>
      </w:r>
    </w:p>
    <w:p w14:paraId="34084023"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CJ: Cristae junction</w:t>
      </w:r>
    </w:p>
    <w:p w14:paraId="3B91570E" w14:textId="313BE220"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DRP1: Dynamin-related protein 1</w:t>
      </w:r>
    </w:p>
    <w:p w14:paraId="51C593D8"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ECS: Embryonic stem cell</w:t>
      </w:r>
    </w:p>
    <w:p w14:paraId="23C5A48E" w14:textId="77777777" w:rsidR="00572606" w:rsidRPr="00F9779A" w:rsidRDefault="00572606" w:rsidP="00572606">
      <w:pPr>
        <w:spacing w:line="360" w:lineRule="auto"/>
        <w:rPr>
          <w:rFonts w:ascii="Times New Roman" w:hAnsi="Times New Roman" w:cs="Times New Roman"/>
          <w:sz w:val="24"/>
          <w:szCs w:val="24"/>
          <w:lang w:val="fr-FR"/>
        </w:rPr>
      </w:pPr>
      <w:r w:rsidRPr="00F9779A">
        <w:rPr>
          <w:rFonts w:ascii="Times New Roman" w:hAnsi="Times New Roman" w:cs="Times New Roman"/>
          <w:sz w:val="24"/>
          <w:szCs w:val="24"/>
          <w:lang w:val="fr-FR"/>
        </w:rPr>
        <w:t>ER: Endoplasmic reticulum</w:t>
      </w:r>
    </w:p>
    <w:p w14:paraId="7046A251" w14:textId="77777777" w:rsidR="00572606" w:rsidRPr="00F9779A" w:rsidRDefault="00572606" w:rsidP="00572606">
      <w:pPr>
        <w:spacing w:line="360" w:lineRule="auto"/>
        <w:rPr>
          <w:rFonts w:ascii="Times New Roman" w:hAnsi="Times New Roman" w:cs="Times New Roman"/>
          <w:sz w:val="24"/>
          <w:szCs w:val="24"/>
          <w:lang w:val="fr-FR"/>
        </w:rPr>
      </w:pPr>
      <w:r w:rsidRPr="00F9779A">
        <w:rPr>
          <w:rFonts w:ascii="Times New Roman" w:hAnsi="Times New Roman" w:cs="Times New Roman"/>
          <w:sz w:val="24"/>
          <w:szCs w:val="24"/>
          <w:lang w:val="fr-FR"/>
        </w:rPr>
        <w:t>ETC: Electron transport chain</w:t>
      </w:r>
    </w:p>
    <w:p w14:paraId="60CDE93F"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GEF: Guanine exchange factor</w:t>
      </w:r>
    </w:p>
    <w:p w14:paraId="5679FE69" w14:textId="0EA76AAF"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 xml:space="preserve">HFIS1: Mitochondrial fission 1 </w:t>
      </w:r>
    </w:p>
    <w:p w14:paraId="2121EAE6"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HR: Heptad repeat</w:t>
      </w:r>
    </w:p>
    <w:p w14:paraId="2D3D2A7C"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IBM: Inner boundary membrane</w:t>
      </w:r>
    </w:p>
    <w:p w14:paraId="1E93A1FA"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IMAC: Immobilized metallic affinity chromatography</w:t>
      </w:r>
    </w:p>
    <w:p w14:paraId="20B9BFE0"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IMS: Intermembrane space</w:t>
      </w:r>
    </w:p>
    <w:p w14:paraId="1102B5DE"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iMTS: Internal mitochondrial targeting sequence</w:t>
      </w:r>
    </w:p>
    <w:p w14:paraId="3007AFAF"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lastRenderedPageBreak/>
        <w:t>KI: Knock-in</w:t>
      </w:r>
    </w:p>
    <w:p w14:paraId="31EBA298"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KO: Knockout</w:t>
      </w:r>
    </w:p>
    <w:p w14:paraId="37C968C7"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Kpn: Killer of prune</w:t>
      </w:r>
    </w:p>
    <w:p w14:paraId="44C55FAD"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LC: Liquid Chromatography</w:t>
      </w:r>
    </w:p>
    <w:p w14:paraId="62F45154"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MFN1: Mitofusin 1</w:t>
      </w:r>
    </w:p>
    <w:p w14:paraId="51E0E96B"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MFN2: Mitofusin 2</w:t>
      </w:r>
    </w:p>
    <w:p w14:paraId="3C6788E9"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MIM/IMM/IM: Mitochondrial inner membrane</w:t>
      </w:r>
    </w:p>
    <w:p w14:paraId="6AFC20B8"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MOM/OMM/OM: Mitochondrial outer membrane</w:t>
      </w:r>
    </w:p>
    <w:p w14:paraId="65801705"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MOMP: Mitochondrial outer membrane permeabilization</w:t>
      </w:r>
    </w:p>
    <w:p w14:paraId="7E001578"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 xml:space="preserve">MRM: Multiple reaction monitoring </w:t>
      </w:r>
    </w:p>
    <w:p w14:paraId="6444AA0E"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MS: Mass spectrometry</w:t>
      </w:r>
    </w:p>
    <w:p w14:paraId="393CD8E4"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mtCK: Mitochondrial creatine kinase</w:t>
      </w:r>
    </w:p>
    <w:p w14:paraId="6E597BB1"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mtDNA: Mitochondrial DNA</w:t>
      </w:r>
    </w:p>
    <w:p w14:paraId="79EB1F79"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MTS: Mitochondrial targeting sequence</w:t>
      </w:r>
    </w:p>
    <w:p w14:paraId="4C234DA2"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NDP: Nucleoside diphosphate</w:t>
      </w:r>
    </w:p>
    <w:p w14:paraId="01661041"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NDPK : Nucleoside diphosphate kinase</w:t>
      </w:r>
    </w:p>
    <w:p w14:paraId="438A3D45"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NM23: Non-metastatic clone 23</w:t>
      </w:r>
    </w:p>
    <w:p w14:paraId="295D47A0"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NME: Non-metastatic</w:t>
      </w:r>
    </w:p>
    <w:p w14:paraId="7A9195F8"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NTP: Nucleoside triphosphate</w:t>
      </w:r>
    </w:p>
    <w:p w14:paraId="3E334AEC"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OCR: Oxygen consumption rate</w:t>
      </w:r>
    </w:p>
    <w:p w14:paraId="50CE1514"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OMI: Serine protease HTRA2</w:t>
      </w:r>
    </w:p>
    <w:p w14:paraId="0D0B75D6"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OPA1: Optic atrophy 1</w:t>
      </w:r>
    </w:p>
    <w:p w14:paraId="0BB456DB" w14:textId="184E51D7" w:rsidR="00572606"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OXPHOS: Oxidative phosphorylation</w:t>
      </w:r>
    </w:p>
    <w:p w14:paraId="0FA65331" w14:textId="262C1E56" w:rsidR="00631FE8" w:rsidRPr="00F9779A" w:rsidRDefault="00631FE8" w:rsidP="00572606">
      <w:pPr>
        <w:spacing w:line="360" w:lineRule="auto"/>
        <w:rPr>
          <w:rFonts w:ascii="Times New Roman" w:hAnsi="Times New Roman" w:cs="Times New Roman"/>
          <w:sz w:val="24"/>
          <w:szCs w:val="24"/>
        </w:rPr>
      </w:pPr>
      <w:r>
        <w:rPr>
          <w:rFonts w:ascii="Times New Roman" w:hAnsi="Times New Roman" w:cs="Times New Roman"/>
          <w:sz w:val="24"/>
          <w:szCs w:val="24"/>
        </w:rPr>
        <w:t xml:space="preserve">PBS: </w:t>
      </w:r>
      <w:r>
        <w:rPr>
          <w:rFonts w:ascii="Times New Roman" w:eastAsia="Times New Roman" w:hAnsi="Times New Roman" w:cs="Times New Roman"/>
          <w:color w:val="000000"/>
          <w:sz w:val="24"/>
          <w:szCs w:val="24"/>
        </w:rPr>
        <w:t>Phosphate-buffered saline</w:t>
      </w:r>
    </w:p>
    <w:p w14:paraId="2074C74F" w14:textId="77777777" w:rsidR="00572606" w:rsidRPr="00BD0508" w:rsidRDefault="00572606" w:rsidP="00572606">
      <w:pPr>
        <w:spacing w:line="360" w:lineRule="auto"/>
        <w:rPr>
          <w:rFonts w:ascii="Times New Roman" w:hAnsi="Times New Roman" w:cs="Times New Roman"/>
          <w:sz w:val="24"/>
          <w:szCs w:val="24"/>
          <w:lang w:val="fr-FR"/>
        </w:rPr>
      </w:pPr>
      <w:r w:rsidRPr="00BD0508">
        <w:rPr>
          <w:rFonts w:ascii="Times New Roman" w:hAnsi="Times New Roman" w:cs="Times New Roman"/>
          <w:sz w:val="24"/>
          <w:szCs w:val="24"/>
          <w:lang w:val="fr-FR"/>
        </w:rPr>
        <w:lastRenderedPageBreak/>
        <w:t xml:space="preserve">PDH-E1 </w:t>
      </w:r>
      <w:r w:rsidRPr="00F9779A">
        <w:rPr>
          <w:rFonts w:ascii="Arial" w:hAnsi="Arial" w:cs="Arial"/>
          <w:sz w:val="24"/>
          <w:szCs w:val="24"/>
        </w:rPr>
        <w:t>α</w:t>
      </w:r>
      <w:r w:rsidRPr="00BD0508">
        <w:rPr>
          <w:rFonts w:ascii="Times New Roman" w:hAnsi="Times New Roman" w:cs="Times New Roman"/>
          <w:sz w:val="24"/>
          <w:szCs w:val="24"/>
          <w:lang w:val="fr-FR"/>
        </w:rPr>
        <w:t xml:space="preserve">: Pyruvate dehydrogenase E1 component subunit </w:t>
      </w:r>
      <w:r w:rsidRPr="00F9779A">
        <w:rPr>
          <w:rFonts w:ascii="Times New Roman" w:hAnsi="Times New Roman" w:cs="Times New Roman"/>
          <w:sz w:val="24"/>
          <w:szCs w:val="24"/>
        </w:rPr>
        <w:t>α</w:t>
      </w:r>
    </w:p>
    <w:p w14:paraId="3B0EDA92"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pHis: Phosphorylated histidine</w:t>
      </w:r>
    </w:p>
    <w:p w14:paraId="43E3E7B5" w14:textId="64A42C66" w:rsidR="00572606"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Pi: Inorganic phosphate</w:t>
      </w:r>
    </w:p>
    <w:p w14:paraId="09482AF6" w14:textId="6C858CE2" w:rsidR="00435BB6" w:rsidRPr="00F9779A" w:rsidRDefault="00435BB6" w:rsidP="00572606">
      <w:pPr>
        <w:spacing w:line="360" w:lineRule="auto"/>
        <w:rPr>
          <w:rFonts w:ascii="Times New Roman" w:hAnsi="Times New Roman" w:cs="Times New Roman"/>
          <w:sz w:val="24"/>
          <w:szCs w:val="24"/>
        </w:rPr>
      </w:pPr>
      <w:r>
        <w:rPr>
          <w:rFonts w:ascii="Times New Roman" w:hAnsi="Times New Roman" w:cs="Times New Roman"/>
          <w:sz w:val="24"/>
          <w:szCs w:val="24"/>
        </w:rPr>
        <w:t>RB: Running buffer</w:t>
      </w:r>
    </w:p>
    <w:p w14:paraId="193CEE56"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RCC1: Regulator of chromosome condensation 1</w:t>
      </w:r>
    </w:p>
    <w:p w14:paraId="51901C14"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RCC1L: RCC1-like G exchanging factor-like</w:t>
      </w:r>
    </w:p>
    <w:p w14:paraId="20920602"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RLD: RCC1-like domain</w:t>
      </w:r>
    </w:p>
    <w:p w14:paraId="1CFD2CEE"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 xml:space="preserve">SDS-PAGE: </w:t>
      </w:r>
      <w:bookmarkStart w:id="281" w:name="_Hlk107221585"/>
      <w:r w:rsidRPr="00F9779A">
        <w:rPr>
          <w:rFonts w:ascii="Times New Roman" w:hAnsi="Times New Roman" w:cs="Times New Roman"/>
          <w:sz w:val="24"/>
          <w:szCs w:val="24"/>
        </w:rPr>
        <w:t>Sodium dodecyl sulfate- Polyacrylamide gel electrophoresis</w:t>
      </w:r>
    </w:p>
    <w:bookmarkEnd w:id="281"/>
    <w:p w14:paraId="37B174C3" w14:textId="29CCDFAB" w:rsidR="00572606"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SMAC: Second mitochondria-derived activator of caspase</w:t>
      </w:r>
    </w:p>
    <w:p w14:paraId="33AD6FB3" w14:textId="3A70F3AC" w:rsidR="00435BB6" w:rsidRPr="00F9779A" w:rsidRDefault="00435BB6" w:rsidP="00572606">
      <w:pPr>
        <w:spacing w:line="360" w:lineRule="auto"/>
        <w:rPr>
          <w:rFonts w:ascii="Times New Roman" w:hAnsi="Times New Roman" w:cs="Times New Roman"/>
          <w:sz w:val="24"/>
          <w:szCs w:val="24"/>
        </w:rPr>
      </w:pPr>
      <w:r>
        <w:rPr>
          <w:rFonts w:ascii="Times New Roman" w:hAnsi="Times New Roman" w:cs="Times New Roman"/>
          <w:sz w:val="24"/>
          <w:szCs w:val="24"/>
        </w:rPr>
        <w:t>TB: Transfer buffer</w:t>
      </w:r>
    </w:p>
    <w:p w14:paraId="2DD92F90"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TCA: Tricarboxylic acid cycle</w:t>
      </w:r>
    </w:p>
    <w:p w14:paraId="00026F2C"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TIM: Translocase of the inner membrane</w:t>
      </w:r>
    </w:p>
    <w:p w14:paraId="786FA5E0"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TOM: Translocase of the outer membrane</w:t>
      </w:r>
    </w:p>
    <w:p w14:paraId="6E3B79BC"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VDAC: Voltage dependent anion channel</w:t>
      </w:r>
    </w:p>
    <w:p w14:paraId="7ABA168E"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WBS: Williams-Beuren syndrome</w:t>
      </w:r>
    </w:p>
    <w:p w14:paraId="50005021"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WBSCR16: Williams-Beuren syndrome chromosomal region 16</w:t>
      </w:r>
    </w:p>
    <w:p w14:paraId="370ED649"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WT: Wild type</w:t>
      </w:r>
    </w:p>
    <w:p w14:paraId="4F3F6F42" w14:textId="77777777" w:rsidR="00572606" w:rsidRPr="00F9779A" w:rsidRDefault="00572606" w:rsidP="00572606">
      <w:pPr>
        <w:spacing w:line="360" w:lineRule="auto"/>
        <w:rPr>
          <w:rFonts w:ascii="Times New Roman" w:hAnsi="Times New Roman" w:cs="Times New Roman"/>
          <w:sz w:val="24"/>
          <w:szCs w:val="24"/>
        </w:rPr>
      </w:pPr>
      <w:r w:rsidRPr="00F9779A">
        <w:rPr>
          <w:rFonts w:ascii="Times New Roman" w:hAnsi="Times New Roman" w:cs="Times New Roman"/>
          <w:sz w:val="24"/>
          <w:szCs w:val="24"/>
        </w:rPr>
        <w:t>XIAP: E3 ubiquitin-protein ligase</w:t>
      </w:r>
    </w:p>
    <w:p w14:paraId="0B7B084C" w14:textId="77777777" w:rsidR="00572606" w:rsidRPr="00572606" w:rsidRDefault="00572606" w:rsidP="00572606"/>
    <w:p w14:paraId="078E164E" w14:textId="77777777" w:rsidR="000B3AF7" w:rsidRPr="002E26D2" w:rsidRDefault="000B3AF7" w:rsidP="004927BB">
      <w:pPr>
        <w:spacing w:line="360" w:lineRule="auto"/>
        <w:jc w:val="both"/>
        <w:rPr>
          <w:rFonts w:ascii="Times New Roman" w:hAnsi="Times New Roman" w:cs="Times New Roman"/>
          <w:sz w:val="24"/>
          <w:szCs w:val="24"/>
        </w:rPr>
      </w:pPr>
    </w:p>
    <w:p w14:paraId="27F105FB" w14:textId="406A4CAD" w:rsidR="001E1872" w:rsidRDefault="001E1872">
      <w:pPr>
        <w:rPr>
          <w:rFonts w:ascii="Times New Roman" w:hAnsi="Times New Roman" w:cs="Times New Roman"/>
          <w:sz w:val="24"/>
          <w:szCs w:val="24"/>
        </w:rPr>
      </w:pPr>
      <w:r>
        <w:rPr>
          <w:rFonts w:ascii="Times New Roman" w:hAnsi="Times New Roman" w:cs="Times New Roman"/>
          <w:sz w:val="24"/>
          <w:szCs w:val="24"/>
        </w:rPr>
        <w:br w:type="page"/>
      </w:r>
    </w:p>
    <w:p w14:paraId="5FCDD322" w14:textId="1AC2EBDF" w:rsidR="00AC4DFA" w:rsidRPr="005953EB" w:rsidRDefault="00314B90" w:rsidP="004927BB">
      <w:pPr>
        <w:pStyle w:val="Heading1"/>
        <w:spacing w:line="360" w:lineRule="auto"/>
        <w:rPr>
          <w:rFonts w:cs="Times New Roman"/>
          <w:szCs w:val="32"/>
        </w:rPr>
      </w:pPr>
      <w:bookmarkStart w:id="282" w:name="_Toc117153908"/>
      <w:r w:rsidRPr="005953EB">
        <w:rPr>
          <w:rFonts w:cs="Times New Roman"/>
          <w:szCs w:val="32"/>
        </w:rPr>
        <w:lastRenderedPageBreak/>
        <w:t>LITERATURE</w:t>
      </w:r>
      <w:bookmarkEnd w:id="282"/>
    </w:p>
    <w:p w14:paraId="4ACA30ED" w14:textId="72390A17" w:rsidR="00317506" w:rsidRPr="00317506" w:rsidRDefault="00AC4DFA"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2E26D2">
        <w:rPr>
          <w:rFonts w:ascii="Times New Roman" w:hAnsi="Times New Roman" w:cs="Times New Roman"/>
          <w:sz w:val="24"/>
          <w:szCs w:val="24"/>
        </w:rPr>
        <w:fldChar w:fldCharType="begin" w:fldLock="1"/>
      </w:r>
      <w:r w:rsidRPr="002E26D2">
        <w:rPr>
          <w:rFonts w:ascii="Times New Roman" w:hAnsi="Times New Roman" w:cs="Times New Roman"/>
          <w:sz w:val="24"/>
          <w:szCs w:val="24"/>
        </w:rPr>
        <w:instrText xml:space="preserve">ADDIN Mendeley Bibliography CSL_BIBLIOGRAPHY </w:instrText>
      </w:r>
      <w:r w:rsidRPr="002E26D2">
        <w:rPr>
          <w:rFonts w:ascii="Times New Roman" w:hAnsi="Times New Roman" w:cs="Times New Roman"/>
          <w:sz w:val="24"/>
          <w:szCs w:val="24"/>
        </w:rPr>
        <w:fldChar w:fldCharType="separate"/>
      </w:r>
      <w:r w:rsidR="00317506" w:rsidRPr="00317506">
        <w:rPr>
          <w:rFonts w:ascii="Times New Roman" w:hAnsi="Times New Roman" w:cs="Times New Roman"/>
          <w:noProof/>
          <w:sz w:val="24"/>
          <w:szCs w:val="24"/>
        </w:rPr>
        <w:t>[1]</w:t>
      </w:r>
      <w:r w:rsidR="00317506" w:rsidRPr="00317506">
        <w:rPr>
          <w:rFonts w:ascii="Times New Roman" w:hAnsi="Times New Roman" w:cs="Times New Roman"/>
          <w:noProof/>
          <w:sz w:val="24"/>
          <w:szCs w:val="24"/>
        </w:rPr>
        <w:tab/>
        <w:t>Desvignes T, Pontarotti P, Fauvel C, Bobe J (2009) Nme protein family evolutionary history, a vertebrate perspective. BMC Evol. Biol. 9: 256.</w:t>
      </w:r>
    </w:p>
    <w:p w14:paraId="49C3D5CE" w14:textId="5B8CB43B"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w:t>
      </w:r>
      <w:r w:rsidRPr="00317506">
        <w:rPr>
          <w:rFonts w:ascii="Times New Roman" w:hAnsi="Times New Roman" w:cs="Times New Roman"/>
          <w:noProof/>
          <w:sz w:val="24"/>
          <w:szCs w:val="24"/>
        </w:rPr>
        <w:tab/>
        <w:t xml:space="preserve">Berg P, Joklik WK (1953) Transphosphorylation between </w:t>
      </w:r>
      <w:r w:rsidR="006906AA">
        <w:rPr>
          <w:rFonts w:ascii="Times New Roman" w:hAnsi="Times New Roman" w:cs="Times New Roman"/>
          <w:noProof/>
          <w:sz w:val="24"/>
          <w:szCs w:val="24"/>
        </w:rPr>
        <w:t>n</w:t>
      </w:r>
      <w:r w:rsidRPr="00317506">
        <w:rPr>
          <w:rFonts w:ascii="Times New Roman" w:hAnsi="Times New Roman" w:cs="Times New Roman"/>
          <w:noProof/>
          <w:sz w:val="24"/>
          <w:szCs w:val="24"/>
        </w:rPr>
        <w:t xml:space="preserve">ucleoside </w:t>
      </w:r>
      <w:r w:rsidR="006906AA">
        <w:rPr>
          <w:rFonts w:ascii="Times New Roman" w:hAnsi="Times New Roman" w:cs="Times New Roman"/>
          <w:noProof/>
          <w:sz w:val="24"/>
          <w:szCs w:val="24"/>
        </w:rPr>
        <w:t>p</w:t>
      </w:r>
      <w:r w:rsidRPr="00317506">
        <w:rPr>
          <w:rFonts w:ascii="Times New Roman" w:hAnsi="Times New Roman" w:cs="Times New Roman"/>
          <w:noProof/>
          <w:sz w:val="24"/>
          <w:szCs w:val="24"/>
        </w:rPr>
        <w:t>olyphosphates. Nature. 172: 1008–1009.</w:t>
      </w:r>
    </w:p>
    <w:p w14:paraId="78EE1447"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w:t>
      </w:r>
      <w:r w:rsidRPr="00317506">
        <w:rPr>
          <w:rFonts w:ascii="Times New Roman" w:hAnsi="Times New Roman" w:cs="Times New Roman"/>
          <w:noProof/>
          <w:sz w:val="24"/>
          <w:szCs w:val="24"/>
        </w:rPr>
        <w:tab/>
        <w:t>Krebs HA, Hems R (1953) Some reactions of adenosine and inosine phosphates in animal tissues. Biochim. Biophys. Acta. 12: 172–180.</w:t>
      </w:r>
    </w:p>
    <w:p w14:paraId="608CDCD4"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w:t>
      </w:r>
      <w:r w:rsidRPr="00317506">
        <w:rPr>
          <w:rFonts w:ascii="Times New Roman" w:hAnsi="Times New Roman" w:cs="Times New Roman"/>
          <w:noProof/>
          <w:sz w:val="24"/>
          <w:szCs w:val="24"/>
        </w:rPr>
        <w:tab/>
        <w:t xml:space="preserve">Dearolf CR, Hersperger E, Shearn A (1988) Developmental consequences of awdb3, a cell-autonomous lethal mutation of </w:t>
      </w:r>
      <w:r w:rsidRPr="006906AA">
        <w:rPr>
          <w:rFonts w:ascii="Times New Roman" w:hAnsi="Times New Roman" w:cs="Times New Roman"/>
          <w:i/>
          <w:noProof/>
          <w:sz w:val="24"/>
          <w:szCs w:val="24"/>
        </w:rPr>
        <w:t>Drosophila</w:t>
      </w:r>
      <w:r w:rsidRPr="00317506">
        <w:rPr>
          <w:rFonts w:ascii="Times New Roman" w:hAnsi="Times New Roman" w:cs="Times New Roman"/>
          <w:noProof/>
          <w:sz w:val="24"/>
          <w:szCs w:val="24"/>
        </w:rPr>
        <w:t xml:space="preserve"> induced by hybrid dysgenesis. Dev. Biol. 129: 159–168.</w:t>
      </w:r>
    </w:p>
    <w:p w14:paraId="1700A6BB"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w:t>
      </w:r>
      <w:r w:rsidRPr="00317506">
        <w:rPr>
          <w:rFonts w:ascii="Times New Roman" w:hAnsi="Times New Roman" w:cs="Times New Roman"/>
          <w:noProof/>
          <w:sz w:val="24"/>
          <w:szCs w:val="24"/>
        </w:rPr>
        <w:tab/>
        <w:t>Lacombe M-L, Tokarska-Schlattner M, Boissan M, Schlattner U (2018) The mitochondrial nucleoside diphosphate kinase (NDPK-D/NME4), a moonlighting protein for cell homeostasis. Lab. Investig. 98: 582–588.</w:t>
      </w:r>
    </w:p>
    <w:p w14:paraId="0F091520" w14:textId="34753DE6"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w:t>
      </w:r>
      <w:r w:rsidRPr="00317506">
        <w:rPr>
          <w:rFonts w:ascii="Times New Roman" w:hAnsi="Times New Roman" w:cs="Times New Roman"/>
          <w:noProof/>
          <w:sz w:val="24"/>
          <w:szCs w:val="24"/>
        </w:rPr>
        <w:tab/>
        <w:t xml:space="preserve">Yoon J-H, Singh P, Lee D-H, Qiu J, Cai S, O’Connor TR, Chen Y, Shen B, Pfeifer GP (2005) Characterization of the 3‘ → 5‘ </w:t>
      </w:r>
      <w:r w:rsidR="006906AA">
        <w:rPr>
          <w:rFonts w:ascii="Times New Roman" w:hAnsi="Times New Roman" w:cs="Times New Roman"/>
          <w:noProof/>
          <w:sz w:val="24"/>
          <w:szCs w:val="24"/>
        </w:rPr>
        <w:t>e</w:t>
      </w:r>
      <w:r w:rsidRPr="00317506">
        <w:rPr>
          <w:rFonts w:ascii="Times New Roman" w:hAnsi="Times New Roman" w:cs="Times New Roman"/>
          <w:noProof/>
          <w:sz w:val="24"/>
          <w:szCs w:val="24"/>
        </w:rPr>
        <w:t xml:space="preserve">xonuclease </w:t>
      </w:r>
      <w:r w:rsidR="006906AA">
        <w:rPr>
          <w:rFonts w:ascii="Times New Roman" w:hAnsi="Times New Roman" w:cs="Times New Roman"/>
          <w:noProof/>
          <w:sz w:val="24"/>
          <w:szCs w:val="24"/>
        </w:rPr>
        <w:t>a</w:t>
      </w:r>
      <w:r w:rsidRPr="00317506">
        <w:rPr>
          <w:rFonts w:ascii="Times New Roman" w:hAnsi="Times New Roman" w:cs="Times New Roman"/>
          <w:noProof/>
          <w:sz w:val="24"/>
          <w:szCs w:val="24"/>
        </w:rPr>
        <w:t xml:space="preserve">ctivity </w:t>
      </w:r>
      <w:r w:rsidR="006906AA">
        <w:rPr>
          <w:rFonts w:ascii="Times New Roman" w:hAnsi="Times New Roman" w:cs="Times New Roman"/>
          <w:noProof/>
          <w:sz w:val="24"/>
          <w:szCs w:val="24"/>
        </w:rPr>
        <w:t>f</w:t>
      </w:r>
      <w:r w:rsidRPr="00317506">
        <w:rPr>
          <w:rFonts w:ascii="Times New Roman" w:hAnsi="Times New Roman" w:cs="Times New Roman"/>
          <w:noProof/>
          <w:sz w:val="24"/>
          <w:szCs w:val="24"/>
        </w:rPr>
        <w:t xml:space="preserve">ound in </w:t>
      </w:r>
      <w:r w:rsidR="006906AA">
        <w:rPr>
          <w:rFonts w:ascii="Times New Roman" w:hAnsi="Times New Roman" w:cs="Times New Roman"/>
          <w:noProof/>
          <w:sz w:val="24"/>
          <w:szCs w:val="24"/>
        </w:rPr>
        <w:t>h</w:t>
      </w:r>
      <w:r w:rsidRPr="00317506">
        <w:rPr>
          <w:rFonts w:ascii="Times New Roman" w:hAnsi="Times New Roman" w:cs="Times New Roman"/>
          <w:noProof/>
          <w:sz w:val="24"/>
          <w:szCs w:val="24"/>
        </w:rPr>
        <w:t xml:space="preserve">uman </w:t>
      </w:r>
      <w:r w:rsidR="006906AA">
        <w:rPr>
          <w:rFonts w:ascii="Times New Roman" w:hAnsi="Times New Roman" w:cs="Times New Roman"/>
          <w:noProof/>
          <w:sz w:val="24"/>
          <w:szCs w:val="24"/>
        </w:rPr>
        <w:t>n</w:t>
      </w:r>
      <w:r w:rsidRPr="00317506">
        <w:rPr>
          <w:rFonts w:ascii="Times New Roman" w:hAnsi="Times New Roman" w:cs="Times New Roman"/>
          <w:noProof/>
          <w:sz w:val="24"/>
          <w:szCs w:val="24"/>
        </w:rPr>
        <w:t xml:space="preserve">ucleoside </w:t>
      </w:r>
      <w:r w:rsidR="006906AA">
        <w:rPr>
          <w:rFonts w:ascii="Times New Roman" w:hAnsi="Times New Roman" w:cs="Times New Roman"/>
          <w:noProof/>
          <w:sz w:val="24"/>
          <w:szCs w:val="24"/>
        </w:rPr>
        <w:t>d</w:t>
      </w:r>
      <w:r w:rsidRPr="00317506">
        <w:rPr>
          <w:rFonts w:ascii="Times New Roman" w:hAnsi="Times New Roman" w:cs="Times New Roman"/>
          <w:noProof/>
          <w:sz w:val="24"/>
          <w:szCs w:val="24"/>
        </w:rPr>
        <w:t xml:space="preserve">iphosphate </w:t>
      </w:r>
      <w:r w:rsidR="006906AA">
        <w:rPr>
          <w:rFonts w:ascii="Times New Roman" w:hAnsi="Times New Roman" w:cs="Times New Roman"/>
          <w:noProof/>
          <w:sz w:val="24"/>
          <w:szCs w:val="24"/>
        </w:rPr>
        <w:t>k</w:t>
      </w:r>
      <w:r w:rsidRPr="00317506">
        <w:rPr>
          <w:rFonts w:ascii="Times New Roman" w:hAnsi="Times New Roman" w:cs="Times New Roman"/>
          <w:noProof/>
          <w:sz w:val="24"/>
          <w:szCs w:val="24"/>
        </w:rPr>
        <w:t xml:space="preserve">inase 1 (NDK1) and </w:t>
      </w:r>
      <w:r w:rsidR="006906AA">
        <w:rPr>
          <w:rFonts w:ascii="Times New Roman" w:hAnsi="Times New Roman" w:cs="Times New Roman"/>
          <w:noProof/>
          <w:sz w:val="24"/>
          <w:szCs w:val="24"/>
        </w:rPr>
        <w:t>s</w:t>
      </w:r>
      <w:r w:rsidRPr="00317506">
        <w:rPr>
          <w:rFonts w:ascii="Times New Roman" w:hAnsi="Times New Roman" w:cs="Times New Roman"/>
          <w:noProof/>
          <w:sz w:val="24"/>
          <w:szCs w:val="24"/>
        </w:rPr>
        <w:t xml:space="preserve">everal of </w:t>
      </w:r>
      <w:r w:rsidR="006906AA">
        <w:rPr>
          <w:rFonts w:ascii="Times New Roman" w:hAnsi="Times New Roman" w:cs="Times New Roman"/>
          <w:noProof/>
          <w:sz w:val="24"/>
          <w:szCs w:val="24"/>
        </w:rPr>
        <w:t>i</w:t>
      </w:r>
      <w:r w:rsidRPr="00317506">
        <w:rPr>
          <w:rFonts w:ascii="Times New Roman" w:hAnsi="Times New Roman" w:cs="Times New Roman"/>
          <w:noProof/>
          <w:sz w:val="24"/>
          <w:szCs w:val="24"/>
        </w:rPr>
        <w:t xml:space="preserve">ts </w:t>
      </w:r>
      <w:r w:rsidR="006906AA">
        <w:rPr>
          <w:rFonts w:ascii="Times New Roman" w:hAnsi="Times New Roman" w:cs="Times New Roman"/>
          <w:noProof/>
          <w:sz w:val="24"/>
          <w:szCs w:val="24"/>
        </w:rPr>
        <w:t>h</w:t>
      </w:r>
      <w:r w:rsidRPr="00317506">
        <w:rPr>
          <w:rFonts w:ascii="Times New Roman" w:hAnsi="Times New Roman" w:cs="Times New Roman"/>
          <w:noProof/>
          <w:sz w:val="24"/>
          <w:szCs w:val="24"/>
        </w:rPr>
        <w:t>omologues. Biochemistry. 44: 15774–15786.</w:t>
      </w:r>
    </w:p>
    <w:p w14:paraId="6A7C2126" w14:textId="1D2EBAB6"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w:t>
      </w:r>
      <w:r w:rsidRPr="00317506">
        <w:rPr>
          <w:rFonts w:ascii="Times New Roman" w:hAnsi="Times New Roman" w:cs="Times New Roman"/>
          <w:noProof/>
          <w:sz w:val="24"/>
          <w:szCs w:val="24"/>
        </w:rPr>
        <w:tab/>
        <w:t xml:space="preserve">Boissan M, Schlattner U, Lacombe M-L (2018) The NDPK/NME superfamily: </w:t>
      </w:r>
      <w:r w:rsidR="00635F4F" w:rsidRPr="00317506">
        <w:rPr>
          <w:rFonts w:ascii="Times New Roman" w:hAnsi="Times New Roman" w:cs="Times New Roman"/>
          <w:noProof/>
          <w:sz w:val="24"/>
          <w:szCs w:val="24"/>
        </w:rPr>
        <w:t>S</w:t>
      </w:r>
      <w:r w:rsidRPr="00317506">
        <w:rPr>
          <w:rFonts w:ascii="Times New Roman" w:hAnsi="Times New Roman" w:cs="Times New Roman"/>
          <w:noProof/>
          <w:sz w:val="24"/>
          <w:szCs w:val="24"/>
        </w:rPr>
        <w:t>tate of the art. Lab. Investig. 98: 164–174.</w:t>
      </w:r>
    </w:p>
    <w:p w14:paraId="3710954F"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w:t>
      </w:r>
      <w:r w:rsidRPr="00317506">
        <w:rPr>
          <w:rFonts w:ascii="Times New Roman" w:hAnsi="Times New Roman" w:cs="Times New Roman"/>
          <w:noProof/>
          <w:sz w:val="24"/>
          <w:szCs w:val="24"/>
        </w:rPr>
        <w:tab/>
        <w:t>Tsuiki H, Nitta M, Furuya A, Hanai N, Fujiwara T, Inagaki M, Kochi M, Ushio Y, Saya H, Nakamura H (2000) A novel human nucleoside diphosphate (NDP) kinase, Nm23-H6, localizes in mitochondria and affects cytokinesis. J. Cell. Biochem. 76: 254–269.</w:t>
      </w:r>
    </w:p>
    <w:p w14:paraId="123CBDC3" w14:textId="18B87201"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w:t>
      </w:r>
      <w:r w:rsidRPr="00317506">
        <w:rPr>
          <w:rFonts w:ascii="Times New Roman" w:hAnsi="Times New Roman" w:cs="Times New Roman"/>
          <w:noProof/>
          <w:sz w:val="24"/>
          <w:szCs w:val="24"/>
        </w:rPr>
        <w:tab/>
        <w:t xml:space="preserve">Steeg PS, Bevilacqua G, Kopper L, Thorgeirsson UP, Talmadge JE, Liotta LA, Sobel ME (1988) Evidence for a </w:t>
      </w:r>
      <w:r w:rsidR="006906AA">
        <w:rPr>
          <w:rFonts w:ascii="Times New Roman" w:hAnsi="Times New Roman" w:cs="Times New Roman"/>
          <w:noProof/>
          <w:sz w:val="24"/>
          <w:szCs w:val="24"/>
        </w:rPr>
        <w:t>n</w:t>
      </w:r>
      <w:r w:rsidRPr="00317506">
        <w:rPr>
          <w:rFonts w:ascii="Times New Roman" w:hAnsi="Times New Roman" w:cs="Times New Roman"/>
          <w:noProof/>
          <w:sz w:val="24"/>
          <w:szCs w:val="24"/>
        </w:rPr>
        <w:t xml:space="preserve">ovel </w:t>
      </w:r>
      <w:r w:rsidR="006906AA">
        <w:rPr>
          <w:rFonts w:ascii="Times New Roman" w:hAnsi="Times New Roman" w:cs="Times New Roman"/>
          <w:noProof/>
          <w:sz w:val="24"/>
          <w:szCs w:val="24"/>
        </w:rPr>
        <w:t>g</w:t>
      </w:r>
      <w:r w:rsidRPr="00317506">
        <w:rPr>
          <w:rFonts w:ascii="Times New Roman" w:hAnsi="Times New Roman" w:cs="Times New Roman"/>
          <w:noProof/>
          <w:sz w:val="24"/>
          <w:szCs w:val="24"/>
        </w:rPr>
        <w:t xml:space="preserve">ene </w:t>
      </w:r>
      <w:r w:rsidR="006906AA">
        <w:rPr>
          <w:rFonts w:ascii="Times New Roman" w:hAnsi="Times New Roman" w:cs="Times New Roman"/>
          <w:noProof/>
          <w:sz w:val="24"/>
          <w:szCs w:val="24"/>
        </w:rPr>
        <w:t>a</w:t>
      </w:r>
      <w:r w:rsidRPr="00317506">
        <w:rPr>
          <w:rFonts w:ascii="Times New Roman" w:hAnsi="Times New Roman" w:cs="Times New Roman"/>
          <w:noProof/>
          <w:sz w:val="24"/>
          <w:szCs w:val="24"/>
        </w:rPr>
        <w:t xml:space="preserve">ssociated </w:t>
      </w:r>
      <w:r w:rsidR="006906AA">
        <w:rPr>
          <w:rFonts w:ascii="Times New Roman" w:hAnsi="Times New Roman" w:cs="Times New Roman"/>
          <w:noProof/>
          <w:sz w:val="24"/>
          <w:szCs w:val="24"/>
        </w:rPr>
        <w:t>w</w:t>
      </w:r>
      <w:r w:rsidRPr="00317506">
        <w:rPr>
          <w:rFonts w:ascii="Times New Roman" w:hAnsi="Times New Roman" w:cs="Times New Roman"/>
          <w:noProof/>
          <w:sz w:val="24"/>
          <w:szCs w:val="24"/>
        </w:rPr>
        <w:t xml:space="preserve">ith </w:t>
      </w:r>
      <w:r w:rsidR="006906AA">
        <w:rPr>
          <w:rFonts w:ascii="Times New Roman" w:hAnsi="Times New Roman" w:cs="Times New Roman"/>
          <w:noProof/>
          <w:sz w:val="24"/>
          <w:szCs w:val="24"/>
        </w:rPr>
        <w:t>l</w:t>
      </w:r>
      <w:r w:rsidRPr="00317506">
        <w:rPr>
          <w:rFonts w:ascii="Times New Roman" w:hAnsi="Times New Roman" w:cs="Times New Roman"/>
          <w:noProof/>
          <w:sz w:val="24"/>
          <w:szCs w:val="24"/>
        </w:rPr>
        <w:t xml:space="preserve">ow </w:t>
      </w:r>
      <w:r w:rsidR="006906AA">
        <w:rPr>
          <w:rFonts w:ascii="Times New Roman" w:hAnsi="Times New Roman" w:cs="Times New Roman"/>
          <w:noProof/>
          <w:sz w:val="24"/>
          <w:szCs w:val="24"/>
        </w:rPr>
        <w:t>t</w:t>
      </w:r>
      <w:r w:rsidRPr="00317506">
        <w:rPr>
          <w:rFonts w:ascii="Times New Roman" w:hAnsi="Times New Roman" w:cs="Times New Roman"/>
          <w:noProof/>
          <w:sz w:val="24"/>
          <w:szCs w:val="24"/>
        </w:rPr>
        <w:t xml:space="preserve">umor </w:t>
      </w:r>
      <w:r w:rsidR="006906AA">
        <w:rPr>
          <w:rFonts w:ascii="Times New Roman" w:hAnsi="Times New Roman" w:cs="Times New Roman"/>
          <w:noProof/>
          <w:sz w:val="24"/>
          <w:szCs w:val="24"/>
        </w:rPr>
        <w:t>m</w:t>
      </w:r>
      <w:r w:rsidRPr="00317506">
        <w:rPr>
          <w:rFonts w:ascii="Times New Roman" w:hAnsi="Times New Roman" w:cs="Times New Roman"/>
          <w:noProof/>
          <w:sz w:val="24"/>
          <w:szCs w:val="24"/>
        </w:rPr>
        <w:t xml:space="preserve">etastatic </w:t>
      </w:r>
      <w:r w:rsidR="006906AA">
        <w:rPr>
          <w:rFonts w:ascii="Times New Roman" w:hAnsi="Times New Roman" w:cs="Times New Roman"/>
          <w:noProof/>
          <w:sz w:val="24"/>
          <w:szCs w:val="24"/>
        </w:rPr>
        <w:t>p</w:t>
      </w:r>
      <w:r w:rsidRPr="00317506">
        <w:rPr>
          <w:rFonts w:ascii="Times New Roman" w:hAnsi="Times New Roman" w:cs="Times New Roman"/>
          <w:noProof/>
          <w:sz w:val="24"/>
          <w:szCs w:val="24"/>
        </w:rPr>
        <w:t>otential. JNCI J. Natl. Cancer Inst. 80: 200–204.</w:t>
      </w:r>
    </w:p>
    <w:p w14:paraId="3F488EF2"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w:t>
      </w:r>
      <w:r w:rsidRPr="00317506">
        <w:rPr>
          <w:rFonts w:ascii="Times New Roman" w:hAnsi="Times New Roman" w:cs="Times New Roman"/>
          <w:noProof/>
          <w:sz w:val="24"/>
          <w:szCs w:val="24"/>
        </w:rPr>
        <w:tab/>
        <w:t>Gilles AM, Presecan E, Vonica A, Lascu I (1991) Nucleoside diphosphate kinase from human erythrocytes. Structural characterization of the two polypeptide chains responsible for heterogeneity of the hexameric enzyme. J. Biol. Chem. 266: 8784–9.</w:t>
      </w:r>
    </w:p>
    <w:p w14:paraId="5DA0C117"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w:t>
      </w:r>
      <w:r w:rsidRPr="00317506">
        <w:rPr>
          <w:rFonts w:ascii="Times New Roman" w:hAnsi="Times New Roman" w:cs="Times New Roman"/>
          <w:noProof/>
          <w:sz w:val="24"/>
          <w:szCs w:val="24"/>
        </w:rPr>
        <w:tab/>
        <w:t xml:space="preserve">Munier A, Feral C, Milon L, Pinon VP-B, Gyapay G, Capeau J, Guellaen G, Lacombe </w:t>
      </w:r>
      <w:r w:rsidRPr="00317506">
        <w:rPr>
          <w:rFonts w:ascii="Times New Roman" w:hAnsi="Times New Roman" w:cs="Times New Roman"/>
          <w:noProof/>
          <w:sz w:val="24"/>
          <w:szCs w:val="24"/>
        </w:rPr>
        <w:lastRenderedPageBreak/>
        <w:t>M-L (1998) A new human nm23 homologue ( nm23 -H5) specifically expressed in testis germinal cells. FEBS Lett. 434: 289–294.</w:t>
      </w:r>
    </w:p>
    <w:p w14:paraId="7B1C6DC3"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w:t>
      </w:r>
      <w:r w:rsidRPr="00317506">
        <w:rPr>
          <w:rFonts w:ascii="Times New Roman" w:hAnsi="Times New Roman" w:cs="Times New Roman"/>
          <w:noProof/>
          <w:sz w:val="24"/>
          <w:szCs w:val="24"/>
        </w:rPr>
        <w:tab/>
        <w:t xml:space="preserve">Vieira PS, de Giuseppe PO, de Oliveira AHC, Murakami MT (2015) The role of the C-terminus and Kpn loop in the quaternary structure stability of nucleoside diphosphate kinase from </w:t>
      </w:r>
      <w:r w:rsidRPr="006906AA">
        <w:rPr>
          <w:rFonts w:ascii="Times New Roman" w:hAnsi="Times New Roman" w:cs="Times New Roman"/>
          <w:i/>
          <w:noProof/>
          <w:sz w:val="24"/>
          <w:szCs w:val="24"/>
        </w:rPr>
        <w:t>Leishmania</w:t>
      </w:r>
      <w:r w:rsidRPr="00317506">
        <w:rPr>
          <w:rFonts w:ascii="Times New Roman" w:hAnsi="Times New Roman" w:cs="Times New Roman"/>
          <w:noProof/>
          <w:sz w:val="24"/>
          <w:szCs w:val="24"/>
        </w:rPr>
        <w:t xml:space="preserve"> parasites. J. Struct. Biol. 192: 336–341.</w:t>
      </w:r>
    </w:p>
    <w:p w14:paraId="0CABCCF3" w14:textId="43E36674"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w:t>
      </w:r>
      <w:r w:rsidRPr="00317506">
        <w:rPr>
          <w:rFonts w:ascii="Times New Roman" w:hAnsi="Times New Roman" w:cs="Times New Roman"/>
          <w:noProof/>
          <w:sz w:val="24"/>
          <w:szCs w:val="24"/>
        </w:rPr>
        <w:tab/>
        <w:t xml:space="preserve">Georgescauld F, Song Y, Dautant A (2020) Structure, </w:t>
      </w:r>
      <w:r w:rsidR="006906AA">
        <w:rPr>
          <w:rFonts w:ascii="Times New Roman" w:hAnsi="Times New Roman" w:cs="Times New Roman"/>
          <w:noProof/>
          <w:sz w:val="24"/>
          <w:szCs w:val="24"/>
        </w:rPr>
        <w:t>f</w:t>
      </w:r>
      <w:r w:rsidRPr="00317506">
        <w:rPr>
          <w:rFonts w:ascii="Times New Roman" w:hAnsi="Times New Roman" w:cs="Times New Roman"/>
          <w:noProof/>
          <w:sz w:val="24"/>
          <w:szCs w:val="24"/>
        </w:rPr>
        <w:t xml:space="preserve">olding and </w:t>
      </w:r>
      <w:r w:rsidR="006906AA">
        <w:rPr>
          <w:rFonts w:ascii="Times New Roman" w:hAnsi="Times New Roman" w:cs="Times New Roman"/>
          <w:noProof/>
          <w:sz w:val="24"/>
          <w:szCs w:val="24"/>
        </w:rPr>
        <w:t>s</w:t>
      </w:r>
      <w:r w:rsidRPr="00317506">
        <w:rPr>
          <w:rFonts w:ascii="Times New Roman" w:hAnsi="Times New Roman" w:cs="Times New Roman"/>
          <w:noProof/>
          <w:sz w:val="24"/>
          <w:szCs w:val="24"/>
        </w:rPr>
        <w:t xml:space="preserve">tability of </w:t>
      </w:r>
      <w:r w:rsidR="006906AA">
        <w:rPr>
          <w:rFonts w:ascii="Times New Roman" w:hAnsi="Times New Roman" w:cs="Times New Roman"/>
          <w:noProof/>
          <w:sz w:val="24"/>
          <w:szCs w:val="24"/>
        </w:rPr>
        <w:t>n</w:t>
      </w:r>
      <w:r w:rsidRPr="00317506">
        <w:rPr>
          <w:rFonts w:ascii="Times New Roman" w:hAnsi="Times New Roman" w:cs="Times New Roman"/>
          <w:noProof/>
          <w:sz w:val="24"/>
          <w:szCs w:val="24"/>
        </w:rPr>
        <w:t xml:space="preserve">ucleoside </w:t>
      </w:r>
      <w:r w:rsidR="006906AA">
        <w:rPr>
          <w:rFonts w:ascii="Times New Roman" w:hAnsi="Times New Roman" w:cs="Times New Roman"/>
          <w:noProof/>
          <w:sz w:val="24"/>
          <w:szCs w:val="24"/>
        </w:rPr>
        <w:t>d</w:t>
      </w:r>
      <w:r w:rsidRPr="00317506">
        <w:rPr>
          <w:rFonts w:ascii="Times New Roman" w:hAnsi="Times New Roman" w:cs="Times New Roman"/>
          <w:noProof/>
          <w:sz w:val="24"/>
          <w:szCs w:val="24"/>
        </w:rPr>
        <w:t xml:space="preserve">iphosphate </w:t>
      </w:r>
      <w:r w:rsidR="006906AA">
        <w:rPr>
          <w:rFonts w:ascii="Times New Roman" w:hAnsi="Times New Roman" w:cs="Times New Roman"/>
          <w:noProof/>
          <w:sz w:val="24"/>
          <w:szCs w:val="24"/>
        </w:rPr>
        <w:t>k</w:t>
      </w:r>
      <w:r w:rsidRPr="00317506">
        <w:rPr>
          <w:rFonts w:ascii="Times New Roman" w:hAnsi="Times New Roman" w:cs="Times New Roman"/>
          <w:noProof/>
          <w:sz w:val="24"/>
          <w:szCs w:val="24"/>
        </w:rPr>
        <w:t>inases. Int. J. Mol. Sci. 21: 6779.</w:t>
      </w:r>
    </w:p>
    <w:p w14:paraId="35E24A8A" w14:textId="6CC60702"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w:t>
      </w:r>
      <w:r w:rsidRPr="00317506">
        <w:rPr>
          <w:rFonts w:ascii="Times New Roman" w:hAnsi="Times New Roman" w:cs="Times New Roman"/>
          <w:noProof/>
          <w:sz w:val="24"/>
          <w:szCs w:val="24"/>
        </w:rPr>
        <w:tab/>
        <w:t xml:space="preserve">Adam K, Ning J, Reina J, Hunter T (2020) NME/NM23/NDPK and </w:t>
      </w:r>
      <w:r w:rsidR="006906AA">
        <w:rPr>
          <w:rFonts w:ascii="Times New Roman" w:hAnsi="Times New Roman" w:cs="Times New Roman"/>
          <w:noProof/>
          <w:sz w:val="24"/>
          <w:szCs w:val="24"/>
        </w:rPr>
        <w:t>h</w:t>
      </w:r>
      <w:r w:rsidRPr="00317506">
        <w:rPr>
          <w:rFonts w:ascii="Times New Roman" w:hAnsi="Times New Roman" w:cs="Times New Roman"/>
          <w:noProof/>
          <w:sz w:val="24"/>
          <w:szCs w:val="24"/>
        </w:rPr>
        <w:t xml:space="preserve">istidine </w:t>
      </w:r>
      <w:r w:rsidR="006906AA">
        <w:rPr>
          <w:rFonts w:ascii="Times New Roman" w:hAnsi="Times New Roman" w:cs="Times New Roman"/>
          <w:noProof/>
          <w:sz w:val="24"/>
          <w:szCs w:val="24"/>
        </w:rPr>
        <w:t>p</w:t>
      </w:r>
      <w:r w:rsidRPr="00317506">
        <w:rPr>
          <w:rFonts w:ascii="Times New Roman" w:hAnsi="Times New Roman" w:cs="Times New Roman"/>
          <w:noProof/>
          <w:sz w:val="24"/>
          <w:szCs w:val="24"/>
        </w:rPr>
        <w:t>hosphorylation. Int. J. Mol. Sci. 21: 5848.</w:t>
      </w:r>
    </w:p>
    <w:p w14:paraId="455255D1"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[15]</w:t>
      </w:r>
      <w:r w:rsidRPr="00317506">
        <w:rPr>
          <w:rFonts w:ascii="Times New Roman" w:hAnsi="Times New Roman" w:cs="Times New Roman"/>
          <w:noProof/>
          <w:sz w:val="24"/>
          <w:szCs w:val="24"/>
        </w:rPr>
        <w:tab/>
        <w:t>Postel EH (2003) Multiple biochemical activities of NM23/NDP kinase in gene regulation. J. Bioenerg. Biomembr. 35: 31–40.</w:t>
      </w:r>
    </w:p>
    <w:p w14:paraId="02B309EC"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[16]</w:t>
      </w:r>
      <w:r w:rsidRPr="00317506">
        <w:rPr>
          <w:rFonts w:ascii="Times New Roman" w:hAnsi="Times New Roman" w:cs="Times New Roman"/>
          <w:noProof/>
          <w:sz w:val="24"/>
          <w:szCs w:val="24"/>
        </w:rPr>
        <w:tab/>
        <w:t>Puts GS, Leonard MK, Pamidimukkala N V, Snyder DE, Kaetzel DM (2018) Nuclear functions of NME proteins. Lab. Investig. 98: 211–218.</w:t>
      </w:r>
    </w:p>
    <w:p w14:paraId="299051CB" w14:textId="71A29285"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[17]</w:t>
      </w:r>
      <w:r w:rsidRPr="00317506">
        <w:rPr>
          <w:rFonts w:ascii="Times New Roman" w:hAnsi="Times New Roman" w:cs="Times New Roman"/>
          <w:noProof/>
          <w:sz w:val="24"/>
          <w:szCs w:val="24"/>
        </w:rPr>
        <w:tab/>
        <w:t xml:space="preserve">Radić M, Šoštar M, Weber I, Ćetković H, Slade N, Herak Bosnar M (2020) The </w:t>
      </w:r>
      <w:r w:rsidR="006906AA">
        <w:rPr>
          <w:rFonts w:ascii="Times New Roman" w:hAnsi="Times New Roman" w:cs="Times New Roman"/>
          <w:noProof/>
          <w:sz w:val="24"/>
          <w:szCs w:val="24"/>
        </w:rPr>
        <w:t>s</w:t>
      </w:r>
      <w:r w:rsidRPr="00317506">
        <w:rPr>
          <w:rFonts w:ascii="Times New Roman" w:hAnsi="Times New Roman" w:cs="Times New Roman"/>
          <w:noProof/>
          <w:sz w:val="24"/>
          <w:szCs w:val="24"/>
        </w:rPr>
        <w:t xml:space="preserve">ubcellular </w:t>
      </w:r>
      <w:r w:rsidR="006906AA">
        <w:rPr>
          <w:rFonts w:ascii="Times New Roman" w:hAnsi="Times New Roman" w:cs="Times New Roman"/>
          <w:noProof/>
          <w:sz w:val="24"/>
          <w:szCs w:val="24"/>
        </w:rPr>
        <w:t>l</w:t>
      </w:r>
      <w:r w:rsidRPr="00317506">
        <w:rPr>
          <w:rFonts w:ascii="Times New Roman" w:hAnsi="Times New Roman" w:cs="Times New Roman"/>
          <w:noProof/>
          <w:sz w:val="24"/>
          <w:szCs w:val="24"/>
        </w:rPr>
        <w:t xml:space="preserve">ocalization and </w:t>
      </w:r>
      <w:r w:rsidR="006906AA">
        <w:rPr>
          <w:rFonts w:ascii="Times New Roman" w:hAnsi="Times New Roman" w:cs="Times New Roman"/>
          <w:noProof/>
          <w:sz w:val="24"/>
          <w:szCs w:val="24"/>
        </w:rPr>
        <w:t>o</w:t>
      </w:r>
      <w:r w:rsidRPr="00317506">
        <w:rPr>
          <w:rFonts w:ascii="Times New Roman" w:hAnsi="Times New Roman" w:cs="Times New Roman"/>
          <w:noProof/>
          <w:sz w:val="24"/>
          <w:szCs w:val="24"/>
        </w:rPr>
        <w:t xml:space="preserve">ligomerization </w:t>
      </w:r>
      <w:r w:rsidR="006906AA">
        <w:rPr>
          <w:rFonts w:ascii="Times New Roman" w:hAnsi="Times New Roman" w:cs="Times New Roman"/>
          <w:noProof/>
          <w:sz w:val="24"/>
          <w:szCs w:val="24"/>
        </w:rPr>
        <w:t>p</w:t>
      </w:r>
      <w:r w:rsidRPr="00317506">
        <w:rPr>
          <w:rFonts w:ascii="Times New Roman" w:hAnsi="Times New Roman" w:cs="Times New Roman"/>
          <w:noProof/>
          <w:sz w:val="24"/>
          <w:szCs w:val="24"/>
        </w:rPr>
        <w:t xml:space="preserve">references of NME1/NME2 upon </w:t>
      </w:r>
      <w:r w:rsidR="006906AA">
        <w:rPr>
          <w:rFonts w:ascii="Times New Roman" w:hAnsi="Times New Roman" w:cs="Times New Roman"/>
          <w:noProof/>
          <w:sz w:val="24"/>
          <w:szCs w:val="24"/>
        </w:rPr>
        <w:t>r</w:t>
      </w:r>
      <w:r w:rsidRPr="00317506">
        <w:rPr>
          <w:rFonts w:ascii="Times New Roman" w:hAnsi="Times New Roman" w:cs="Times New Roman"/>
          <w:noProof/>
          <w:sz w:val="24"/>
          <w:szCs w:val="24"/>
        </w:rPr>
        <w:t>adiation-</w:t>
      </w:r>
      <w:r w:rsidR="006906AA">
        <w:rPr>
          <w:rFonts w:ascii="Times New Roman" w:hAnsi="Times New Roman" w:cs="Times New Roman"/>
          <w:noProof/>
          <w:sz w:val="24"/>
          <w:szCs w:val="24"/>
        </w:rPr>
        <w:t>i</w:t>
      </w:r>
      <w:r w:rsidRPr="00317506">
        <w:rPr>
          <w:rFonts w:ascii="Times New Roman" w:hAnsi="Times New Roman" w:cs="Times New Roman"/>
          <w:noProof/>
          <w:sz w:val="24"/>
          <w:szCs w:val="24"/>
        </w:rPr>
        <w:t xml:space="preserve">nduced DNA </w:t>
      </w:r>
      <w:r w:rsidR="006906AA">
        <w:rPr>
          <w:rFonts w:ascii="Times New Roman" w:hAnsi="Times New Roman" w:cs="Times New Roman"/>
          <w:noProof/>
          <w:sz w:val="24"/>
          <w:szCs w:val="24"/>
        </w:rPr>
        <w:t>d</w:t>
      </w:r>
      <w:r w:rsidRPr="00317506">
        <w:rPr>
          <w:rFonts w:ascii="Times New Roman" w:hAnsi="Times New Roman" w:cs="Times New Roman"/>
          <w:noProof/>
          <w:sz w:val="24"/>
          <w:szCs w:val="24"/>
        </w:rPr>
        <w:t>amage. Int. J. Mol. Sci. 21: 2363.</w:t>
      </w:r>
    </w:p>
    <w:p w14:paraId="209E8EED"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[18]</w:t>
      </w:r>
      <w:r w:rsidRPr="00317506">
        <w:rPr>
          <w:rFonts w:ascii="Times New Roman" w:hAnsi="Times New Roman" w:cs="Times New Roman"/>
          <w:noProof/>
          <w:sz w:val="24"/>
          <w:szCs w:val="24"/>
        </w:rPr>
        <w:tab/>
        <w:t>Boissan M, Montagnac G, Shen Q, Griparic L, Guitton J, Romao M, Sauvonnet N, Lagache T, Lascu I, Raposo G, Desbourdes C, Schlattner U, Lacombe M-L, Polo S, van der Bliek AM, Roux A, Chavrier P (2014) Nucleoside diphosphate kinases fuel dynamin superfamily proteins with GTP for membrane remodeling. Science. 344: 1510–1515.</w:t>
      </w:r>
    </w:p>
    <w:p w14:paraId="7DDDCAB9"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[19]</w:t>
      </w:r>
      <w:r w:rsidRPr="00317506">
        <w:rPr>
          <w:rFonts w:ascii="Times New Roman" w:hAnsi="Times New Roman" w:cs="Times New Roman"/>
          <w:noProof/>
          <w:sz w:val="24"/>
          <w:szCs w:val="24"/>
        </w:rPr>
        <w:tab/>
        <w:t>Chen C-W, Wang H-L, Huang C-W, Huang C-Y, Lim WK, Tu I-C, Koorapati A, Hsieh S-T, Kan H-W, Tzeng S-R, Liao J-C, Chong WM, Naroditzky I, Kidron D, Eran A, Nijim Y, Sela E, Feldman HB, Kalfon L, Raveh-Barak H, Falik-Zaccai TC, Elpeleg O, Mandel H, Chang Z-F (2019) Two separate functions of NME3 critical for cell survival underlie a neurodegenerative disorder. Proc. Natl. Acad. Sci. 116: 566–574.</w:t>
      </w:r>
    </w:p>
    <w:p w14:paraId="40B716FD" w14:textId="22A2F913"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[20]</w:t>
      </w:r>
      <w:r w:rsidRPr="00317506">
        <w:rPr>
          <w:rFonts w:ascii="Times New Roman" w:hAnsi="Times New Roman" w:cs="Times New Roman"/>
          <w:noProof/>
          <w:sz w:val="24"/>
          <w:szCs w:val="24"/>
        </w:rPr>
        <w:tab/>
        <w:t xml:space="preserve">Chen C-W, Tsao N, Zhang W, Chang Z-F (2020) NME3 </w:t>
      </w:r>
      <w:r w:rsidR="006906AA">
        <w:rPr>
          <w:rFonts w:ascii="Times New Roman" w:hAnsi="Times New Roman" w:cs="Times New Roman"/>
          <w:noProof/>
          <w:sz w:val="24"/>
          <w:szCs w:val="24"/>
        </w:rPr>
        <w:t>r</w:t>
      </w:r>
      <w:r w:rsidRPr="00317506">
        <w:rPr>
          <w:rFonts w:ascii="Times New Roman" w:hAnsi="Times New Roman" w:cs="Times New Roman"/>
          <w:noProof/>
          <w:sz w:val="24"/>
          <w:szCs w:val="24"/>
        </w:rPr>
        <w:t xml:space="preserve">egulates </w:t>
      </w:r>
      <w:r w:rsidR="006906AA">
        <w:rPr>
          <w:rFonts w:ascii="Times New Roman" w:hAnsi="Times New Roman" w:cs="Times New Roman"/>
          <w:noProof/>
          <w:sz w:val="24"/>
          <w:szCs w:val="24"/>
        </w:rPr>
        <w:t>m</w:t>
      </w:r>
      <w:r w:rsidRPr="00317506">
        <w:rPr>
          <w:rFonts w:ascii="Times New Roman" w:hAnsi="Times New Roman" w:cs="Times New Roman"/>
          <w:noProof/>
          <w:sz w:val="24"/>
          <w:szCs w:val="24"/>
        </w:rPr>
        <w:t xml:space="preserve">itochondria to </w:t>
      </w:r>
      <w:r w:rsidR="006906AA">
        <w:rPr>
          <w:rFonts w:ascii="Times New Roman" w:hAnsi="Times New Roman" w:cs="Times New Roman"/>
          <w:noProof/>
          <w:sz w:val="24"/>
          <w:szCs w:val="24"/>
        </w:rPr>
        <w:t>r</w:t>
      </w:r>
      <w:r w:rsidRPr="00317506">
        <w:rPr>
          <w:rFonts w:ascii="Times New Roman" w:hAnsi="Times New Roman" w:cs="Times New Roman"/>
          <w:noProof/>
          <w:sz w:val="24"/>
          <w:szCs w:val="24"/>
        </w:rPr>
        <w:t>educe ROS-</w:t>
      </w:r>
      <w:r w:rsidR="006906AA">
        <w:rPr>
          <w:rFonts w:ascii="Times New Roman" w:hAnsi="Times New Roman" w:cs="Times New Roman"/>
          <w:noProof/>
          <w:sz w:val="24"/>
          <w:szCs w:val="24"/>
        </w:rPr>
        <w:t>m</w:t>
      </w:r>
      <w:r w:rsidRPr="00317506">
        <w:rPr>
          <w:rFonts w:ascii="Times New Roman" w:hAnsi="Times New Roman" w:cs="Times New Roman"/>
          <w:noProof/>
          <w:sz w:val="24"/>
          <w:szCs w:val="24"/>
        </w:rPr>
        <w:t xml:space="preserve">ediated </w:t>
      </w:r>
      <w:r w:rsidR="006906AA">
        <w:rPr>
          <w:rFonts w:ascii="Times New Roman" w:hAnsi="Times New Roman" w:cs="Times New Roman"/>
          <w:noProof/>
          <w:sz w:val="24"/>
          <w:szCs w:val="24"/>
        </w:rPr>
        <w:t>g</w:t>
      </w:r>
      <w:r w:rsidRPr="00317506">
        <w:rPr>
          <w:rFonts w:ascii="Times New Roman" w:hAnsi="Times New Roman" w:cs="Times New Roman"/>
          <w:noProof/>
          <w:sz w:val="24"/>
          <w:szCs w:val="24"/>
        </w:rPr>
        <w:t xml:space="preserve">enome </w:t>
      </w:r>
      <w:r w:rsidR="006906AA">
        <w:rPr>
          <w:rFonts w:ascii="Times New Roman" w:hAnsi="Times New Roman" w:cs="Times New Roman"/>
          <w:noProof/>
          <w:sz w:val="24"/>
          <w:szCs w:val="24"/>
        </w:rPr>
        <w:t>i</w:t>
      </w:r>
      <w:r w:rsidRPr="00317506">
        <w:rPr>
          <w:rFonts w:ascii="Times New Roman" w:hAnsi="Times New Roman" w:cs="Times New Roman"/>
          <w:noProof/>
          <w:sz w:val="24"/>
          <w:szCs w:val="24"/>
        </w:rPr>
        <w:t>nstability. Int. J. Mol. Sci. 21: 5048.</w:t>
      </w:r>
    </w:p>
    <w:p w14:paraId="4AF9C472" w14:textId="5DE11E8B"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[21]</w:t>
      </w:r>
      <w:r w:rsidRPr="00317506">
        <w:rPr>
          <w:rFonts w:ascii="Times New Roman" w:hAnsi="Times New Roman" w:cs="Times New Roman"/>
          <w:noProof/>
          <w:sz w:val="24"/>
          <w:szCs w:val="24"/>
        </w:rPr>
        <w:tab/>
        <w:t xml:space="preserve">Milon L, Meyer P, Chiadmi M, Munier A, Johansson M, Karlsson A, Lascu I, Capeau J, Janin J, Lacombe M-L (2000) The </w:t>
      </w:r>
      <w:r w:rsidR="006906AA">
        <w:rPr>
          <w:rFonts w:ascii="Times New Roman" w:hAnsi="Times New Roman" w:cs="Times New Roman"/>
          <w:noProof/>
          <w:sz w:val="24"/>
          <w:szCs w:val="24"/>
        </w:rPr>
        <w:t>h</w:t>
      </w:r>
      <w:r w:rsidRPr="00317506">
        <w:rPr>
          <w:rFonts w:ascii="Times New Roman" w:hAnsi="Times New Roman" w:cs="Times New Roman"/>
          <w:noProof/>
          <w:sz w:val="24"/>
          <w:szCs w:val="24"/>
        </w:rPr>
        <w:t xml:space="preserve">uman nm23-H4 </w:t>
      </w:r>
      <w:r w:rsidR="006906AA">
        <w:rPr>
          <w:rFonts w:ascii="Times New Roman" w:hAnsi="Times New Roman" w:cs="Times New Roman"/>
          <w:noProof/>
          <w:sz w:val="24"/>
          <w:szCs w:val="24"/>
        </w:rPr>
        <w:t>g</w:t>
      </w:r>
      <w:r w:rsidRPr="00317506">
        <w:rPr>
          <w:rFonts w:ascii="Times New Roman" w:hAnsi="Times New Roman" w:cs="Times New Roman"/>
          <w:noProof/>
          <w:sz w:val="24"/>
          <w:szCs w:val="24"/>
        </w:rPr>
        <w:t xml:space="preserve">ene </w:t>
      </w:r>
      <w:r w:rsidR="006906AA">
        <w:rPr>
          <w:rFonts w:ascii="Times New Roman" w:hAnsi="Times New Roman" w:cs="Times New Roman"/>
          <w:noProof/>
          <w:sz w:val="24"/>
          <w:szCs w:val="24"/>
        </w:rPr>
        <w:t>p</w:t>
      </w:r>
      <w:r w:rsidRPr="00317506">
        <w:rPr>
          <w:rFonts w:ascii="Times New Roman" w:hAnsi="Times New Roman" w:cs="Times New Roman"/>
          <w:noProof/>
          <w:sz w:val="24"/>
          <w:szCs w:val="24"/>
        </w:rPr>
        <w:t xml:space="preserve">roduct </w:t>
      </w:r>
      <w:r w:rsidR="006906AA">
        <w:rPr>
          <w:rFonts w:ascii="Times New Roman" w:hAnsi="Times New Roman" w:cs="Times New Roman"/>
          <w:noProof/>
          <w:sz w:val="24"/>
          <w:szCs w:val="24"/>
        </w:rPr>
        <w:t>i</w:t>
      </w:r>
      <w:r w:rsidRPr="00317506">
        <w:rPr>
          <w:rFonts w:ascii="Times New Roman" w:hAnsi="Times New Roman" w:cs="Times New Roman"/>
          <w:noProof/>
          <w:sz w:val="24"/>
          <w:szCs w:val="24"/>
        </w:rPr>
        <w:t xml:space="preserve">s a </w:t>
      </w:r>
      <w:r w:rsidR="006906AA">
        <w:rPr>
          <w:rFonts w:ascii="Times New Roman" w:hAnsi="Times New Roman" w:cs="Times New Roman"/>
          <w:noProof/>
          <w:sz w:val="24"/>
          <w:szCs w:val="24"/>
        </w:rPr>
        <w:t>m</w:t>
      </w:r>
      <w:r w:rsidRPr="00317506">
        <w:rPr>
          <w:rFonts w:ascii="Times New Roman" w:hAnsi="Times New Roman" w:cs="Times New Roman"/>
          <w:noProof/>
          <w:sz w:val="24"/>
          <w:szCs w:val="24"/>
        </w:rPr>
        <w:t xml:space="preserve">itochondrial </w:t>
      </w:r>
      <w:r w:rsidR="006906AA">
        <w:rPr>
          <w:rFonts w:ascii="Times New Roman" w:hAnsi="Times New Roman" w:cs="Times New Roman"/>
          <w:noProof/>
          <w:sz w:val="24"/>
          <w:szCs w:val="24"/>
        </w:rPr>
        <w:t>n</w:t>
      </w:r>
      <w:r w:rsidRPr="00317506">
        <w:rPr>
          <w:rFonts w:ascii="Times New Roman" w:hAnsi="Times New Roman" w:cs="Times New Roman"/>
          <w:noProof/>
          <w:sz w:val="24"/>
          <w:szCs w:val="24"/>
        </w:rPr>
        <w:t xml:space="preserve">ucleoside </w:t>
      </w:r>
      <w:r w:rsidR="006906AA">
        <w:rPr>
          <w:rFonts w:ascii="Times New Roman" w:hAnsi="Times New Roman" w:cs="Times New Roman"/>
          <w:noProof/>
          <w:sz w:val="24"/>
          <w:szCs w:val="24"/>
        </w:rPr>
        <w:t>d</w:t>
      </w:r>
      <w:r w:rsidRPr="00317506">
        <w:rPr>
          <w:rFonts w:ascii="Times New Roman" w:hAnsi="Times New Roman" w:cs="Times New Roman"/>
          <w:noProof/>
          <w:sz w:val="24"/>
          <w:szCs w:val="24"/>
        </w:rPr>
        <w:t xml:space="preserve">iphosphate </w:t>
      </w:r>
      <w:r w:rsidR="006906AA">
        <w:rPr>
          <w:rFonts w:ascii="Times New Roman" w:hAnsi="Times New Roman" w:cs="Times New Roman"/>
          <w:noProof/>
          <w:sz w:val="24"/>
          <w:szCs w:val="24"/>
        </w:rPr>
        <w:t>k</w:t>
      </w:r>
      <w:r w:rsidRPr="00317506">
        <w:rPr>
          <w:rFonts w:ascii="Times New Roman" w:hAnsi="Times New Roman" w:cs="Times New Roman"/>
          <w:noProof/>
          <w:sz w:val="24"/>
          <w:szCs w:val="24"/>
        </w:rPr>
        <w:t>inase. J. Biol. Chem. 275: 14264–14272.</w:t>
      </w:r>
    </w:p>
    <w:p w14:paraId="6AF22FC4"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lastRenderedPageBreak/>
        <w:t>[22]</w:t>
      </w:r>
      <w:r w:rsidRPr="00317506">
        <w:rPr>
          <w:rFonts w:ascii="Times New Roman" w:hAnsi="Times New Roman" w:cs="Times New Roman"/>
          <w:noProof/>
          <w:sz w:val="24"/>
          <w:szCs w:val="24"/>
        </w:rPr>
        <w:tab/>
        <w:t>Gui M, Farley H, Anujan P, Anderson JR, Maxwell DW, Whitchurch JB, Botsch JJ, Qiu T, Meleppattu S, Singh SK, Zhang Q, Thompson J, Lucas JS, Bingle CD, Norris DP, Roy S, Brown A (2021) De novo identification of mammalian ciliary motility proteins using cryo-EM. Cell. 184: 5791–5806.</w:t>
      </w:r>
    </w:p>
    <w:p w14:paraId="681F50B0"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[23]</w:t>
      </w:r>
      <w:r w:rsidRPr="00317506">
        <w:rPr>
          <w:rFonts w:ascii="Times New Roman" w:hAnsi="Times New Roman" w:cs="Times New Roman"/>
          <w:noProof/>
          <w:sz w:val="24"/>
          <w:szCs w:val="24"/>
        </w:rPr>
        <w:tab/>
        <w:t>Bilitou A, Watson J, Gartner A, Ohnuma S (2009) The NM23 family in development. Mol. Cell. Biochem. 329: 17–33.</w:t>
      </w:r>
    </w:p>
    <w:p w14:paraId="14674BBA"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[24]</w:t>
      </w:r>
      <w:r w:rsidRPr="00317506">
        <w:rPr>
          <w:rFonts w:ascii="Times New Roman" w:hAnsi="Times New Roman" w:cs="Times New Roman"/>
          <w:noProof/>
          <w:sz w:val="24"/>
          <w:szCs w:val="24"/>
        </w:rPr>
        <w:tab/>
        <w:t>Herak Bosnar M, Radić M, Ćetković H (2018) A young researcher’s guide to NME/Nm23/NDP Kinase. Period. Biol. 120: 3–9.</w:t>
      </w:r>
    </w:p>
    <w:p w14:paraId="59D0E59A" w14:textId="0271F790"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[25]</w:t>
      </w:r>
      <w:r w:rsidRPr="00317506">
        <w:rPr>
          <w:rFonts w:ascii="Times New Roman" w:hAnsi="Times New Roman" w:cs="Times New Roman"/>
          <w:noProof/>
          <w:sz w:val="24"/>
          <w:szCs w:val="24"/>
        </w:rPr>
        <w:tab/>
        <w:t xml:space="preserve">Desvignes T, Pontarotti P, Bobe J (2010) Nme </w:t>
      </w:r>
      <w:r w:rsidR="003009BE" w:rsidRPr="00317506">
        <w:rPr>
          <w:rFonts w:ascii="Times New Roman" w:hAnsi="Times New Roman" w:cs="Times New Roman"/>
          <w:noProof/>
          <w:sz w:val="24"/>
          <w:szCs w:val="24"/>
        </w:rPr>
        <w:t>gene family evolutionary history reveals pre-metazoan origins and high conservation between humans and the sea anemone,</w:t>
      </w:r>
      <w:r w:rsidRPr="00317506">
        <w:rPr>
          <w:rFonts w:ascii="Times New Roman" w:hAnsi="Times New Roman" w:cs="Times New Roman"/>
          <w:noProof/>
          <w:sz w:val="24"/>
          <w:szCs w:val="24"/>
        </w:rPr>
        <w:t xml:space="preserve"> </w:t>
      </w:r>
      <w:r w:rsidRPr="003009BE">
        <w:rPr>
          <w:rFonts w:ascii="Times New Roman" w:hAnsi="Times New Roman" w:cs="Times New Roman"/>
          <w:i/>
          <w:noProof/>
          <w:sz w:val="24"/>
          <w:szCs w:val="24"/>
        </w:rPr>
        <w:t>Nematostella vectensis</w:t>
      </w:r>
      <w:r w:rsidRPr="00317506">
        <w:rPr>
          <w:rFonts w:ascii="Times New Roman" w:hAnsi="Times New Roman" w:cs="Times New Roman"/>
          <w:noProof/>
          <w:sz w:val="24"/>
          <w:szCs w:val="24"/>
        </w:rPr>
        <w:t>. PLoS One. 5: e15506.</w:t>
      </w:r>
    </w:p>
    <w:p w14:paraId="3E052647"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[26]</w:t>
      </w:r>
      <w:r w:rsidRPr="00317506">
        <w:rPr>
          <w:rFonts w:ascii="Times New Roman" w:hAnsi="Times New Roman" w:cs="Times New Roman"/>
          <w:noProof/>
          <w:sz w:val="24"/>
          <w:szCs w:val="24"/>
        </w:rPr>
        <w:tab/>
        <w:t>Perina D, Herak Bosnar M, Bago R, Mikoč A, Harcet M, Deželjin M, Ćetković H (2011) Sponge non-metastatic Group I Nme gene/protein - structure and function is conserved from sponges to humans. BMC Evol. Biol. 11: 87.</w:t>
      </w:r>
    </w:p>
    <w:p w14:paraId="669A49C2"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[27]</w:t>
      </w:r>
      <w:r w:rsidRPr="00317506">
        <w:rPr>
          <w:rFonts w:ascii="Times New Roman" w:hAnsi="Times New Roman" w:cs="Times New Roman"/>
          <w:noProof/>
          <w:sz w:val="24"/>
          <w:szCs w:val="24"/>
        </w:rPr>
        <w:tab/>
        <w:t xml:space="preserve">Perina D, Herak Bosnar M, Mikoč A, Müller WEG, Ćetković H (2011) Characterization of Nme6-like gene/protein from marine sponge </w:t>
      </w:r>
      <w:r w:rsidRPr="003009BE">
        <w:rPr>
          <w:rFonts w:ascii="Times New Roman" w:hAnsi="Times New Roman" w:cs="Times New Roman"/>
          <w:i/>
          <w:noProof/>
          <w:sz w:val="24"/>
          <w:szCs w:val="24"/>
        </w:rPr>
        <w:t>Suberites domuncula</w:t>
      </w:r>
      <w:r w:rsidRPr="00317506">
        <w:rPr>
          <w:rFonts w:ascii="Times New Roman" w:hAnsi="Times New Roman" w:cs="Times New Roman"/>
          <w:noProof/>
          <w:sz w:val="24"/>
          <w:szCs w:val="24"/>
        </w:rPr>
        <w:t>. Naunyn. Schmiedebergs. Arch. Pharmacol. 384: 451–460.</w:t>
      </w:r>
    </w:p>
    <w:p w14:paraId="480C7AC2" w14:textId="6D87E61F"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[28]</w:t>
      </w:r>
      <w:r w:rsidRPr="00317506">
        <w:rPr>
          <w:rFonts w:ascii="Times New Roman" w:hAnsi="Times New Roman" w:cs="Times New Roman"/>
          <w:noProof/>
          <w:sz w:val="24"/>
          <w:szCs w:val="24"/>
        </w:rPr>
        <w:tab/>
        <w:t xml:space="preserve">Mehus JG, Deloukas P, Lambeth DO (1999) NME6: </w:t>
      </w:r>
      <w:r w:rsidR="00635F4F" w:rsidRPr="00317506">
        <w:rPr>
          <w:rFonts w:ascii="Times New Roman" w:hAnsi="Times New Roman" w:cs="Times New Roman"/>
          <w:noProof/>
          <w:sz w:val="24"/>
          <w:szCs w:val="24"/>
        </w:rPr>
        <w:t>A</w:t>
      </w:r>
      <w:r w:rsidRPr="00317506">
        <w:rPr>
          <w:rFonts w:ascii="Times New Roman" w:hAnsi="Times New Roman" w:cs="Times New Roman"/>
          <w:noProof/>
          <w:sz w:val="24"/>
          <w:szCs w:val="24"/>
        </w:rPr>
        <w:t xml:space="preserve"> new member of the nm23 /nucleoside diphosphate kinase gene family located on human chromosome 3p21.3. Hum. Genet. 104: 454–459.</w:t>
      </w:r>
    </w:p>
    <w:p w14:paraId="21CE31CE" w14:textId="1515BD68"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[29]</w:t>
      </w:r>
      <w:r w:rsidRPr="00317506">
        <w:rPr>
          <w:rFonts w:ascii="Times New Roman" w:hAnsi="Times New Roman" w:cs="Times New Roman"/>
          <w:noProof/>
          <w:sz w:val="24"/>
          <w:szCs w:val="24"/>
        </w:rPr>
        <w:tab/>
        <w:t xml:space="preserve">Roger AJ, Muñoz-Gómez SA, Kamikawa R (2017) The </w:t>
      </w:r>
      <w:r w:rsidR="003009BE" w:rsidRPr="00317506">
        <w:rPr>
          <w:rFonts w:ascii="Times New Roman" w:hAnsi="Times New Roman" w:cs="Times New Roman"/>
          <w:noProof/>
          <w:sz w:val="24"/>
          <w:szCs w:val="24"/>
        </w:rPr>
        <w:t>origin and diversification of mitochondria</w:t>
      </w:r>
      <w:r w:rsidRPr="00317506">
        <w:rPr>
          <w:rFonts w:ascii="Times New Roman" w:hAnsi="Times New Roman" w:cs="Times New Roman"/>
          <w:noProof/>
          <w:sz w:val="24"/>
          <w:szCs w:val="24"/>
        </w:rPr>
        <w:t>. Curr. Biol. 27: R1177–R1192.</w:t>
      </w:r>
    </w:p>
    <w:p w14:paraId="7E5970B1"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[30]</w:t>
      </w:r>
      <w:r w:rsidRPr="00317506">
        <w:rPr>
          <w:rFonts w:ascii="Times New Roman" w:hAnsi="Times New Roman" w:cs="Times New Roman"/>
          <w:noProof/>
          <w:sz w:val="24"/>
          <w:szCs w:val="24"/>
        </w:rPr>
        <w:tab/>
        <w:t>Gray MW, Burger G, Lang BF (2001) The origin and early evolution of mitochondria. Genome Biol. 2: 1018.1–1018.5.</w:t>
      </w:r>
    </w:p>
    <w:p w14:paraId="484533BB"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[31]</w:t>
      </w:r>
      <w:r w:rsidRPr="00317506">
        <w:rPr>
          <w:rFonts w:ascii="Times New Roman" w:hAnsi="Times New Roman" w:cs="Times New Roman"/>
          <w:noProof/>
          <w:sz w:val="24"/>
          <w:szCs w:val="24"/>
        </w:rPr>
        <w:tab/>
        <w:t>Cavalier-Smith T (2006) Origin of mitochondria by intracellular enslavement of a photosynthetic purple bacterium. Proc. R. Soc. B Biol. Sci. 273: 1943–1952.</w:t>
      </w:r>
    </w:p>
    <w:p w14:paraId="21DE6979"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[32]</w:t>
      </w:r>
      <w:r w:rsidRPr="00317506">
        <w:rPr>
          <w:rFonts w:ascii="Times New Roman" w:hAnsi="Times New Roman" w:cs="Times New Roman"/>
          <w:noProof/>
          <w:sz w:val="24"/>
          <w:szCs w:val="24"/>
        </w:rPr>
        <w:tab/>
        <w:t>Lemasters JJ, Holmuhamedov E (2006) Voltage-dependent anion channel (VDAC) as mitochondrial governator—Thinking outside the box. Biochim. Biophys. Acta - Mol. Basis Dis. 1762: 181–190.</w:t>
      </w:r>
    </w:p>
    <w:p w14:paraId="6C8106F2"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lastRenderedPageBreak/>
        <w:t>[33]</w:t>
      </w:r>
      <w:r w:rsidRPr="00317506">
        <w:rPr>
          <w:rFonts w:ascii="Times New Roman" w:hAnsi="Times New Roman" w:cs="Times New Roman"/>
          <w:noProof/>
          <w:sz w:val="24"/>
          <w:szCs w:val="24"/>
        </w:rPr>
        <w:tab/>
        <w:t>Lemasters JJ (2007) Modulation of mitochondrial membrane permeability in pathogenesis, autophagy and control of metabolism. J. Gastroenterol. Hepatol. 22: S31–S37.</w:t>
      </w:r>
    </w:p>
    <w:p w14:paraId="2CF45066"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[34]</w:t>
      </w:r>
      <w:r w:rsidRPr="00317506">
        <w:rPr>
          <w:rFonts w:ascii="Times New Roman" w:hAnsi="Times New Roman" w:cs="Times New Roman"/>
          <w:noProof/>
          <w:sz w:val="24"/>
          <w:szCs w:val="24"/>
        </w:rPr>
        <w:tab/>
        <w:t>Gottschalk B, Madreiter-Sokolowski CT, Graier WF (2022) Cristae junction as a fundamental switchboard for mitochondrial ion signaling and bioenergetics. Cell Calcium. 101: 102517.</w:t>
      </w:r>
    </w:p>
    <w:p w14:paraId="33BD34D8"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[35]</w:t>
      </w:r>
      <w:r w:rsidRPr="00317506">
        <w:rPr>
          <w:rFonts w:ascii="Times New Roman" w:hAnsi="Times New Roman" w:cs="Times New Roman"/>
          <w:noProof/>
          <w:sz w:val="24"/>
          <w:szCs w:val="24"/>
        </w:rPr>
        <w:tab/>
        <w:t>Reichert AS, Neupert W (2002) Contact sites between the outer and inner membrane of mitochondria—role in protein transport. Biochim. Biophys. Acta - Mol. Cell Res. 1592: 41–49.</w:t>
      </w:r>
    </w:p>
    <w:p w14:paraId="7CA1097F"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[36]</w:t>
      </w:r>
      <w:r w:rsidRPr="00317506">
        <w:rPr>
          <w:rFonts w:ascii="Times New Roman" w:hAnsi="Times New Roman" w:cs="Times New Roman"/>
          <w:noProof/>
          <w:sz w:val="24"/>
          <w:szCs w:val="24"/>
        </w:rPr>
        <w:tab/>
        <w:t>Kühlbrandt W (2015) Structure and function of mitochondrial membrane protein complexes. BMC Biol. 13: 89.</w:t>
      </w:r>
    </w:p>
    <w:p w14:paraId="48F654D5" w14:textId="4909AD5D"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[37]</w:t>
      </w:r>
      <w:r w:rsidRPr="00317506">
        <w:rPr>
          <w:rFonts w:ascii="Times New Roman" w:hAnsi="Times New Roman" w:cs="Times New Roman"/>
          <w:noProof/>
          <w:sz w:val="24"/>
          <w:szCs w:val="24"/>
        </w:rPr>
        <w:tab/>
        <w:t xml:space="preserve">Barchiesi A, Vascotto C (2019) Transcription, </w:t>
      </w:r>
      <w:r w:rsidR="003009BE" w:rsidRPr="00317506">
        <w:rPr>
          <w:rFonts w:ascii="Times New Roman" w:hAnsi="Times New Roman" w:cs="Times New Roman"/>
          <w:noProof/>
          <w:sz w:val="24"/>
          <w:szCs w:val="24"/>
        </w:rPr>
        <w:t xml:space="preserve">processing, and decay of mitochondrial </w:t>
      </w:r>
      <w:r w:rsidR="00E8475E" w:rsidRPr="00317506">
        <w:rPr>
          <w:rFonts w:ascii="Times New Roman" w:hAnsi="Times New Roman" w:cs="Times New Roman"/>
          <w:noProof/>
          <w:sz w:val="24"/>
          <w:szCs w:val="24"/>
        </w:rPr>
        <w:t>RNA</w:t>
      </w:r>
      <w:r w:rsidR="003009BE" w:rsidRPr="00317506">
        <w:rPr>
          <w:rFonts w:ascii="Times New Roman" w:hAnsi="Times New Roman" w:cs="Times New Roman"/>
          <w:noProof/>
          <w:sz w:val="24"/>
          <w:szCs w:val="24"/>
        </w:rPr>
        <w:t xml:space="preserve"> in health and disease</w:t>
      </w:r>
      <w:r w:rsidRPr="00317506">
        <w:rPr>
          <w:rFonts w:ascii="Times New Roman" w:hAnsi="Times New Roman" w:cs="Times New Roman"/>
          <w:noProof/>
          <w:sz w:val="24"/>
          <w:szCs w:val="24"/>
        </w:rPr>
        <w:t>. Int. J. Mol. Sci. 20: 2221.</w:t>
      </w:r>
    </w:p>
    <w:p w14:paraId="2D21476C" w14:textId="4F30DD3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[38]</w:t>
      </w:r>
      <w:r w:rsidRPr="00317506">
        <w:rPr>
          <w:rFonts w:ascii="Times New Roman" w:hAnsi="Times New Roman" w:cs="Times New Roman"/>
          <w:noProof/>
          <w:sz w:val="24"/>
          <w:szCs w:val="24"/>
        </w:rPr>
        <w:tab/>
        <w:t xml:space="preserve">Xavier VJ, Martinou J-C (2021) RNA </w:t>
      </w:r>
      <w:r w:rsidR="003009BE" w:rsidRPr="00317506">
        <w:rPr>
          <w:rFonts w:ascii="Times New Roman" w:hAnsi="Times New Roman" w:cs="Times New Roman"/>
          <w:noProof/>
          <w:sz w:val="24"/>
          <w:szCs w:val="24"/>
        </w:rPr>
        <w:t>granules in the mitochondria and their organization under mitochondrial stresses</w:t>
      </w:r>
      <w:r w:rsidRPr="00317506">
        <w:rPr>
          <w:rFonts w:ascii="Times New Roman" w:hAnsi="Times New Roman" w:cs="Times New Roman"/>
          <w:noProof/>
          <w:sz w:val="24"/>
          <w:szCs w:val="24"/>
        </w:rPr>
        <w:t>. Int. J. Mol. Sci. 22: 9502.</w:t>
      </w:r>
    </w:p>
    <w:p w14:paraId="70BDBE1E"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[39]</w:t>
      </w:r>
      <w:r w:rsidRPr="00317506">
        <w:rPr>
          <w:rFonts w:ascii="Times New Roman" w:hAnsi="Times New Roman" w:cs="Times New Roman"/>
          <w:noProof/>
          <w:sz w:val="24"/>
          <w:szCs w:val="24"/>
        </w:rPr>
        <w:tab/>
        <w:t>Itoh Y, Andréll J, Choi A, Richter U, Maiti P, Best RB, Barrientos A, Battersby BJ, Amunts A (2021) Mechanism of membrane-tethered mitochondrial protein synthesis. Science. 371: 846–849.</w:t>
      </w:r>
    </w:p>
    <w:p w14:paraId="3A337478" w14:textId="69941D96"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[40]</w:t>
      </w:r>
      <w:r w:rsidRPr="00317506">
        <w:rPr>
          <w:rFonts w:ascii="Times New Roman" w:hAnsi="Times New Roman" w:cs="Times New Roman"/>
          <w:noProof/>
          <w:sz w:val="24"/>
          <w:szCs w:val="24"/>
        </w:rPr>
        <w:tab/>
        <w:t xml:space="preserve">Protasoni M, Zeviani M (2021) Mitochondrial </w:t>
      </w:r>
      <w:r w:rsidR="003009BE" w:rsidRPr="00317506">
        <w:rPr>
          <w:rFonts w:ascii="Times New Roman" w:hAnsi="Times New Roman" w:cs="Times New Roman"/>
          <w:noProof/>
          <w:sz w:val="24"/>
          <w:szCs w:val="24"/>
        </w:rPr>
        <w:t>structure and bioenergetics in normal and disease conditions.</w:t>
      </w:r>
      <w:r w:rsidRPr="00317506">
        <w:rPr>
          <w:rFonts w:ascii="Times New Roman" w:hAnsi="Times New Roman" w:cs="Times New Roman"/>
          <w:noProof/>
          <w:sz w:val="24"/>
          <w:szCs w:val="24"/>
        </w:rPr>
        <w:t xml:space="preserve"> Int. J. Mol. Sci. 22: 586.</w:t>
      </w:r>
    </w:p>
    <w:p w14:paraId="6307E4E7" w14:textId="5853AADC"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[41]</w:t>
      </w:r>
      <w:r w:rsidRPr="00317506">
        <w:rPr>
          <w:rFonts w:ascii="Times New Roman" w:hAnsi="Times New Roman" w:cs="Times New Roman"/>
          <w:noProof/>
          <w:sz w:val="24"/>
          <w:szCs w:val="24"/>
        </w:rPr>
        <w:tab/>
        <w:t xml:space="preserve">Tilokani L, Nagashima S, Paupe V, Prudent J (2018) Mitochondrial dynamics: </w:t>
      </w:r>
      <w:r w:rsidR="00635F4F" w:rsidRPr="00317506">
        <w:rPr>
          <w:rFonts w:ascii="Times New Roman" w:hAnsi="Times New Roman" w:cs="Times New Roman"/>
          <w:noProof/>
          <w:sz w:val="24"/>
          <w:szCs w:val="24"/>
        </w:rPr>
        <w:t>O</w:t>
      </w:r>
      <w:r w:rsidRPr="00317506">
        <w:rPr>
          <w:rFonts w:ascii="Times New Roman" w:hAnsi="Times New Roman" w:cs="Times New Roman"/>
          <w:noProof/>
          <w:sz w:val="24"/>
          <w:szCs w:val="24"/>
        </w:rPr>
        <w:t>verview of molecular mechanisms. Essays Biochem. 62: 341–360.</w:t>
      </w:r>
    </w:p>
    <w:p w14:paraId="40E54C6E" w14:textId="44617746"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[42]</w:t>
      </w:r>
      <w:r w:rsidRPr="00317506">
        <w:rPr>
          <w:rFonts w:ascii="Times New Roman" w:hAnsi="Times New Roman" w:cs="Times New Roman"/>
          <w:noProof/>
          <w:sz w:val="24"/>
          <w:szCs w:val="24"/>
        </w:rPr>
        <w:tab/>
        <w:t xml:space="preserve">Kyriakoudi S, Drousiotou A, Petrou PP (2021) When </w:t>
      </w:r>
      <w:r w:rsidR="003009BE" w:rsidRPr="00317506">
        <w:rPr>
          <w:rFonts w:ascii="Times New Roman" w:hAnsi="Times New Roman" w:cs="Times New Roman"/>
          <w:noProof/>
          <w:sz w:val="24"/>
          <w:szCs w:val="24"/>
        </w:rPr>
        <w:t xml:space="preserve">the balance tips: </w:t>
      </w:r>
      <w:r w:rsidR="00635F4F" w:rsidRPr="00317506">
        <w:rPr>
          <w:rFonts w:ascii="Times New Roman" w:hAnsi="Times New Roman" w:cs="Times New Roman"/>
          <w:noProof/>
          <w:sz w:val="24"/>
          <w:szCs w:val="24"/>
        </w:rPr>
        <w:t>D</w:t>
      </w:r>
      <w:r w:rsidR="003009BE" w:rsidRPr="00317506">
        <w:rPr>
          <w:rFonts w:ascii="Times New Roman" w:hAnsi="Times New Roman" w:cs="Times New Roman"/>
          <w:noProof/>
          <w:sz w:val="24"/>
          <w:szCs w:val="24"/>
        </w:rPr>
        <w:t>ysregulation of mitochondrial dynamics as a culprit in disease</w:t>
      </w:r>
      <w:r w:rsidRPr="00317506">
        <w:rPr>
          <w:rFonts w:ascii="Times New Roman" w:hAnsi="Times New Roman" w:cs="Times New Roman"/>
          <w:noProof/>
          <w:sz w:val="24"/>
          <w:szCs w:val="24"/>
        </w:rPr>
        <w:t>. Int. J. Mol. Sci. 22: 4617.</w:t>
      </w:r>
    </w:p>
    <w:p w14:paraId="37B201FC"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[43]</w:t>
      </w:r>
      <w:r w:rsidRPr="00317506">
        <w:rPr>
          <w:rFonts w:ascii="Times New Roman" w:hAnsi="Times New Roman" w:cs="Times New Roman"/>
          <w:noProof/>
          <w:sz w:val="24"/>
          <w:szCs w:val="24"/>
        </w:rPr>
        <w:tab/>
        <w:t>Ramachandran R (2018) Mitochondrial dynamics: The dynamin superfamily and execution by collusion. Semin. Cell Dev. Biol. 76: 201–212.</w:t>
      </w:r>
    </w:p>
    <w:p w14:paraId="4302FB36" w14:textId="1E03B3E5"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[44]</w:t>
      </w:r>
      <w:r w:rsidRPr="00317506">
        <w:rPr>
          <w:rFonts w:ascii="Times New Roman" w:hAnsi="Times New Roman" w:cs="Times New Roman"/>
          <w:noProof/>
          <w:sz w:val="24"/>
          <w:szCs w:val="24"/>
        </w:rPr>
        <w:tab/>
        <w:t xml:space="preserve">Kurland CG, Andersson SGE (2000) Origin </w:t>
      </w:r>
      <w:r w:rsidR="003009BE" w:rsidRPr="00317506">
        <w:rPr>
          <w:rFonts w:ascii="Times New Roman" w:hAnsi="Times New Roman" w:cs="Times New Roman"/>
          <w:noProof/>
          <w:sz w:val="24"/>
          <w:szCs w:val="24"/>
        </w:rPr>
        <w:t>and evolution of the mitochondrial proteome</w:t>
      </w:r>
      <w:r w:rsidRPr="00317506">
        <w:rPr>
          <w:rFonts w:ascii="Times New Roman" w:hAnsi="Times New Roman" w:cs="Times New Roman"/>
          <w:noProof/>
          <w:sz w:val="24"/>
          <w:szCs w:val="24"/>
        </w:rPr>
        <w:t>. Microbiol. Mol. Biol. Rev. 64: 786–820.</w:t>
      </w:r>
    </w:p>
    <w:p w14:paraId="646C1836" w14:textId="330E43A0"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[45]</w:t>
      </w:r>
      <w:r w:rsidRPr="00317506">
        <w:rPr>
          <w:rFonts w:ascii="Times New Roman" w:hAnsi="Times New Roman" w:cs="Times New Roman"/>
          <w:noProof/>
          <w:sz w:val="24"/>
          <w:szCs w:val="24"/>
        </w:rPr>
        <w:tab/>
        <w:t xml:space="preserve">Jedynak-Slyvka M, Jabczynska A, Szczesny RJ (2021) Human </w:t>
      </w:r>
      <w:r w:rsidR="003009BE">
        <w:rPr>
          <w:rFonts w:ascii="Times New Roman" w:hAnsi="Times New Roman" w:cs="Times New Roman"/>
          <w:noProof/>
          <w:sz w:val="24"/>
          <w:szCs w:val="24"/>
        </w:rPr>
        <w:t>m</w:t>
      </w:r>
      <w:r w:rsidRPr="00317506">
        <w:rPr>
          <w:rFonts w:ascii="Times New Roman" w:hAnsi="Times New Roman" w:cs="Times New Roman"/>
          <w:noProof/>
          <w:sz w:val="24"/>
          <w:szCs w:val="24"/>
        </w:rPr>
        <w:t xml:space="preserve">itochondrial RNA </w:t>
      </w:r>
      <w:r w:rsidR="003009BE" w:rsidRPr="00317506">
        <w:rPr>
          <w:rFonts w:ascii="Times New Roman" w:hAnsi="Times New Roman" w:cs="Times New Roman"/>
          <w:noProof/>
          <w:sz w:val="24"/>
          <w:szCs w:val="24"/>
        </w:rPr>
        <w:lastRenderedPageBreak/>
        <w:t>processing and modifications</w:t>
      </w:r>
      <w:r w:rsidRPr="00317506">
        <w:rPr>
          <w:rFonts w:ascii="Times New Roman" w:hAnsi="Times New Roman" w:cs="Times New Roman"/>
          <w:noProof/>
          <w:sz w:val="24"/>
          <w:szCs w:val="24"/>
        </w:rPr>
        <w:t>: Overview. Int. J. Mol. Sci. 22: 7999.</w:t>
      </w:r>
    </w:p>
    <w:p w14:paraId="21E9C867" w14:textId="307D99DF"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[46]</w:t>
      </w:r>
      <w:r w:rsidRPr="00317506">
        <w:rPr>
          <w:rFonts w:ascii="Times New Roman" w:hAnsi="Times New Roman" w:cs="Times New Roman"/>
          <w:noProof/>
          <w:sz w:val="24"/>
          <w:szCs w:val="24"/>
        </w:rPr>
        <w:tab/>
        <w:t xml:space="preserve">Calvo SE, Mootha VK (2010) The </w:t>
      </w:r>
      <w:r w:rsidR="003009BE" w:rsidRPr="00317506">
        <w:rPr>
          <w:rFonts w:ascii="Times New Roman" w:hAnsi="Times New Roman" w:cs="Times New Roman"/>
          <w:noProof/>
          <w:sz w:val="24"/>
          <w:szCs w:val="24"/>
        </w:rPr>
        <w:t>mitochondrial proteome and human disease</w:t>
      </w:r>
      <w:r w:rsidRPr="00317506">
        <w:rPr>
          <w:rFonts w:ascii="Times New Roman" w:hAnsi="Times New Roman" w:cs="Times New Roman"/>
          <w:noProof/>
          <w:sz w:val="24"/>
          <w:szCs w:val="24"/>
        </w:rPr>
        <w:t>. Annu. Rev. Genomics Hum. Genet. 11: 25–44.</w:t>
      </w:r>
    </w:p>
    <w:p w14:paraId="20B9E9C4"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[47]</w:t>
      </w:r>
      <w:r w:rsidRPr="00317506">
        <w:rPr>
          <w:rFonts w:ascii="Times New Roman" w:hAnsi="Times New Roman" w:cs="Times New Roman"/>
          <w:noProof/>
          <w:sz w:val="24"/>
          <w:szCs w:val="24"/>
        </w:rPr>
        <w:tab/>
        <w:t>Quirós PM, Mottis A, Auwerx J (2016) Mitonuclear communication in homeostasis and stress. Nat. Rev. Mol. Cell Biol. 17: 213–226.</w:t>
      </w:r>
    </w:p>
    <w:p w14:paraId="1749CF95" w14:textId="35963DB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[48]</w:t>
      </w:r>
      <w:r w:rsidRPr="00317506">
        <w:rPr>
          <w:rFonts w:ascii="Times New Roman" w:hAnsi="Times New Roman" w:cs="Times New Roman"/>
          <w:noProof/>
          <w:sz w:val="24"/>
          <w:szCs w:val="24"/>
        </w:rPr>
        <w:tab/>
        <w:t xml:space="preserve">Needs HI, Protasoni M, Henley JM, Prudent J, Collinson I, Pereira GC (2021) Interplay between </w:t>
      </w:r>
      <w:r w:rsidR="003009BE" w:rsidRPr="00317506">
        <w:rPr>
          <w:rFonts w:ascii="Times New Roman" w:hAnsi="Times New Roman" w:cs="Times New Roman"/>
          <w:noProof/>
          <w:sz w:val="24"/>
          <w:szCs w:val="24"/>
        </w:rPr>
        <w:t>mitochondrial protein import and respiratory complexes assembly in neuronal health and degeneration</w:t>
      </w:r>
      <w:r w:rsidRPr="00317506">
        <w:rPr>
          <w:rFonts w:ascii="Times New Roman" w:hAnsi="Times New Roman" w:cs="Times New Roman"/>
          <w:noProof/>
          <w:sz w:val="24"/>
          <w:szCs w:val="24"/>
        </w:rPr>
        <w:t>. Life. 11: 432.</w:t>
      </w:r>
    </w:p>
    <w:p w14:paraId="05AD56A2" w14:textId="6101EBF3"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[49]</w:t>
      </w:r>
      <w:r w:rsidRPr="00317506">
        <w:rPr>
          <w:rFonts w:ascii="Times New Roman" w:hAnsi="Times New Roman" w:cs="Times New Roman"/>
          <w:noProof/>
          <w:sz w:val="24"/>
          <w:szCs w:val="24"/>
        </w:rPr>
        <w:tab/>
        <w:t xml:space="preserve">Wiedemann N, Pfanner N (2017) Mitochondrial </w:t>
      </w:r>
      <w:r w:rsidR="003009BE" w:rsidRPr="00317506">
        <w:rPr>
          <w:rFonts w:ascii="Times New Roman" w:hAnsi="Times New Roman" w:cs="Times New Roman"/>
          <w:noProof/>
          <w:sz w:val="24"/>
          <w:szCs w:val="24"/>
        </w:rPr>
        <w:t>machineries for protein import and assembly</w:t>
      </w:r>
      <w:r w:rsidRPr="00317506">
        <w:rPr>
          <w:rFonts w:ascii="Times New Roman" w:hAnsi="Times New Roman" w:cs="Times New Roman"/>
          <w:noProof/>
          <w:sz w:val="24"/>
          <w:szCs w:val="24"/>
        </w:rPr>
        <w:t>. Annu. Rev. Biochem. 86: 685–714.</w:t>
      </w:r>
    </w:p>
    <w:p w14:paraId="65E12D9C"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[50]</w:t>
      </w:r>
      <w:r w:rsidRPr="00317506">
        <w:rPr>
          <w:rFonts w:ascii="Times New Roman" w:hAnsi="Times New Roman" w:cs="Times New Roman"/>
          <w:noProof/>
          <w:sz w:val="24"/>
          <w:szCs w:val="24"/>
        </w:rPr>
        <w:tab/>
        <w:t>Bykov YS, Flohr T, Boos F, Zung N, Herrmann JM, Schuldiner M (2022) Widespread use of unconventional targeting signals in mitochondrial ribosome proteins. EMBO J. 41: e109519.</w:t>
      </w:r>
    </w:p>
    <w:p w14:paraId="0A9FB2AF"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[51]</w:t>
      </w:r>
      <w:r w:rsidRPr="00317506">
        <w:rPr>
          <w:rFonts w:ascii="Times New Roman" w:hAnsi="Times New Roman" w:cs="Times New Roman"/>
          <w:noProof/>
          <w:sz w:val="24"/>
          <w:szCs w:val="24"/>
        </w:rPr>
        <w:tab/>
        <w:t>Schneider K, Zimmer D, Nielsen H, Herrmann JM, Mühlhaus T (2021) iMLP, a predictor for internal matrix targeting-like sequences in mitochondrial proteins. Biol. Chem. 402: 937–943.</w:t>
      </w:r>
    </w:p>
    <w:p w14:paraId="2B96A477"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[52]</w:t>
      </w:r>
      <w:r w:rsidRPr="00317506">
        <w:rPr>
          <w:rFonts w:ascii="Times New Roman" w:hAnsi="Times New Roman" w:cs="Times New Roman"/>
          <w:noProof/>
          <w:sz w:val="24"/>
          <w:szCs w:val="24"/>
        </w:rPr>
        <w:tab/>
        <w:t>Giacomello M, Pyakurel A, Glytsou C, Scorrano L (2020) The cell biology of mitochondrial membrane dynamics. Nat. Rev. Mol. Cell Biol. 21: 204–224.</w:t>
      </w:r>
    </w:p>
    <w:p w14:paraId="4D30283F" w14:textId="72347553"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[53]</w:t>
      </w:r>
      <w:r w:rsidRPr="00317506">
        <w:rPr>
          <w:rFonts w:ascii="Times New Roman" w:hAnsi="Times New Roman" w:cs="Times New Roman"/>
          <w:noProof/>
          <w:sz w:val="24"/>
          <w:szCs w:val="24"/>
        </w:rPr>
        <w:tab/>
        <w:t xml:space="preserve">Vaux DL, Korsmeyer SJ (1999) Cell </w:t>
      </w:r>
      <w:r w:rsidR="003009BE" w:rsidRPr="00317506">
        <w:rPr>
          <w:rFonts w:ascii="Times New Roman" w:hAnsi="Times New Roman" w:cs="Times New Roman"/>
          <w:noProof/>
          <w:sz w:val="24"/>
          <w:szCs w:val="24"/>
        </w:rPr>
        <w:t>death in development.</w:t>
      </w:r>
      <w:r w:rsidRPr="00317506">
        <w:rPr>
          <w:rFonts w:ascii="Times New Roman" w:hAnsi="Times New Roman" w:cs="Times New Roman"/>
          <w:noProof/>
          <w:sz w:val="24"/>
          <w:szCs w:val="24"/>
        </w:rPr>
        <w:t xml:space="preserve"> Cell. 96: 245–254.</w:t>
      </w:r>
    </w:p>
    <w:p w14:paraId="4B84C982"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[54]</w:t>
      </w:r>
      <w:r w:rsidRPr="00317506">
        <w:rPr>
          <w:rFonts w:ascii="Times New Roman" w:hAnsi="Times New Roman" w:cs="Times New Roman"/>
          <w:noProof/>
          <w:sz w:val="24"/>
          <w:szCs w:val="24"/>
        </w:rPr>
        <w:tab/>
        <w:t>Bock FJ, Tait SWG (2020) Mitochondria as multifaceted regulators of cell death. Nat. Rev. Mol. Cell Biol. 21: 85–100.</w:t>
      </w:r>
    </w:p>
    <w:p w14:paraId="40336B26"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[55]</w:t>
      </w:r>
      <w:r w:rsidRPr="00317506">
        <w:rPr>
          <w:rFonts w:ascii="Times New Roman" w:hAnsi="Times New Roman" w:cs="Times New Roman"/>
          <w:noProof/>
          <w:sz w:val="24"/>
          <w:szCs w:val="24"/>
        </w:rPr>
        <w:tab/>
        <w:t>Tuzlak S, Kaufmann T, Villunger A (2016) Interrogating the relevance of mitochondrial apoptosis for vertebrate development and postnatal tissue homeostasis. Genes Dev. 30: 2133–2151.</w:t>
      </w:r>
    </w:p>
    <w:p w14:paraId="0FA2725D" w14:textId="5AEE0AE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[56]</w:t>
      </w:r>
      <w:r w:rsidRPr="00317506">
        <w:rPr>
          <w:rFonts w:ascii="Times New Roman" w:hAnsi="Times New Roman" w:cs="Times New Roman"/>
          <w:noProof/>
          <w:sz w:val="24"/>
          <w:szCs w:val="24"/>
        </w:rPr>
        <w:tab/>
        <w:t xml:space="preserve">Cooper GM (2000) The </w:t>
      </w:r>
      <w:r w:rsidR="003009BE" w:rsidRPr="00317506">
        <w:rPr>
          <w:rFonts w:ascii="Times New Roman" w:hAnsi="Times New Roman" w:cs="Times New Roman"/>
          <w:noProof/>
          <w:sz w:val="24"/>
          <w:szCs w:val="24"/>
        </w:rPr>
        <w:t xml:space="preserve">cell: </w:t>
      </w:r>
      <w:r w:rsidR="00635F4F" w:rsidRPr="00317506">
        <w:rPr>
          <w:rFonts w:ascii="Times New Roman" w:hAnsi="Times New Roman" w:cs="Times New Roman"/>
          <w:noProof/>
          <w:sz w:val="24"/>
          <w:szCs w:val="24"/>
        </w:rPr>
        <w:t>A</w:t>
      </w:r>
      <w:r w:rsidR="003009BE" w:rsidRPr="00317506">
        <w:rPr>
          <w:rFonts w:ascii="Times New Roman" w:hAnsi="Times New Roman" w:cs="Times New Roman"/>
          <w:noProof/>
          <w:sz w:val="24"/>
          <w:szCs w:val="24"/>
        </w:rPr>
        <w:t xml:space="preserve"> molecular approach</w:t>
      </w:r>
      <w:r w:rsidRPr="00317506">
        <w:rPr>
          <w:rFonts w:ascii="Times New Roman" w:hAnsi="Times New Roman" w:cs="Times New Roman"/>
          <w:noProof/>
          <w:sz w:val="24"/>
          <w:szCs w:val="24"/>
        </w:rPr>
        <w:t>. 2nd ed. Sunderland (MA): Sinauer Associates.</w:t>
      </w:r>
    </w:p>
    <w:p w14:paraId="660A204A"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[57]</w:t>
      </w:r>
      <w:r w:rsidRPr="00317506">
        <w:rPr>
          <w:rFonts w:ascii="Times New Roman" w:hAnsi="Times New Roman" w:cs="Times New Roman"/>
          <w:noProof/>
          <w:sz w:val="24"/>
          <w:szCs w:val="24"/>
        </w:rPr>
        <w:tab/>
        <w:t>Zhao R, Jiang S, Zhang L, Yu Z (2019) Mitochondrial electron transport chain, ROS generation and uncoupling (Review). Int. J. Mol. Med. 44: 3.</w:t>
      </w:r>
    </w:p>
    <w:p w14:paraId="2D85B42A"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[58]</w:t>
      </w:r>
      <w:r w:rsidRPr="00317506">
        <w:rPr>
          <w:rFonts w:ascii="Times New Roman" w:hAnsi="Times New Roman" w:cs="Times New Roman"/>
          <w:noProof/>
          <w:sz w:val="24"/>
          <w:szCs w:val="24"/>
        </w:rPr>
        <w:tab/>
        <w:t xml:space="preserve">Ikon N, Ryan RO (2017) Cardiolipin and mitochondrial cristae organization. Biochim. </w:t>
      </w:r>
      <w:r w:rsidRPr="00317506">
        <w:rPr>
          <w:rFonts w:ascii="Times New Roman" w:hAnsi="Times New Roman" w:cs="Times New Roman"/>
          <w:noProof/>
          <w:sz w:val="24"/>
          <w:szCs w:val="24"/>
        </w:rPr>
        <w:lastRenderedPageBreak/>
        <w:t>Biophys. Acta - Biomembr. 1859: 1156–1163.</w:t>
      </w:r>
    </w:p>
    <w:p w14:paraId="7D5D7DB4" w14:textId="5155A10E"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[59]</w:t>
      </w:r>
      <w:r w:rsidRPr="00317506">
        <w:rPr>
          <w:rFonts w:ascii="Times New Roman" w:hAnsi="Times New Roman" w:cs="Times New Roman"/>
          <w:noProof/>
          <w:sz w:val="24"/>
          <w:szCs w:val="24"/>
        </w:rPr>
        <w:tab/>
        <w:t xml:space="preserve">Yusoff AAM, Ahmad F, Idris Z, Jaafar H, Abdullah JM (2015) Understanding </w:t>
      </w:r>
      <w:r w:rsidR="003009BE" w:rsidRPr="00317506">
        <w:rPr>
          <w:rFonts w:ascii="Times New Roman" w:hAnsi="Times New Roman" w:cs="Times New Roman"/>
          <w:noProof/>
          <w:sz w:val="24"/>
          <w:szCs w:val="24"/>
        </w:rPr>
        <w:t xml:space="preserve">mitochondrial DNA in brain tumorigenesis, in: </w:t>
      </w:r>
      <w:r w:rsidR="00934BA3">
        <w:rPr>
          <w:rFonts w:ascii="Times New Roman" w:hAnsi="Times New Roman" w:cs="Times New Roman"/>
          <w:noProof/>
          <w:sz w:val="24"/>
          <w:szCs w:val="24"/>
        </w:rPr>
        <w:t>M</w:t>
      </w:r>
      <w:r w:rsidR="003009BE" w:rsidRPr="00317506">
        <w:rPr>
          <w:rFonts w:ascii="Times New Roman" w:hAnsi="Times New Roman" w:cs="Times New Roman"/>
          <w:noProof/>
          <w:sz w:val="24"/>
          <w:szCs w:val="24"/>
        </w:rPr>
        <w:t>olecular considerations and evolving surgical management issues in the treatment of patients with a brain tumor</w:t>
      </w:r>
      <w:r w:rsidRPr="00317506">
        <w:rPr>
          <w:rFonts w:ascii="Times New Roman" w:hAnsi="Times New Roman" w:cs="Times New Roman"/>
          <w:noProof/>
          <w:sz w:val="24"/>
          <w:szCs w:val="24"/>
        </w:rPr>
        <w:t>, InTech.</w:t>
      </w:r>
    </w:p>
    <w:p w14:paraId="06AC696A"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[60]</w:t>
      </w:r>
      <w:r w:rsidRPr="00317506">
        <w:rPr>
          <w:rFonts w:ascii="Times New Roman" w:hAnsi="Times New Roman" w:cs="Times New Roman"/>
          <w:noProof/>
          <w:sz w:val="24"/>
          <w:szCs w:val="24"/>
        </w:rPr>
        <w:tab/>
        <w:t>Lascu I, Gonin P (2000) The catalytic mechanism of nucleoside diphosphate kinases. J. Bioenerg. Biomembr. 32: 237–46.</w:t>
      </w:r>
    </w:p>
    <w:p w14:paraId="1F54C746" w14:textId="38FC1A4F"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[61]</w:t>
      </w:r>
      <w:r w:rsidRPr="00317506">
        <w:rPr>
          <w:rFonts w:ascii="Times New Roman" w:hAnsi="Times New Roman" w:cs="Times New Roman"/>
          <w:noProof/>
          <w:sz w:val="24"/>
          <w:szCs w:val="24"/>
        </w:rPr>
        <w:tab/>
        <w:t xml:space="preserve">Schlattner U (2021) The </w:t>
      </w:r>
      <w:r w:rsidR="00934BA3" w:rsidRPr="00317506">
        <w:rPr>
          <w:rFonts w:ascii="Times New Roman" w:hAnsi="Times New Roman" w:cs="Times New Roman"/>
          <w:noProof/>
          <w:sz w:val="24"/>
          <w:szCs w:val="24"/>
        </w:rPr>
        <w:t xml:space="preserve">complex functions </w:t>
      </w:r>
      <w:r w:rsidRPr="00317506">
        <w:rPr>
          <w:rFonts w:ascii="Times New Roman" w:hAnsi="Times New Roman" w:cs="Times New Roman"/>
          <w:noProof/>
          <w:sz w:val="24"/>
          <w:szCs w:val="24"/>
        </w:rPr>
        <w:t xml:space="preserve">of the NME </w:t>
      </w:r>
      <w:r w:rsidR="00934BA3">
        <w:rPr>
          <w:rFonts w:ascii="Times New Roman" w:hAnsi="Times New Roman" w:cs="Times New Roman"/>
          <w:noProof/>
          <w:sz w:val="24"/>
          <w:szCs w:val="24"/>
        </w:rPr>
        <w:t>f</w:t>
      </w:r>
      <w:r w:rsidRPr="00317506">
        <w:rPr>
          <w:rFonts w:ascii="Times New Roman" w:hAnsi="Times New Roman" w:cs="Times New Roman"/>
          <w:noProof/>
          <w:sz w:val="24"/>
          <w:szCs w:val="24"/>
        </w:rPr>
        <w:t xml:space="preserve">amily—A </w:t>
      </w:r>
      <w:r w:rsidR="00934BA3" w:rsidRPr="00317506">
        <w:rPr>
          <w:rFonts w:ascii="Times New Roman" w:hAnsi="Times New Roman" w:cs="Times New Roman"/>
          <w:noProof/>
          <w:sz w:val="24"/>
          <w:szCs w:val="24"/>
        </w:rPr>
        <w:t>matter of location and molecular activity</w:t>
      </w:r>
      <w:r w:rsidRPr="00317506">
        <w:rPr>
          <w:rFonts w:ascii="Times New Roman" w:hAnsi="Times New Roman" w:cs="Times New Roman"/>
          <w:noProof/>
          <w:sz w:val="24"/>
          <w:szCs w:val="24"/>
        </w:rPr>
        <w:t>. Int. J. Mol. Sci. 22: 13083.</w:t>
      </w:r>
    </w:p>
    <w:p w14:paraId="126D9203"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[62]</w:t>
      </w:r>
      <w:r w:rsidRPr="00317506">
        <w:rPr>
          <w:rFonts w:ascii="Times New Roman" w:hAnsi="Times New Roman" w:cs="Times New Roman"/>
          <w:noProof/>
          <w:sz w:val="24"/>
          <w:szCs w:val="24"/>
        </w:rPr>
        <w:tab/>
        <w:t>Norman AW, Wedding RT, Black MK (1965) Detection of phosphohistidine in nucleoside diphosphokinase isolated from Jerusalem artichoke mitochondria. Biochem. Biophys. Res. Commun. 20: 703–709.</w:t>
      </w:r>
    </w:p>
    <w:p w14:paraId="10873ECE"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[63]</w:t>
      </w:r>
      <w:r w:rsidRPr="00317506">
        <w:rPr>
          <w:rFonts w:ascii="Times New Roman" w:hAnsi="Times New Roman" w:cs="Times New Roman"/>
          <w:noProof/>
          <w:sz w:val="24"/>
          <w:szCs w:val="24"/>
        </w:rPr>
        <w:tab/>
        <w:t>Cleland WW (1963) The kinetics of enzyme-catalyzed reactions with two or more substrates or products. I. Nomenclature and rate equations. Biochim. Biophys. Acta. 67: 104–137.</w:t>
      </w:r>
    </w:p>
    <w:p w14:paraId="2F8123C7" w14:textId="0BCBA0C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[64]</w:t>
      </w:r>
      <w:r w:rsidRPr="00317506">
        <w:rPr>
          <w:rFonts w:ascii="Times New Roman" w:hAnsi="Times New Roman" w:cs="Times New Roman"/>
          <w:noProof/>
          <w:sz w:val="24"/>
          <w:szCs w:val="24"/>
        </w:rPr>
        <w:tab/>
        <w:t>Fuhs SR, Meisenhelder J, Aslanian A, Ma L, Zagorska A, Stankova M, Binnie A, Al-Obeidi F, Mauger J, Lemke G, Yates JR, Hunter T (2015) Monoclonal 1- and 3-</w:t>
      </w:r>
      <w:r w:rsidR="00934BA3" w:rsidRPr="00317506">
        <w:rPr>
          <w:rFonts w:ascii="Times New Roman" w:hAnsi="Times New Roman" w:cs="Times New Roman"/>
          <w:noProof/>
          <w:sz w:val="24"/>
          <w:szCs w:val="24"/>
        </w:rPr>
        <w:t xml:space="preserve">phosphohistidine antibodies: </w:t>
      </w:r>
      <w:r w:rsidR="00635F4F" w:rsidRPr="00317506">
        <w:rPr>
          <w:rFonts w:ascii="Times New Roman" w:hAnsi="Times New Roman" w:cs="Times New Roman"/>
          <w:noProof/>
          <w:sz w:val="24"/>
          <w:szCs w:val="24"/>
        </w:rPr>
        <w:t>N</w:t>
      </w:r>
      <w:r w:rsidR="00934BA3" w:rsidRPr="00317506">
        <w:rPr>
          <w:rFonts w:ascii="Times New Roman" w:hAnsi="Times New Roman" w:cs="Times New Roman"/>
          <w:noProof/>
          <w:sz w:val="24"/>
          <w:szCs w:val="24"/>
        </w:rPr>
        <w:t>ew tools to study histidine phosphorylation</w:t>
      </w:r>
      <w:r w:rsidRPr="00317506">
        <w:rPr>
          <w:rFonts w:ascii="Times New Roman" w:hAnsi="Times New Roman" w:cs="Times New Roman"/>
          <w:noProof/>
          <w:sz w:val="24"/>
          <w:szCs w:val="24"/>
        </w:rPr>
        <w:t>. Cell. 162: 198–210.</w:t>
      </w:r>
    </w:p>
    <w:p w14:paraId="084652F4"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[65]</w:t>
      </w:r>
      <w:r w:rsidRPr="00317506">
        <w:rPr>
          <w:rFonts w:ascii="Times New Roman" w:hAnsi="Times New Roman" w:cs="Times New Roman"/>
          <w:noProof/>
          <w:sz w:val="24"/>
          <w:szCs w:val="24"/>
        </w:rPr>
        <w:tab/>
        <w:t>Yu H, Rao X, Zhang K (2017) Nucleoside diphosphate kinase (Ndk): A pleiotropic effector manipulating bacterial virulence and adaptive responses. Microbiol. Res. 205: 125–134.</w:t>
      </w:r>
    </w:p>
    <w:p w14:paraId="0CE8FCF6" w14:textId="2EB56344"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[66]</w:t>
      </w:r>
      <w:r w:rsidRPr="00317506">
        <w:rPr>
          <w:rFonts w:ascii="Times New Roman" w:hAnsi="Times New Roman" w:cs="Times New Roman"/>
          <w:noProof/>
          <w:sz w:val="24"/>
          <w:szCs w:val="24"/>
        </w:rPr>
        <w:tab/>
        <w:t xml:space="preserve">Lascu I, Giartosio S, Ransac A, Erent M (2000) Quaternary </w:t>
      </w:r>
      <w:r w:rsidR="00934BA3" w:rsidRPr="00317506">
        <w:rPr>
          <w:rFonts w:ascii="Times New Roman" w:hAnsi="Times New Roman" w:cs="Times New Roman"/>
          <w:noProof/>
          <w:sz w:val="24"/>
          <w:szCs w:val="24"/>
        </w:rPr>
        <w:t>structure of nucleoside diphosphate kinases</w:t>
      </w:r>
      <w:r w:rsidRPr="00317506">
        <w:rPr>
          <w:rFonts w:ascii="Times New Roman" w:hAnsi="Times New Roman" w:cs="Times New Roman"/>
          <w:noProof/>
          <w:sz w:val="24"/>
          <w:szCs w:val="24"/>
        </w:rPr>
        <w:t>. J. Bioenerg. Biomembr. 32: 227–236.</w:t>
      </w:r>
    </w:p>
    <w:p w14:paraId="613D242F"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[67]</w:t>
      </w:r>
      <w:r w:rsidRPr="00317506">
        <w:rPr>
          <w:rFonts w:ascii="Times New Roman" w:hAnsi="Times New Roman" w:cs="Times New Roman"/>
          <w:noProof/>
          <w:sz w:val="24"/>
          <w:szCs w:val="24"/>
        </w:rPr>
        <w:tab/>
        <w:t>Lascu I, Chaffotte A, Limbourg-Bouchon B, Véron M (1992) A Pro/Ser substitution in nucleoside diphosphate kinase of</w:t>
      </w:r>
      <w:r w:rsidRPr="00934BA3">
        <w:rPr>
          <w:rFonts w:ascii="Times New Roman" w:hAnsi="Times New Roman" w:cs="Times New Roman"/>
          <w:i/>
          <w:noProof/>
          <w:sz w:val="24"/>
          <w:szCs w:val="24"/>
        </w:rPr>
        <w:t xml:space="preserve"> Drosophila melanogaster</w:t>
      </w:r>
      <w:r w:rsidRPr="00317506">
        <w:rPr>
          <w:rFonts w:ascii="Times New Roman" w:hAnsi="Times New Roman" w:cs="Times New Roman"/>
          <w:noProof/>
          <w:sz w:val="24"/>
          <w:szCs w:val="24"/>
        </w:rPr>
        <w:t xml:space="preserve"> (mutation killer of prune) affects stability but not catalytic efficiency of the enzyme. J. Biol. Chem. 267: 12775–12781.</w:t>
      </w:r>
    </w:p>
    <w:p w14:paraId="01A20F79"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[68]</w:t>
      </w:r>
      <w:r w:rsidRPr="00317506">
        <w:rPr>
          <w:rFonts w:ascii="Times New Roman" w:hAnsi="Times New Roman" w:cs="Times New Roman"/>
          <w:noProof/>
          <w:sz w:val="24"/>
          <w:szCs w:val="24"/>
        </w:rPr>
        <w:tab/>
        <w:t>Dumas C, Lascu I, Moréra S, Glaser P, Fourme R, Wallet V, Lacombe ML, Véron M, Janin J (1992) X-ray structure of nucleoside diphosphate kinase. EMBO J. 11: 3203–3208.</w:t>
      </w:r>
    </w:p>
    <w:p w14:paraId="413833C1"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lastRenderedPageBreak/>
        <w:t>[69]</w:t>
      </w:r>
      <w:r w:rsidRPr="00317506">
        <w:rPr>
          <w:rFonts w:ascii="Times New Roman" w:hAnsi="Times New Roman" w:cs="Times New Roman"/>
          <w:noProof/>
          <w:sz w:val="24"/>
          <w:szCs w:val="24"/>
        </w:rPr>
        <w:tab/>
        <w:t xml:space="preserve">Chiadmi M, Moréra S, Lascu I, Dumas C, Bras G Le, Véron M, Janin J (1993) Crystal structure of the Awd nucleotide diphosphate kinase from </w:t>
      </w:r>
      <w:r w:rsidRPr="00934BA3">
        <w:rPr>
          <w:rFonts w:ascii="Times New Roman" w:hAnsi="Times New Roman" w:cs="Times New Roman"/>
          <w:i/>
          <w:noProof/>
          <w:sz w:val="24"/>
          <w:szCs w:val="24"/>
        </w:rPr>
        <w:t>Drosophila</w:t>
      </w:r>
      <w:r w:rsidRPr="00317506">
        <w:rPr>
          <w:rFonts w:ascii="Times New Roman" w:hAnsi="Times New Roman" w:cs="Times New Roman"/>
          <w:noProof/>
          <w:sz w:val="24"/>
          <w:szCs w:val="24"/>
        </w:rPr>
        <w:t>. Structure. 1: 283–293.</w:t>
      </w:r>
    </w:p>
    <w:p w14:paraId="24263FB1"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[70]</w:t>
      </w:r>
      <w:r w:rsidRPr="00317506">
        <w:rPr>
          <w:rFonts w:ascii="Times New Roman" w:hAnsi="Times New Roman" w:cs="Times New Roman"/>
          <w:noProof/>
          <w:sz w:val="24"/>
          <w:szCs w:val="24"/>
        </w:rPr>
        <w:tab/>
        <w:t xml:space="preserve">Lascu I, Deville-Bonne D, Glaser P, Véron M (1993) Equilibrium dissociation and unfolding of nucleoside diphosphate kinase from </w:t>
      </w:r>
      <w:r w:rsidRPr="00934BA3">
        <w:rPr>
          <w:rFonts w:ascii="Times New Roman" w:hAnsi="Times New Roman" w:cs="Times New Roman"/>
          <w:i/>
          <w:noProof/>
          <w:sz w:val="24"/>
          <w:szCs w:val="24"/>
        </w:rPr>
        <w:t>Dictyostelium discoideum</w:t>
      </w:r>
      <w:r w:rsidRPr="00317506">
        <w:rPr>
          <w:rFonts w:ascii="Times New Roman" w:hAnsi="Times New Roman" w:cs="Times New Roman"/>
          <w:noProof/>
          <w:sz w:val="24"/>
          <w:szCs w:val="24"/>
        </w:rPr>
        <w:t>. Role of proline 100 in the stability of the hexameric enzyme. J. Biol. Chem. 268: 20268–20275.</w:t>
      </w:r>
    </w:p>
    <w:p w14:paraId="6A6640AA" w14:textId="132C1EF4"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[71]</w:t>
      </w:r>
      <w:r w:rsidRPr="00317506">
        <w:rPr>
          <w:rFonts w:ascii="Times New Roman" w:hAnsi="Times New Roman" w:cs="Times New Roman"/>
          <w:noProof/>
          <w:sz w:val="24"/>
          <w:szCs w:val="24"/>
        </w:rPr>
        <w:tab/>
        <w:t xml:space="preserve">Sedmak J, Ramaley R (1971) Purification and </w:t>
      </w:r>
      <w:r w:rsidR="00934BA3" w:rsidRPr="00317506">
        <w:rPr>
          <w:rFonts w:ascii="Times New Roman" w:hAnsi="Times New Roman" w:cs="Times New Roman"/>
          <w:noProof/>
          <w:sz w:val="24"/>
          <w:szCs w:val="24"/>
        </w:rPr>
        <w:t xml:space="preserve">properties of </w:t>
      </w:r>
      <w:r w:rsidR="00EF42EB">
        <w:rPr>
          <w:rFonts w:ascii="Times New Roman" w:hAnsi="Times New Roman" w:cs="Times New Roman"/>
          <w:i/>
          <w:noProof/>
          <w:sz w:val="24"/>
          <w:szCs w:val="24"/>
        </w:rPr>
        <w:t>B</w:t>
      </w:r>
      <w:r w:rsidR="00934BA3" w:rsidRPr="00934BA3">
        <w:rPr>
          <w:rFonts w:ascii="Times New Roman" w:hAnsi="Times New Roman" w:cs="Times New Roman"/>
          <w:i/>
          <w:noProof/>
          <w:sz w:val="24"/>
          <w:szCs w:val="24"/>
        </w:rPr>
        <w:t>acillus subtilis</w:t>
      </w:r>
      <w:r w:rsidR="00934BA3" w:rsidRPr="00317506">
        <w:rPr>
          <w:rFonts w:ascii="Times New Roman" w:hAnsi="Times New Roman" w:cs="Times New Roman"/>
          <w:noProof/>
          <w:sz w:val="24"/>
          <w:szCs w:val="24"/>
        </w:rPr>
        <w:t xml:space="preserve"> nucleoside diphosphokinase</w:t>
      </w:r>
      <w:r w:rsidRPr="00317506">
        <w:rPr>
          <w:rFonts w:ascii="Times New Roman" w:hAnsi="Times New Roman" w:cs="Times New Roman"/>
          <w:noProof/>
          <w:sz w:val="24"/>
          <w:szCs w:val="24"/>
        </w:rPr>
        <w:t>. J. Biol. Chem. 246: 5365–5372.</w:t>
      </w:r>
    </w:p>
    <w:p w14:paraId="6FCBB204"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[72]</w:t>
      </w:r>
      <w:r w:rsidRPr="00317506">
        <w:rPr>
          <w:rFonts w:ascii="Times New Roman" w:hAnsi="Times New Roman" w:cs="Times New Roman"/>
          <w:noProof/>
          <w:sz w:val="24"/>
          <w:szCs w:val="24"/>
        </w:rPr>
        <w:tab/>
        <w:t xml:space="preserve">Moynié L, Giraud M-F, Georgescauld F, Lascu I, Dautant A (2007) The structure of the </w:t>
      </w:r>
      <w:r w:rsidRPr="00934BA3">
        <w:rPr>
          <w:rFonts w:ascii="Times New Roman" w:hAnsi="Times New Roman" w:cs="Times New Roman"/>
          <w:i/>
          <w:noProof/>
          <w:sz w:val="24"/>
          <w:szCs w:val="24"/>
        </w:rPr>
        <w:t>Escherichia coli</w:t>
      </w:r>
      <w:r w:rsidRPr="00317506">
        <w:rPr>
          <w:rFonts w:ascii="Times New Roman" w:hAnsi="Times New Roman" w:cs="Times New Roman"/>
          <w:noProof/>
          <w:sz w:val="24"/>
          <w:szCs w:val="24"/>
        </w:rPr>
        <w:t xml:space="preserve"> nucleoside diphosphate kinase reveals a new quaternary architecture for this enzyme family. Proteins Struct. Funct. Bioinforma. 67: 755–765.</w:t>
      </w:r>
    </w:p>
    <w:p w14:paraId="747931BF" w14:textId="778EB37B"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[73]</w:t>
      </w:r>
      <w:r w:rsidRPr="00317506">
        <w:rPr>
          <w:rFonts w:ascii="Times New Roman" w:hAnsi="Times New Roman" w:cs="Times New Roman"/>
          <w:noProof/>
          <w:sz w:val="24"/>
          <w:szCs w:val="24"/>
        </w:rPr>
        <w:tab/>
        <w:t xml:space="preserve">Williams RL, Oren DA, Muñoz-Dorado J, Inouye S, Inouye M, Arnold E (1993) Crystal </w:t>
      </w:r>
      <w:r w:rsidR="00934BA3">
        <w:rPr>
          <w:rFonts w:ascii="Times New Roman" w:hAnsi="Times New Roman" w:cs="Times New Roman"/>
          <w:noProof/>
          <w:sz w:val="24"/>
          <w:szCs w:val="24"/>
        </w:rPr>
        <w:t>s</w:t>
      </w:r>
      <w:r w:rsidRPr="00317506">
        <w:rPr>
          <w:rFonts w:ascii="Times New Roman" w:hAnsi="Times New Roman" w:cs="Times New Roman"/>
          <w:noProof/>
          <w:sz w:val="24"/>
          <w:szCs w:val="24"/>
        </w:rPr>
        <w:t xml:space="preserve">tructure of </w:t>
      </w:r>
      <w:r w:rsidRPr="00934BA3">
        <w:rPr>
          <w:rFonts w:ascii="Times New Roman" w:hAnsi="Times New Roman" w:cs="Times New Roman"/>
          <w:i/>
          <w:noProof/>
          <w:sz w:val="24"/>
          <w:szCs w:val="24"/>
        </w:rPr>
        <w:t>Myxococcus xanthus</w:t>
      </w:r>
      <w:r w:rsidRPr="00317506">
        <w:rPr>
          <w:rFonts w:ascii="Times New Roman" w:hAnsi="Times New Roman" w:cs="Times New Roman"/>
          <w:noProof/>
          <w:sz w:val="24"/>
          <w:szCs w:val="24"/>
        </w:rPr>
        <w:t xml:space="preserve"> </w:t>
      </w:r>
      <w:r w:rsidR="00934BA3" w:rsidRPr="00317506">
        <w:rPr>
          <w:rFonts w:ascii="Times New Roman" w:hAnsi="Times New Roman" w:cs="Times New Roman"/>
          <w:noProof/>
          <w:sz w:val="24"/>
          <w:szCs w:val="24"/>
        </w:rPr>
        <w:t>nucleoside diphosphate kinase and its interaction with a nucleotide substrate at 2·0 å resolution</w:t>
      </w:r>
      <w:r w:rsidRPr="00317506">
        <w:rPr>
          <w:rFonts w:ascii="Times New Roman" w:hAnsi="Times New Roman" w:cs="Times New Roman"/>
          <w:noProof/>
          <w:sz w:val="24"/>
          <w:szCs w:val="24"/>
        </w:rPr>
        <w:t>. J. Mol. Biol. 234: 1230–1247.</w:t>
      </w:r>
    </w:p>
    <w:p w14:paraId="6876549C" w14:textId="3504A85A"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[74]</w:t>
      </w:r>
      <w:r w:rsidRPr="00317506">
        <w:rPr>
          <w:rFonts w:ascii="Times New Roman" w:hAnsi="Times New Roman" w:cs="Times New Roman"/>
          <w:noProof/>
          <w:sz w:val="24"/>
          <w:szCs w:val="24"/>
        </w:rPr>
        <w:tab/>
        <w:t xml:space="preserve">Ginther CL, Ingraham JL (1974) Nucleoside </w:t>
      </w:r>
      <w:r w:rsidR="00934BA3">
        <w:rPr>
          <w:rFonts w:ascii="Times New Roman" w:hAnsi="Times New Roman" w:cs="Times New Roman"/>
          <w:noProof/>
          <w:sz w:val="24"/>
          <w:szCs w:val="24"/>
        </w:rPr>
        <w:t>d</w:t>
      </w:r>
      <w:r w:rsidRPr="00317506">
        <w:rPr>
          <w:rFonts w:ascii="Times New Roman" w:hAnsi="Times New Roman" w:cs="Times New Roman"/>
          <w:noProof/>
          <w:sz w:val="24"/>
          <w:szCs w:val="24"/>
        </w:rPr>
        <w:t xml:space="preserve">iphosphokinase of </w:t>
      </w:r>
      <w:r w:rsidRPr="00934BA3">
        <w:rPr>
          <w:rFonts w:ascii="Times New Roman" w:hAnsi="Times New Roman" w:cs="Times New Roman"/>
          <w:i/>
          <w:noProof/>
          <w:sz w:val="24"/>
          <w:szCs w:val="24"/>
        </w:rPr>
        <w:t>Salmonella typhimurium</w:t>
      </w:r>
      <w:r w:rsidRPr="00317506">
        <w:rPr>
          <w:rFonts w:ascii="Times New Roman" w:hAnsi="Times New Roman" w:cs="Times New Roman"/>
          <w:noProof/>
          <w:sz w:val="24"/>
          <w:szCs w:val="24"/>
        </w:rPr>
        <w:t>. J. Biol. Chem. 249: 3406–3411.</w:t>
      </w:r>
    </w:p>
    <w:p w14:paraId="1E98D7FD"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[75]</w:t>
      </w:r>
      <w:r w:rsidRPr="00317506">
        <w:rPr>
          <w:rFonts w:ascii="Times New Roman" w:hAnsi="Times New Roman" w:cs="Times New Roman"/>
          <w:noProof/>
          <w:sz w:val="24"/>
          <w:szCs w:val="24"/>
        </w:rPr>
        <w:tab/>
        <w:t xml:space="preserve">Muñoz-Dorado J, Inouye S, Inouye M (1990) Nucleoside diphosphate kinase from </w:t>
      </w:r>
      <w:r w:rsidRPr="00934BA3">
        <w:rPr>
          <w:rFonts w:ascii="Times New Roman" w:hAnsi="Times New Roman" w:cs="Times New Roman"/>
          <w:i/>
          <w:noProof/>
          <w:sz w:val="24"/>
          <w:szCs w:val="24"/>
        </w:rPr>
        <w:t>Myxococcus xanthus</w:t>
      </w:r>
      <w:r w:rsidRPr="00317506">
        <w:rPr>
          <w:rFonts w:ascii="Times New Roman" w:hAnsi="Times New Roman" w:cs="Times New Roman"/>
          <w:noProof/>
          <w:sz w:val="24"/>
          <w:szCs w:val="24"/>
        </w:rPr>
        <w:t>. II. Biochemical characterization. J. Biol. Chem. 265: 2707–2712.</w:t>
      </w:r>
    </w:p>
    <w:p w14:paraId="68A2CD4A" w14:textId="4665E6F4"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[76]</w:t>
      </w:r>
      <w:r w:rsidRPr="00317506">
        <w:rPr>
          <w:rFonts w:ascii="Times New Roman" w:hAnsi="Times New Roman" w:cs="Times New Roman"/>
          <w:noProof/>
          <w:sz w:val="24"/>
          <w:szCs w:val="24"/>
        </w:rPr>
        <w:tab/>
        <w:t xml:space="preserve">Mesnildrey S, Agou F, Karlsson A, Bonne DD, Véron M (1998) Coupling between </w:t>
      </w:r>
      <w:r w:rsidR="00934BA3" w:rsidRPr="00317506">
        <w:rPr>
          <w:rFonts w:ascii="Times New Roman" w:hAnsi="Times New Roman" w:cs="Times New Roman"/>
          <w:noProof/>
          <w:sz w:val="24"/>
          <w:szCs w:val="24"/>
        </w:rPr>
        <w:t>catalysis and oligomeric structure in nucleoside diphosphate kinase</w:t>
      </w:r>
      <w:r w:rsidRPr="00317506">
        <w:rPr>
          <w:rFonts w:ascii="Times New Roman" w:hAnsi="Times New Roman" w:cs="Times New Roman"/>
          <w:noProof/>
          <w:sz w:val="24"/>
          <w:szCs w:val="24"/>
        </w:rPr>
        <w:t>. J. Biol. Chem. 273: 4436–4442.</w:t>
      </w:r>
    </w:p>
    <w:p w14:paraId="48AA7B8E" w14:textId="2962337C"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[77]</w:t>
      </w:r>
      <w:r w:rsidRPr="00317506">
        <w:rPr>
          <w:rFonts w:ascii="Times New Roman" w:hAnsi="Times New Roman" w:cs="Times New Roman"/>
          <w:noProof/>
          <w:sz w:val="24"/>
          <w:szCs w:val="24"/>
        </w:rPr>
        <w:tab/>
        <w:t xml:space="preserve">Sturtevant AH (1956) A </w:t>
      </w:r>
      <w:r w:rsidR="00934BA3" w:rsidRPr="00317506">
        <w:rPr>
          <w:rFonts w:ascii="Times New Roman" w:hAnsi="Times New Roman" w:cs="Times New Roman"/>
          <w:noProof/>
          <w:sz w:val="24"/>
          <w:szCs w:val="24"/>
        </w:rPr>
        <w:t xml:space="preserve">highly specific complementary lethal system in </w:t>
      </w:r>
      <w:r w:rsidR="00934BA3" w:rsidRPr="00934BA3">
        <w:rPr>
          <w:rFonts w:ascii="Times New Roman" w:hAnsi="Times New Roman" w:cs="Times New Roman"/>
          <w:i/>
          <w:noProof/>
          <w:sz w:val="24"/>
          <w:szCs w:val="24"/>
        </w:rPr>
        <w:t>Drosophila melanogaster</w:t>
      </w:r>
      <w:r w:rsidRPr="00317506">
        <w:rPr>
          <w:rFonts w:ascii="Times New Roman" w:hAnsi="Times New Roman" w:cs="Times New Roman"/>
          <w:noProof/>
          <w:sz w:val="24"/>
          <w:szCs w:val="24"/>
        </w:rPr>
        <w:t>. Genetics. 41: 118–23.</w:t>
      </w:r>
    </w:p>
    <w:p w14:paraId="4F52D119"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[78]</w:t>
      </w:r>
      <w:r w:rsidRPr="00317506">
        <w:rPr>
          <w:rFonts w:ascii="Times New Roman" w:hAnsi="Times New Roman" w:cs="Times New Roman"/>
          <w:noProof/>
          <w:sz w:val="24"/>
          <w:szCs w:val="24"/>
        </w:rPr>
        <w:tab/>
        <w:t>Khan I, Steeg PS (2018) The relationship of NM23 (NME) metastasis suppressor histidine phosphorylation to its nucleoside diphosphate kinase, histidine protein kinase and motility suppression activities. Oncotarget. 9: 10185–10202.</w:t>
      </w:r>
    </w:p>
    <w:p w14:paraId="372C961B" w14:textId="7D2007FF"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[79]</w:t>
      </w:r>
      <w:r w:rsidRPr="00317506">
        <w:rPr>
          <w:rFonts w:ascii="Times New Roman" w:hAnsi="Times New Roman" w:cs="Times New Roman"/>
          <w:noProof/>
          <w:sz w:val="24"/>
          <w:szCs w:val="24"/>
        </w:rPr>
        <w:tab/>
        <w:t xml:space="preserve">Karlsson A, Mesnildrey S, Xu Y, Moréra S, Janin J, Véron M (1996) Nucleoside </w:t>
      </w:r>
      <w:r w:rsidR="00934BA3" w:rsidRPr="00317506">
        <w:rPr>
          <w:rFonts w:ascii="Times New Roman" w:hAnsi="Times New Roman" w:cs="Times New Roman"/>
          <w:noProof/>
          <w:sz w:val="24"/>
          <w:szCs w:val="24"/>
        </w:rPr>
        <w:t>diphosphate kinase</w:t>
      </w:r>
      <w:r w:rsidRPr="00317506">
        <w:rPr>
          <w:rFonts w:ascii="Times New Roman" w:hAnsi="Times New Roman" w:cs="Times New Roman"/>
          <w:noProof/>
          <w:sz w:val="24"/>
          <w:szCs w:val="24"/>
        </w:rPr>
        <w:t>. J. Biol. Chem. 271: 19928–19934.</w:t>
      </w:r>
    </w:p>
    <w:p w14:paraId="44876479" w14:textId="63C19196"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[80]</w:t>
      </w:r>
      <w:r w:rsidRPr="00317506">
        <w:rPr>
          <w:rFonts w:ascii="Times New Roman" w:hAnsi="Times New Roman" w:cs="Times New Roman"/>
          <w:noProof/>
          <w:sz w:val="24"/>
          <w:szCs w:val="24"/>
        </w:rPr>
        <w:tab/>
        <w:t xml:space="preserve">Boissan M, Dabernat S, Peuchant E, Schlattner U, Lascu I, Lacombe M-L (2009) The </w:t>
      </w:r>
      <w:r w:rsidRPr="00317506">
        <w:rPr>
          <w:rFonts w:ascii="Times New Roman" w:hAnsi="Times New Roman" w:cs="Times New Roman"/>
          <w:noProof/>
          <w:sz w:val="24"/>
          <w:szCs w:val="24"/>
        </w:rPr>
        <w:lastRenderedPageBreak/>
        <w:t xml:space="preserve">mammalian Nm23/NDPK family: </w:t>
      </w:r>
      <w:r w:rsidR="00635F4F" w:rsidRPr="00317506">
        <w:rPr>
          <w:rFonts w:ascii="Times New Roman" w:hAnsi="Times New Roman" w:cs="Times New Roman"/>
          <w:noProof/>
          <w:sz w:val="24"/>
          <w:szCs w:val="24"/>
        </w:rPr>
        <w:t>F</w:t>
      </w:r>
      <w:r w:rsidRPr="00317506">
        <w:rPr>
          <w:rFonts w:ascii="Times New Roman" w:hAnsi="Times New Roman" w:cs="Times New Roman"/>
          <w:noProof/>
          <w:sz w:val="24"/>
          <w:szCs w:val="24"/>
        </w:rPr>
        <w:t>rom metastasis control to cilia movement. Mol. Cell. Biochem. 329: 51–62.</w:t>
      </w:r>
    </w:p>
    <w:p w14:paraId="1926478E"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[81]</w:t>
      </w:r>
      <w:r w:rsidRPr="00317506">
        <w:rPr>
          <w:rFonts w:ascii="Times New Roman" w:hAnsi="Times New Roman" w:cs="Times New Roman"/>
          <w:noProof/>
          <w:sz w:val="24"/>
          <w:szCs w:val="24"/>
        </w:rPr>
        <w:tab/>
        <w:t>Proust B, Radić M, Vidaček NŠ, Cottet C, Attia S, Lamarche F, Ačkar L, Mikulčić VG, Tokarska-Schlattner M, Ćetković H, Schlattner U, Bosnar MH (2021) NME6 is a phosphotransfer-inactive, monomeric NME/NDPK family member and functions in complexes at the interface of mitochondrial inner membrane and matrix. Cell Biosci. 11: 195.</w:t>
      </w:r>
    </w:p>
    <w:p w14:paraId="6C93E501"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[82]</w:t>
      </w:r>
      <w:r w:rsidRPr="00317506">
        <w:rPr>
          <w:rFonts w:ascii="Times New Roman" w:hAnsi="Times New Roman" w:cs="Times New Roman"/>
          <w:noProof/>
          <w:sz w:val="24"/>
          <w:szCs w:val="24"/>
        </w:rPr>
        <w:tab/>
        <w:t>Hartsough MT, Steeg PS (2000) Nm23/nucleoside diphosphate kinase in human cancers. J. Bioenerg. Biomembr. 32: 301–308.</w:t>
      </w:r>
    </w:p>
    <w:p w14:paraId="00C55014" w14:textId="4DD9CD5A"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[83]</w:t>
      </w:r>
      <w:r w:rsidRPr="00317506">
        <w:rPr>
          <w:rFonts w:ascii="Times New Roman" w:hAnsi="Times New Roman" w:cs="Times New Roman"/>
          <w:noProof/>
          <w:sz w:val="24"/>
          <w:szCs w:val="24"/>
        </w:rPr>
        <w:tab/>
        <w:t xml:space="preserve">Li Y, Tong Y, Wong YH (2015) Regulatory functions of Nm23-H2 in tumorigenesis: </w:t>
      </w:r>
      <w:r w:rsidR="00635F4F" w:rsidRPr="00317506">
        <w:rPr>
          <w:rFonts w:ascii="Times New Roman" w:hAnsi="Times New Roman" w:cs="Times New Roman"/>
          <w:noProof/>
          <w:sz w:val="24"/>
          <w:szCs w:val="24"/>
        </w:rPr>
        <w:t>I</w:t>
      </w:r>
      <w:r w:rsidRPr="00317506">
        <w:rPr>
          <w:rFonts w:ascii="Times New Roman" w:hAnsi="Times New Roman" w:cs="Times New Roman"/>
          <w:noProof/>
          <w:sz w:val="24"/>
          <w:szCs w:val="24"/>
        </w:rPr>
        <w:t>nsights from biochemical to clinical perspectives. Naunyn. Schmiedebergs. Arch. Pharmacol. 388: 243–256.</w:t>
      </w:r>
    </w:p>
    <w:p w14:paraId="2C9DB45B" w14:textId="0988C645"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[84]</w:t>
      </w:r>
      <w:r w:rsidRPr="00317506">
        <w:rPr>
          <w:rFonts w:ascii="Times New Roman" w:hAnsi="Times New Roman" w:cs="Times New Roman"/>
          <w:noProof/>
          <w:sz w:val="24"/>
          <w:szCs w:val="24"/>
        </w:rPr>
        <w:tab/>
        <w:t xml:space="preserve">Hippe H-J, Luedde M, Lutz S, Koehler H, Eschenhagen T, Frey N, Katus HA, Wieland T, Niroomand F (2007) Regulation of </w:t>
      </w:r>
      <w:r w:rsidR="00934BA3">
        <w:rPr>
          <w:rFonts w:ascii="Times New Roman" w:hAnsi="Times New Roman" w:cs="Times New Roman"/>
          <w:noProof/>
          <w:sz w:val="24"/>
          <w:szCs w:val="24"/>
        </w:rPr>
        <w:t>c</w:t>
      </w:r>
      <w:r w:rsidRPr="00317506">
        <w:rPr>
          <w:rFonts w:ascii="Times New Roman" w:hAnsi="Times New Roman" w:cs="Times New Roman"/>
          <w:noProof/>
          <w:sz w:val="24"/>
          <w:szCs w:val="24"/>
        </w:rPr>
        <w:t xml:space="preserve">ardiac cAMP </w:t>
      </w:r>
      <w:r w:rsidR="00934BA3" w:rsidRPr="00317506">
        <w:rPr>
          <w:rFonts w:ascii="Times New Roman" w:hAnsi="Times New Roman" w:cs="Times New Roman"/>
          <w:noProof/>
          <w:sz w:val="24"/>
          <w:szCs w:val="24"/>
        </w:rPr>
        <w:t>synthesis and contractility by nucleoside diphosphate kinase</w:t>
      </w:r>
      <w:r w:rsidRPr="00317506">
        <w:rPr>
          <w:rFonts w:ascii="Times New Roman" w:hAnsi="Times New Roman" w:cs="Times New Roman"/>
          <w:noProof/>
          <w:sz w:val="24"/>
          <w:szCs w:val="24"/>
        </w:rPr>
        <w:t xml:space="preserve"> B/G </w:t>
      </w:r>
      <w:r w:rsidR="00934BA3">
        <w:rPr>
          <w:rFonts w:ascii="Times New Roman" w:hAnsi="Times New Roman" w:cs="Times New Roman"/>
          <w:noProof/>
          <w:sz w:val="24"/>
          <w:szCs w:val="24"/>
        </w:rPr>
        <w:t>p</w:t>
      </w:r>
      <w:r w:rsidRPr="00317506">
        <w:rPr>
          <w:rFonts w:ascii="Times New Roman" w:hAnsi="Times New Roman" w:cs="Times New Roman"/>
          <w:noProof/>
          <w:sz w:val="24"/>
          <w:szCs w:val="24"/>
        </w:rPr>
        <w:t xml:space="preserve">rotein βγ </w:t>
      </w:r>
      <w:r w:rsidR="00934BA3">
        <w:rPr>
          <w:rFonts w:ascii="Times New Roman" w:hAnsi="Times New Roman" w:cs="Times New Roman"/>
          <w:noProof/>
          <w:sz w:val="24"/>
          <w:szCs w:val="24"/>
        </w:rPr>
        <w:t>d</w:t>
      </w:r>
      <w:r w:rsidRPr="00317506">
        <w:rPr>
          <w:rFonts w:ascii="Times New Roman" w:hAnsi="Times New Roman" w:cs="Times New Roman"/>
          <w:noProof/>
          <w:sz w:val="24"/>
          <w:szCs w:val="24"/>
        </w:rPr>
        <w:t xml:space="preserve">imer </w:t>
      </w:r>
      <w:r w:rsidR="00934BA3">
        <w:rPr>
          <w:rFonts w:ascii="Times New Roman" w:hAnsi="Times New Roman" w:cs="Times New Roman"/>
          <w:noProof/>
          <w:sz w:val="24"/>
          <w:szCs w:val="24"/>
        </w:rPr>
        <w:t>c</w:t>
      </w:r>
      <w:r w:rsidRPr="00317506">
        <w:rPr>
          <w:rFonts w:ascii="Times New Roman" w:hAnsi="Times New Roman" w:cs="Times New Roman"/>
          <w:noProof/>
          <w:sz w:val="24"/>
          <w:szCs w:val="24"/>
        </w:rPr>
        <w:t>omplexes. Circ. Res. 100: 1191–1199.</w:t>
      </w:r>
    </w:p>
    <w:p w14:paraId="391CDD87"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[85]</w:t>
      </w:r>
      <w:r w:rsidRPr="00317506">
        <w:rPr>
          <w:rFonts w:ascii="Times New Roman" w:hAnsi="Times New Roman" w:cs="Times New Roman"/>
          <w:noProof/>
          <w:sz w:val="24"/>
          <w:szCs w:val="24"/>
        </w:rPr>
        <w:tab/>
        <w:t>Herak Bosnar M, de Gunzburg J, Bago R, Brečević L, Weber I, Pavelić J (2004) Subcellular localization of A and B Nm23/NDPK subunits. Exp. Cell Res. 298: 275–284.</w:t>
      </w:r>
    </w:p>
    <w:p w14:paraId="236B5A8D"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[86]</w:t>
      </w:r>
      <w:r w:rsidRPr="00317506">
        <w:rPr>
          <w:rFonts w:ascii="Times New Roman" w:hAnsi="Times New Roman" w:cs="Times New Roman"/>
          <w:noProof/>
          <w:sz w:val="24"/>
          <w:szCs w:val="24"/>
        </w:rPr>
        <w:tab/>
        <w:t>Choudhuri T, Murakami M, Kaul R, Sahu SK, Mohanty S, Verma SC, Kumar P, Robertson ES (2010) Nm23-H1 can induce cell cycle arrest and apoptosis in B cells. Cancer Biol. Ther. 9: 1065–1078.</w:t>
      </w:r>
    </w:p>
    <w:p w14:paraId="687D8E90"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[87]</w:t>
      </w:r>
      <w:r w:rsidRPr="00317506">
        <w:rPr>
          <w:rFonts w:ascii="Times New Roman" w:hAnsi="Times New Roman" w:cs="Times New Roman"/>
          <w:noProof/>
          <w:sz w:val="24"/>
          <w:szCs w:val="24"/>
        </w:rPr>
        <w:tab/>
        <w:t>Kang Y, Lee D-C, Han J, Yoon S, Won M, Yeom J-H, Seong M-J, Ko J-J, Lee K-A, Lee K, Bae J (2007) NM23-H2 involves in negative regulation of Diva and Bcl2L10 in apoptosis signaling. Biochem. Biophys. Res. Commun. 359: 76–82.</w:t>
      </w:r>
    </w:p>
    <w:p w14:paraId="33D3251F"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[88]</w:t>
      </w:r>
      <w:r w:rsidRPr="00317506">
        <w:rPr>
          <w:rFonts w:ascii="Times New Roman" w:hAnsi="Times New Roman" w:cs="Times New Roman"/>
          <w:noProof/>
          <w:sz w:val="24"/>
          <w:szCs w:val="24"/>
        </w:rPr>
        <w:tab/>
        <w:t>Herak Bosnar M, Dubravčić K, Bago R, Pavelić J (2008) Head and neck tumor cells exhibit altered proliferation upon overexpression of nm23 genes. Croat. Chem. Acta. 81: 183–189.</w:t>
      </w:r>
    </w:p>
    <w:p w14:paraId="4643E4F0" w14:textId="0D5FFE0C"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[89]</w:t>
      </w:r>
      <w:r w:rsidRPr="00317506">
        <w:rPr>
          <w:rFonts w:ascii="Times New Roman" w:hAnsi="Times New Roman" w:cs="Times New Roman"/>
          <w:noProof/>
          <w:sz w:val="24"/>
          <w:szCs w:val="24"/>
        </w:rPr>
        <w:tab/>
        <w:t xml:space="preserve">Lombardi D, Lacombe M-L, Paggi MG (2000) </w:t>
      </w:r>
      <w:r w:rsidR="00635F4F" w:rsidRPr="00317506">
        <w:rPr>
          <w:rFonts w:ascii="Times New Roman" w:hAnsi="Times New Roman" w:cs="Times New Roman"/>
          <w:noProof/>
          <w:sz w:val="24"/>
          <w:szCs w:val="24"/>
        </w:rPr>
        <w:t>N</w:t>
      </w:r>
      <w:r w:rsidRPr="00317506">
        <w:rPr>
          <w:rFonts w:ascii="Times New Roman" w:hAnsi="Times New Roman" w:cs="Times New Roman"/>
          <w:noProof/>
          <w:sz w:val="24"/>
          <w:szCs w:val="24"/>
        </w:rPr>
        <w:t>m23: Unraveling its biological function in cell differentiation. J. Cell. Physiol. 182: 144–149.</w:t>
      </w:r>
    </w:p>
    <w:p w14:paraId="35B29A63"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lastRenderedPageBreak/>
        <w:t>[90]</w:t>
      </w:r>
      <w:r w:rsidRPr="00317506">
        <w:rPr>
          <w:rFonts w:ascii="Times New Roman" w:hAnsi="Times New Roman" w:cs="Times New Roman"/>
          <w:noProof/>
          <w:sz w:val="24"/>
          <w:szCs w:val="24"/>
        </w:rPr>
        <w:tab/>
        <w:t>Lakso M, Steeg PS, Westphal H (1992) Embryonic expression of nm23 during mouse organogenesis. Cell Growth Differ. 3: 873–879.</w:t>
      </w:r>
    </w:p>
    <w:p w14:paraId="1FD9A195" w14:textId="623ADB95"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[91]</w:t>
      </w:r>
      <w:r w:rsidRPr="00317506">
        <w:rPr>
          <w:rFonts w:ascii="Times New Roman" w:hAnsi="Times New Roman" w:cs="Times New Roman"/>
          <w:noProof/>
          <w:sz w:val="24"/>
          <w:szCs w:val="24"/>
        </w:rPr>
        <w:tab/>
        <w:t xml:space="preserve">Fournier H-N, Dupé-Manet S, Bouvard D, Lacombe M-L, Marie C, Block MR, Albiges-Rizo C (2002) Integrin </w:t>
      </w:r>
      <w:r w:rsidR="00934BA3" w:rsidRPr="00317506">
        <w:rPr>
          <w:rFonts w:ascii="Times New Roman" w:hAnsi="Times New Roman" w:cs="Times New Roman"/>
          <w:noProof/>
          <w:sz w:val="24"/>
          <w:szCs w:val="24"/>
        </w:rPr>
        <w:t>cytoplasmic domain-associated protein</w:t>
      </w:r>
      <w:r w:rsidRPr="00317506">
        <w:rPr>
          <w:rFonts w:ascii="Times New Roman" w:hAnsi="Times New Roman" w:cs="Times New Roman"/>
          <w:noProof/>
          <w:sz w:val="24"/>
          <w:szCs w:val="24"/>
        </w:rPr>
        <w:t xml:space="preserve"> 1α (ICAP-1α) </w:t>
      </w:r>
      <w:r w:rsidR="00934BA3" w:rsidRPr="00317506">
        <w:rPr>
          <w:rFonts w:ascii="Times New Roman" w:hAnsi="Times New Roman" w:cs="Times New Roman"/>
          <w:noProof/>
          <w:sz w:val="24"/>
          <w:szCs w:val="24"/>
        </w:rPr>
        <w:t>interacts directly with the metastasis suppressor</w:t>
      </w:r>
      <w:r w:rsidRPr="00317506">
        <w:rPr>
          <w:rFonts w:ascii="Times New Roman" w:hAnsi="Times New Roman" w:cs="Times New Roman"/>
          <w:noProof/>
          <w:sz w:val="24"/>
          <w:szCs w:val="24"/>
        </w:rPr>
        <w:t xml:space="preserve"> nm23-H2, and </w:t>
      </w:r>
      <w:r w:rsidR="00934BA3" w:rsidRPr="00317506">
        <w:rPr>
          <w:rFonts w:ascii="Times New Roman" w:hAnsi="Times New Roman" w:cs="Times New Roman"/>
          <w:noProof/>
          <w:sz w:val="24"/>
          <w:szCs w:val="24"/>
        </w:rPr>
        <w:t>both proteins are targeted to newly formed cell adhesion sites upon integrin engagement.</w:t>
      </w:r>
      <w:r w:rsidRPr="00317506">
        <w:rPr>
          <w:rFonts w:ascii="Times New Roman" w:hAnsi="Times New Roman" w:cs="Times New Roman"/>
          <w:noProof/>
          <w:sz w:val="24"/>
          <w:szCs w:val="24"/>
        </w:rPr>
        <w:t xml:space="preserve"> J. Biol. Chem. 277: 20895–20902.</w:t>
      </w:r>
    </w:p>
    <w:p w14:paraId="7B188DE4" w14:textId="0AC01221"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[92]</w:t>
      </w:r>
      <w:r w:rsidRPr="00317506">
        <w:rPr>
          <w:rFonts w:ascii="Times New Roman" w:hAnsi="Times New Roman" w:cs="Times New Roman"/>
          <w:noProof/>
          <w:sz w:val="24"/>
          <w:szCs w:val="24"/>
        </w:rPr>
        <w:tab/>
        <w:t xml:space="preserve">Murakami M, Lan K, Subramanian C, Robertson ES (2005) Epstein-Barr </w:t>
      </w:r>
      <w:r w:rsidR="00934BA3" w:rsidRPr="00317506">
        <w:rPr>
          <w:rFonts w:ascii="Times New Roman" w:hAnsi="Times New Roman" w:cs="Times New Roman"/>
          <w:noProof/>
          <w:sz w:val="24"/>
          <w:szCs w:val="24"/>
        </w:rPr>
        <w:t>virus nuclear antigen 1 interacts with</w:t>
      </w:r>
      <w:r w:rsidRPr="00317506">
        <w:rPr>
          <w:rFonts w:ascii="Times New Roman" w:hAnsi="Times New Roman" w:cs="Times New Roman"/>
          <w:noProof/>
          <w:sz w:val="24"/>
          <w:szCs w:val="24"/>
        </w:rPr>
        <w:t xml:space="preserve"> Nm23-H1 in</w:t>
      </w:r>
      <w:r w:rsidR="00934BA3" w:rsidRPr="00317506">
        <w:rPr>
          <w:rFonts w:ascii="Times New Roman" w:hAnsi="Times New Roman" w:cs="Times New Roman"/>
          <w:noProof/>
          <w:sz w:val="24"/>
          <w:szCs w:val="24"/>
        </w:rPr>
        <w:t xml:space="preserve"> lymphoblastoid cell lines and inhibits its ability to suppress cell migration</w:t>
      </w:r>
      <w:r w:rsidRPr="00317506">
        <w:rPr>
          <w:rFonts w:ascii="Times New Roman" w:hAnsi="Times New Roman" w:cs="Times New Roman"/>
          <w:noProof/>
          <w:sz w:val="24"/>
          <w:szCs w:val="24"/>
        </w:rPr>
        <w:t>. J. Virol. 79: 1559–1568.</w:t>
      </w:r>
    </w:p>
    <w:p w14:paraId="78086FF1" w14:textId="4CA8E5A5"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[93]</w:t>
      </w:r>
      <w:r w:rsidRPr="00317506">
        <w:rPr>
          <w:rFonts w:ascii="Times New Roman" w:hAnsi="Times New Roman" w:cs="Times New Roman"/>
          <w:noProof/>
          <w:sz w:val="24"/>
          <w:szCs w:val="24"/>
        </w:rPr>
        <w:tab/>
        <w:t xml:space="preserve">Flentie K, Gonzalez C, Kocher B, Wang Y, Zhu H, Marasa J, Piwnica-Worms D (2018) Nucleoside </w:t>
      </w:r>
      <w:r w:rsidR="00934BA3" w:rsidRPr="00317506">
        <w:rPr>
          <w:rFonts w:ascii="Times New Roman" w:hAnsi="Times New Roman" w:cs="Times New Roman"/>
          <w:noProof/>
          <w:sz w:val="24"/>
          <w:szCs w:val="24"/>
        </w:rPr>
        <w:t>diphosphate kin</w:t>
      </w:r>
      <w:r w:rsidRPr="00317506">
        <w:rPr>
          <w:rFonts w:ascii="Times New Roman" w:hAnsi="Times New Roman" w:cs="Times New Roman"/>
          <w:noProof/>
          <w:sz w:val="24"/>
          <w:szCs w:val="24"/>
        </w:rPr>
        <w:t xml:space="preserve">ase-3 ( NME3 ) </w:t>
      </w:r>
      <w:r w:rsidR="00934BA3">
        <w:rPr>
          <w:rFonts w:ascii="Times New Roman" w:hAnsi="Times New Roman" w:cs="Times New Roman"/>
          <w:noProof/>
          <w:sz w:val="24"/>
          <w:szCs w:val="24"/>
        </w:rPr>
        <w:t>e</w:t>
      </w:r>
      <w:r w:rsidRPr="00317506">
        <w:rPr>
          <w:rFonts w:ascii="Times New Roman" w:hAnsi="Times New Roman" w:cs="Times New Roman"/>
          <w:noProof/>
          <w:sz w:val="24"/>
          <w:szCs w:val="24"/>
        </w:rPr>
        <w:t>nhances TLR5-</w:t>
      </w:r>
      <w:r w:rsidR="00934BA3">
        <w:rPr>
          <w:rFonts w:ascii="Times New Roman" w:hAnsi="Times New Roman" w:cs="Times New Roman"/>
          <w:noProof/>
          <w:sz w:val="24"/>
          <w:szCs w:val="24"/>
        </w:rPr>
        <w:t>i</w:t>
      </w:r>
      <w:r w:rsidRPr="00317506">
        <w:rPr>
          <w:rFonts w:ascii="Times New Roman" w:hAnsi="Times New Roman" w:cs="Times New Roman"/>
          <w:noProof/>
          <w:sz w:val="24"/>
          <w:szCs w:val="24"/>
        </w:rPr>
        <w:t xml:space="preserve">nduced NF κ B </w:t>
      </w:r>
      <w:r w:rsidR="00934BA3">
        <w:rPr>
          <w:rFonts w:ascii="Times New Roman" w:hAnsi="Times New Roman" w:cs="Times New Roman"/>
          <w:noProof/>
          <w:sz w:val="24"/>
          <w:szCs w:val="24"/>
        </w:rPr>
        <w:t>a</w:t>
      </w:r>
      <w:r w:rsidRPr="00317506">
        <w:rPr>
          <w:rFonts w:ascii="Times New Roman" w:hAnsi="Times New Roman" w:cs="Times New Roman"/>
          <w:noProof/>
          <w:sz w:val="24"/>
          <w:szCs w:val="24"/>
        </w:rPr>
        <w:t>ctivation. Mol. Cancer Res. 16: 986–999.</w:t>
      </w:r>
    </w:p>
    <w:p w14:paraId="76BB642A" w14:textId="7BE99FCE"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[94]</w:t>
      </w:r>
      <w:r w:rsidRPr="00317506">
        <w:rPr>
          <w:rFonts w:ascii="Times New Roman" w:hAnsi="Times New Roman" w:cs="Times New Roman"/>
          <w:noProof/>
          <w:sz w:val="24"/>
          <w:szCs w:val="24"/>
        </w:rPr>
        <w:tab/>
        <w:t>Tokarska-Schlattner M, Boissan M, Munier A, Borot C, Mailleau C, Speer O, Schlattner U, Lacombe M-L (2008) The</w:t>
      </w:r>
      <w:r w:rsidR="00934BA3" w:rsidRPr="00317506">
        <w:rPr>
          <w:rFonts w:ascii="Times New Roman" w:hAnsi="Times New Roman" w:cs="Times New Roman"/>
          <w:noProof/>
          <w:sz w:val="24"/>
          <w:szCs w:val="24"/>
        </w:rPr>
        <w:t xml:space="preserve"> nucleoside diphosphate kinase</w:t>
      </w:r>
      <w:r w:rsidRPr="00317506">
        <w:rPr>
          <w:rFonts w:ascii="Times New Roman" w:hAnsi="Times New Roman" w:cs="Times New Roman"/>
          <w:noProof/>
          <w:sz w:val="24"/>
          <w:szCs w:val="24"/>
        </w:rPr>
        <w:t xml:space="preserve"> D (NM23-H4) </w:t>
      </w:r>
      <w:r w:rsidR="00934BA3" w:rsidRPr="00317506">
        <w:rPr>
          <w:rFonts w:ascii="Times New Roman" w:hAnsi="Times New Roman" w:cs="Times New Roman"/>
          <w:noProof/>
          <w:sz w:val="24"/>
          <w:szCs w:val="24"/>
        </w:rPr>
        <w:t>binds the inner mitochondrial membrane with high affinity to cardiolipin and couples nucleotide transfer with respiration</w:t>
      </w:r>
      <w:r w:rsidRPr="00317506">
        <w:rPr>
          <w:rFonts w:ascii="Times New Roman" w:hAnsi="Times New Roman" w:cs="Times New Roman"/>
          <w:noProof/>
          <w:sz w:val="24"/>
          <w:szCs w:val="24"/>
        </w:rPr>
        <w:t>. J. Biol. Chem. 283: 26198–26207.</w:t>
      </w:r>
    </w:p>
    <w:p w14:paraId="0DFE8397" w14:textId="273B292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[95]</w:t>
      </w:r>
      <w:r w:rsidRPr="00317506">
        <w:rPr>
          <w:rFonts w:ascii="Times New Roman" w:hAnsi="Times New Roman" w:cs="Times New Roman"/>
          <w:noProof/>
          <w:sz w:val="24"/>
          <w:szCs w:val="24"/>
        </w:rPr>
        <w:tab/>
        <w:t xml:space="preserve">Schlattner U, Tokarska-Schlattner M, Ramirez S, Tyurina YY, Amoscato AA, Mohammadyani D, Huang Z, Jiang J, Yanamala N, Seffouh A, Boissan M, Epand RF, Epand RM, Klein-Seetharaman J, Lacombe M-L, Kagan VE (2013) Dual </w:t>
      </w:r>
      <w:r w:rsidR="00934BA3" w:rsidRPr="00317506">
        <w:rPr>
          <w:rFonts w:ascii="Times New Roman" w:hAnsi="Times New Roman" w:cs="Times New Roman"/>
          <w:noProof/>
          <w:sz w:val="24"/>
          <w:szCs w:val="24"/>
        </w:rPr>
        <w:t xml:space="preserve">function of mitochondrial </w:t>
      </w:r>
      <w:r w:rsidRPr="00317506">
        <w:rPr>
          <w:rFonts w:ascii="Times New Roman" w:hAnsi="Times New Roman" w:cs="Times New Roman"/>
          <w:noProof/>
          <w:sz w:val="24"/>
          <w:szCs w:val="24"/>
        </w:rPr>
        <w:t xml:space="preserve">Nm23-H4 </w:t>
      </w:r>
      <w:r w:rsidR="00934BA3" w:rsidRPr="00317506">
        <w:rPr>
          <w:rFonts w:ascii="Times New Roman" w:hAnsi="Times New Roman" w:cs="Times New Roman"/>
          <w:noProof/>
          <w:sz w:val="24"/>
          <w:szCs w:val="24"/>
        </w:rPr>
        <w:t>protein in phosphotransfer and intermembrane lipid transfer.</w:t>
      </w:r>
      <w:r w:rsidRPr="00317506">
        <w:rPr>
          <w:rFonts w:ascii="Times New Roman" w:hAnsi="Times New Roman" w:cs="Times New Roman"/>
          <w:noProof/>
          <w:sz w:val="24"/>
          <w:szCs w:val="24"/>
        </w:rPr>
        <w:t xml:space="preserve"> J. Biol. Chem. 288: 111–121.</w:t>
      </w:r>
    </w:p>
    <w:p w14:paraId="780AF3B8"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[96]</w:t>
      </w:r>
      <w:r w:rsidRPr="00317506">
        <w:rPr>
          <w:rFonts w:ascii="Times New Roman" w:hAnsi="Times New Roman" w:cs="Times New Roman"/>
          <w:noProof/>
          <w:sz w:val="24"/>
          <w:szCs w:val="24"/>
        </w:rPr>
        <w:tab/>
        <w:t>Kagan VE, Jiang J, Huang Z, Tyurina YY, Desbourdes C, Cottet-Rousselle C, Dar HH, Verma M, Tyurin VA, Kapralov AA, Cheikhi A, Mao G, Stolz D, St. Croix CM, Watkins S, Shen Z, Li Y, Greenberg ML, Tokarska-Schlattner M, Boissan M, Lacombe M-L, Epand RM, Chu CT, Mallampalli RK, Bayır H, Schlattner U (2016) NDPK-D (NM23-H4)-mediated externalization of cardiolipin enables elimination of depolarized mitochondria by mitophagy. Cell Death Differ. 23: 1140–1151.</w:t>
      </w:r>
    </w:p>
    <w:p w14:paraId="5734DF11"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[97]</w:t>
      </w:r>
      <w:r w:rsidRPr="00317506">
        <w:rPr>
          <w:rFonts w:ascii="Times New Roman" w:hAnsi="Times New Roman" w:cs="Times New Roman"/>
          <w:noProof/>
          <w:sz w:val="24"/>
          <w:szCs w:val="24"/>
        </w:rPr>
        <w:tab/>
        <w:t xml:space="preserve">Lacombe M-L, Lamarche F, De Wever O, Padilla-Benavides T, Carlson A, Khan I, Huna A, Vacher S, Calmel C, Desbourdes C, Cottet-Rousselle C, Hininger-Favier I, Attia S, Nawrocki-Raby B, Raingeaud J, Machon C, Guitton J, Le Gall M, Clary G, Broussard C, Chafey P, Thérond P, Bernard D, Fontaine E, Tokarska-Schlattner M, </w:t>
      </w:r>
      <w:r w:rsidRPr="00317506">
        <w:rPr>
          <w:rFonts w:ascii="Times New Roman" w:hAnsi="Times New Roman" w:cs="Times New Roman"/>
          <w:noProof/>
          <w:sz w:val="24"/>
          <w:szCs w:val="24"/>
        </w:rPr>
        <w:lastRenderedPageBreak/>
        <w:t>Steeg P, Bièche I, Schlattner U, Boissan M (2021) The mitochondrially-localized nucleoside diphosphate kinase D (NME4) is a novel metastasis suppressor. BMC Biol. 19: 228.</w:t>
      </w:r>
    </w:p>
    <w:p w14:paraId="225E6785"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[98]</w:t>
      </w:r>
      <w:r w:rsidRPr="00317506">
        <w:rPr>
          <w:rFonts w:ascii="Times New Roman" w:hAnsi="Times New Roman" w:cs="Times New Roman"/>
          <w:noProof/>
          <w:sz w:val="24"/>
          <w:szCs w:val="24"/>
        </w:rPr>
        <w:tab/>
        <w:t>Lacombe ML, Milon L, Munier A, Mehus JG, Lambeth DO (2000) The human Nm23/nucleoside diphosphate kinases. J. Bioenerg. Biomembr. 32: 247–58.</w:t>
      </w:r>
    </w:p>
    <w:p w14:paraId="1AB612B7"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[99]</w:t>
      </w:r>
      <w:r w:rsidRPr="00317506">
        <w:rPr>
          <w:rFonts w:ascii="Times New Roman" w:hAnsi="Times New Roman" w:cs="Times New Roman"/>
          <w:noProof/>
          <w:sz w:val="24"/>
          <w:szCs w:val="24"/>
        </w:rPr>
        <w:tab/>
        <w:t>Cho EH, Huh HJ, Jeong I, Lee NY, Koh W, Park H, Ki C (2020) A nonsense variant in NME5 causes human primary ciliary dyskinesia with radial spoke defects. Clin. Genet. 98: 64–68.</w:t>
      </w:r>
    </w:p>
    <w:p w14:paraId="55F8AF33" w14:textId="782653AD"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[100]</w:t>
      </w:r>
      <w:r w:rsidRPr="00317506">
        <w:rPr>
          <w:rFonts w:ascii="Times New Roman" w:hAnsi="Times New Roman" w:cs="Times New Roman"/>
          <w:noProof/>
          <w:sz w:val="24"/>
          <w:szCs w:val="24"/>
        </w:rPr>
        <w:tab/>
        <w:t>Ma M, Stoyanova M, Rademacher G, Dutcher SK, Brown A, Zhang R (2019) Structure of the Decorated Ciliary Doublet Microtubule. Cell. 179: 909–922.</w:t>
      </w:r>
    </w:p>
    <w:p w14:paraId="406624A0"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[101]</w:t>
      </w:r>
      <w:r w:rsidRPr="00317506">
        <w:rPr>
          <w:rFonts w:ascii="Times New Roman" w:hAnsi="Times New Roman" w:cs="Times New Roman"/>
          <w:noProof/>
          <w:sz w:val="24"/>
          <w:szCs w:val="24"/>
        </w:rPr>
        <w:tab/>
        <w:t>Duriez B, Duquesnoy P, Escudier E, Bridoux A-M, Escalier D, Rayet I, Marcos E, Vojtek A-M, Bercher J-F, Amselem S (2007) A common variant in combination with a nonsense mutation in a member of the thioredoxin family causes primary ciliary dyskinesia. Proc. Natl. Acad. Sci. 104: 3336–3341.</w:t>
      </w:r>
    </w:p>
    <w:p w14:paraId="2997D396"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[102]</w:t>
      </w:r>
      <w:r w:rsidRPr="00317506">
        <w:rPr>
          <w:rFonts w:ascii="Times New Roman" w:hAnsi="Times New Roman" w:cs="Times New Roman"/>
          <w:noProof/>
          <w:sz w:val="24"/>
          <w:szCs w:val="24"/>
        </w:rPr>
        <w:tab/>
        <w:t>Sadek CM, Jiménez A, Damdimopoulos AE, Kieselbach T, Nord M, Gustafsson J-A, Spyrou G, Davis EC, Oko R, van der Hoorn FA, Miranda-Vizuete A (2003) Characterization of human thioredoxin-like 2: A novel microtubule-binding thioredoxin expressed predominantly in the cilia of lung airway epithelium and spermatid manchette and axoneme. J. Biol. Chem. 278: 13133–42.</w:t>
      </w:r>
    </w:p>
    <w:p w14:paraId="409CE394" w14:textId="795C090F"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[103]</w:t>
      </w:r>
      <w:r w:rsidRPr="00317506">
        <w:rPr>
          <w:rFonts w:ascii="Times New Roman" w:hAnsi="Times New Roman" w:cs="Times New Roman"/>
          <w:noProof/>
          <w:sz w:val="24"/>
          <w:szCs w:val="24"/>
        </w:rPr>
        <w:tab/>
        <w:t>Chan MC, Savela J, Ollikainen RK, Teppo H-R, Miinalainen I, Pirinen R, Kari EJM, Kuitunen H, Turpeenniemi-Hujanen T, Kuittinen O, Kuusisto MEL (2021) Testis-</w:t>
      </w:r>
      <w:r w:rsidR="00934BA3" w:rsidRPr="00317506">
        <w:rPr>
          <w:rFonts w:ascii="Times New Roman" w:hAnsi="Times New Roman" w:cs="Times New Roman"/>
          <w:noProof/>
          <w:sz w:val="24"/>
          <w:szCs w:val="24"/>
        </w:rPr>
        <w:t>specific thioredoxins</w:t>
      </w:r>
      <w:r w:rsidRPr="00317506">
        <w:rPr>
          <w:rFonts w:ascii="Times New Roman" w:hAnsi="Times New Roman" w:cs="Times New Roman"/>
          <w:noProof/>
          <w:sz w:val="24"/>
          <w:szCs w:val="24"/>
        </w:rPr>
        <w:t xml:space="preserve"> TXNDC2, TXNDC3, and TXNDC6 </w:t>
      </w:r>
      <w:r w:rsidR="00934BA3" w:rsidRPr="00317506">
        <w:rPr>
          <w:rFonts w:ascii="Times New Roman" w:hAnsi="Times New Roman" w:cs="Times New Roman"/>
          <w:noProof/>
          <w:sz w:val="24"/>
          <w:szCs w:val="24"/>
        </w:rPr>
        <w:t xml:space="preserve">are expressed in both testicular and systemic </w:t>
      </w:r>
      <w:r w:rsidRPr="00317506">
        <w:rPr>
          <w:rFonts w:ascii="Times New Roman" w:hAnsi="Times New Roman" w:cs="Times New Roman"/>
          <w:noProof/>
          <w:sz w:val="24"/>
          <w:szCs w:val="24"/>
        </w:rPr>
        <w:t>DLBCL an</w:t>
      </w:r>
      <w:r w:rsidR="00934BA3" w:rsidRPr="00317506">
        <w:rPr>
          <w:rFonts w:ascii="Times New Roman" w:hAnsi="Times New Roman" w:cs="Times New Roman"/>
          <w:noProof/>
          <w:sz w:val="24"/>
          <w:szCs w:val="24"/>
        </w:rPr>
        <w:t>d correlate with clinical disease presentation</w:t>
      </w:r>
      <w:r w:rsidRPr="00317506">
        <w:rPr>
          <w:rFonts w:ascii="Times New Roman" w:hAnsi="Times New Roman" w:cs="Times New Roman"/>
          <w:noProof/>
          <w:sz w:val="24"/>
          <w:szCs w:val="24"/>
        </w:rPr>
        <w:t>. Oxid. Med. Cell. Longev. 2021: 8026941.</w:t>
      </w:r>
    </w:p>
    <w:p w14:paraId="5DD3868C"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[104]</w:t>
      </w:r>
      <w:r w:rsidRPr="00317506">
        <w:rPr>
          <w:rFonts w:ascii="Times New Roman" w:hAnsi="Times New Roman" w:cs="Times New Roman"/>
          <w:noProof/>
          <w:sz w:val="24"/>
          <w:szCs w:val="24"/>
        </w:rPr>
        <w:tab/>
        <w:t xml:space="preserve">Cunningham F, Allen JE, Allen J, Alvarez-Jarreta J, Amode MR, Armean IM, Austine-Orimoloye O, Azov AG, Barnes I, Bennett R, Berry A, Bhai J, Bignell A, Billis K, Boddu S, Brooks L, Charkhchi M, Cummins C, Da Rin Fioretto L, Davidson C, Dodiya K, Donaldson S, El Houdaigui B, El Naboulsi T, Fatima R, Giron CG, Genez T, Martinez JG, Guijarro-Clarke C, Gymer A, Hardy M, Hollis Z, Hourlier T, Hunt T, Juettemann T, Kaikala V, Kay M, Lavidas I, Le T, Lemos D, Marugán JC, Mohanan S, Mushtaq A, Naven M, Ogeh DN, Parker A, Parton A, Perry M, Piližota I, Prosovetskaia </w:t>
      </w:r>
      <w:r w:rsidRPr="00317506">
        <w:rPr>
          <w:rFonts w:ascii="Times New Roman" w:hAnsi="Times New Roman" w:cs="Times New Roman"/>
          <w:noProof/>
          <w:sz w:val="24"/>
          <w:szCs w:val="24"/>
        </w:rPr>
        <w:lastRenderedPageBreak/>
        <w:t>I, Sakthivel MP, Salam AIA, Schmitt BM, Schuilenburg H, Sheppard D, Pérez-Silva JG, Stark W, Steed E, Sutinen K, Sukumaran R, Sumathipala D, Suner M-M, Szpak M, Thormann A, Tricomi FF, Urbina-Gómez D, Veidenberg A, Walsh TA, Walts B, Willhoft N, Winterbottom A, Wass E, Chakiachvili M, Flint B, Frankish A, Giorgetti S, Haggerty L, Hunt SE, IIsley GR, Loveland JE, Martin FJ, Moore B, Mudge JM, Muffato M, Perry E, Ruffier M, Tate J, Thybert D, Trevanion SJ, Dyer S, Harrison PW, Howe KL, Yates AD, Zerbino DR, Flicek P (2022) Ensembl 2022. Nucleic Acids Res. 50: D988–D995.</w:t>
      </w:r>
    </w:p>
    <w:p w14:paraId="16DD8446" w14:textId="65A33A7B" w:rsidR="00317506" w:rsidRPr="00317506" w:rsidRDefault="00317506" w:rsidP="00EE55FD">
      <w:pPr>
        <w:widowControl w:val="0"/>
        <w:autoSpaceDE w:val="0"/>
        <w:autoSpaceDN w:val="0"/>
        <w:adjustRightInd w:val="0"/>
        <w:spacing w:line="360" w:lineRule="auto"/>
        <w:ind w:left="640" w:hanging="640"/>
        <w:rPr>
          <w:rFonts w:ascii="Times New Roman" w:hAnsi="Times New Roman" w:cs="Times New Roman"/>
          <w:noProof/>
          <w:sz w:val="24"/>
          <w:szCs w:val="24"/>
        </w:rPr>
      </w:pPr>
      <w:r w:rsidRPr="00317506">
        <w:rPr>
          <w:rFonts w:ascii="Times New Roman" w:hAnsi="Times New Roman" w:cs="Times New Roman"/>
          <w:noProof/>
          <w:sz w:val="24"/>
          <w:szCs w:val="24"/>
        </w:rPr>
        <w:t>[105]</w:t>
      </w:r>
      <w:r w:rsidRPr="00317506">
        <w:rPr>
          <w:rFonts w:ascii="Times New Roman" w:hAnsi="Times New Roman" w:cs="Times New Roman"/>
          <w:noProof/>
          <w:sz w:val="24"/>
          <w:szCs w:val="24"/>
        </w:rPr>
        <w:tab/>
        <w:t>AlphaFold_Human NME6</w:t>
      </w:r>
      <w:r w:rsidR="00934BA3" w:rsidRPr="00317506">
        <w:rPr>
          <w:rFonts w:ascii="Times New Roman" w:hAnsi="Times New Roman" w:cs="Times New Roman"/>
          <w:noProof/>
          <w:sz w:val="24"/>
          <w:szCs w:val="24"/>
        </w:rPr>
        <w:t xml:space="preserve"> protein predicted structure </w:t>
      </w:r>
      <w:r w:rsidRPr="00317506">
        <w:rPr>
          <w:rFonts w:ascii="Times New Roman" w:hAnsi="Times New Roman" w:cs="Times New Roman"/>
          <w:noProof/>
          <w:sz w:val="24"/>
          <w:szCs w:val="24"/>
        </w:rPr>
        <w:t>https://alphafold.ebi.ac.uk/entry/O75414 (accessed May 20, 2022).</w:t>
      </w:r>
    </w:p>
    <w:p w14:paraId="4B283BFC"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[106]</w:t>
      </w:r>
      <w:r w:rsidRPr="00317506">
        <w:rPr>
          <w:rFonts w:ascii="Times New Roman" w:hAnsi="Times New Roman" w:cs="Times New Roman"/>
          <w:noProof/>
          <w:sz w:val="24"/>
          <w:szCs w:val="24"/>
        </w:rPr>
        <w:tab/>
        <w:t>Jumper J, Evans R, Pritzel A, Green T, Figurnov M, Ronneberger O, Tunyasuvunakool K, Bates R, Žídek A, Potapenko A, Bridgland A, Meyer C, Kohl SAA, Ballard AJ, Cowie A, Romera-Paredes B, Nikolov S, Jain R, Adler J, Back T, Petersen S, Reiman D, Clancy E, Zielinski M, Steinegger M, Pacholska M, Berghammer T, Bodenstein S, Silver D, Vinyals O, Senior AW, Kavukcuoglu K, Kohli P, Hassabis D (2021) Highly accurate protein structure prediction with AlphaFold. Nature. 596: 583–589.</w:t>
      </w:r>
    </w:p>
    <w:p w14:paraId="6192021E" w14:textId="602F8D43"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[107]</w:t>
      </w:r>
      <w:r w:rsidRPr="00317506">
        <w:rPr>
          <w:rFonts w:ascii="Times New Roman" w:hAnsi="Times New Roman" w:cs="Times New Roman"/>
          <w:noProof/>
          <w:sz w:val="24"/>
          <w:szCs w:val="24"/>
        </w:rPr>
        <w:tab/>
        <w:t xml:space="preserve">Varadi M, Anyango S, Deshpande M, Nair S, Natassia C, Yordanova G, Yuan D, Stroe O, Wood G, Laydon A, Zídek A, Green T, Tunyasuvunakool K, Petersen S, Jumper J, Clancy E, Green R, Vora A, Lutfi M, Figurnov M, Cowie A, Hobbs N, Kohli P, Kleywegt G, Birney E, Hassabis D, Velankar S (2022) AlphaFold </w:t>
      </w:r>
      <w:r w:rsidR="00934BA3" w:rsidRPr="00317506">
        <w:rPr>
          <w:rFonts w:ascii="Times New Roman" w:hAnsi="Times New Roman" w:cs="Times New Roman"/>
          <w:noProof/>
          <w:sz w:val="24"/>
          <w:szCs w:val="24"/>
        </w:rPr>
        <w:t xml:space="preserve">protein structure database: </w:t>
      </w:r>
      <w:r w:rsidR="00635F4F" w:rsidRPr="00317506">
        <w:rPr>
          <w:rFonts w:ascii="Times New Roman" w:hAnsi="Times New Roman" w:cs="Times New Roman"/>
          <w:noProof/>
          <w:sz w:val="24"/>
          <w:szCs w:val="24"/>
        </w:rPr>
        <w:t>M</w:t>
      </w:r>
      <w:r w:rsidR="00934BA3" w:rsidRPr="00317506">
        <w:rPr>
          <w:rFonts w:ascii="Times New Roman" w:hAnsi="Times New Roman" w:cs="Times New Roman"/>
          <w:noProof/>
          <w:sz w:val="24"/>
          <w:szCs w:val="24"/>
        </w:rPr>
        <w:t>assively expanding the structural coverage of protein-sequ</w:t>
      </w:r>
      <w:r w:rsidRPr="00317506">
        <w:rPr>
          <w:rFonts w:ascii="Times New Roman" w:hAnsi="Times New Roman" w:cs="Times New Roman"/>
          <w:noProof/>
          <w:sz w:val="24"/>
          <w:szCs w:val="24"/>
        </w:rPr>
        <w:t>ence space with high-accuracy models. Nucleic Acids Res. 50: D439–D444.</w:t>
      </w:r>
    </w:p>
    <w:p w14:paraId="3968355B"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[108]</w:t>
      </w:r>
      <w:r w:rsidRPr="00317506">
        <w:rPr>
          <w:rFonts w:ascii="Times New Roman" w:hAnsi="Times New Roman" w:cs="Times New Roman"/>
          <w:noProof/>
          <w:sz w:val="24"/>
          <w:szCs w:val="24"/>
        </w:rPr>
        <w:tab/>
        <w:t>Seifert M, Welter C, Mehraein Y, Seitz G (2005) Expression of the nm23 homologues nm23-H4, nm23-H6, and nm23-H7 in human gastric and colon cancer. J. Pathol. 205: 623–632.</w:t>
      </w:r>
    </w:p>
    <w:p w14:paraId="6DD3B295" w14:textId="1054CF80"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[109]</w:t>
      </w:r>
      <w:r w:rsidRPr="00317506">
        <w:rPr>
          <w:rFonts w:ascii="Times New Roman" w:hAnsi="Times New Roman" w:cs="Times New Roman"/>
          <w:noProof/>
          <w:sz w:val="24"/>
          <w:szCs w:val="24"/>
        </w:rPr>
        <w:tab/>
        <w:t xml:space="preserve">Ke J, Lou J, Zhong R, Chen X, Li J, Liu C, Gong Y, Yang Y, Zhu Y, Zhang Y, Chang J, Gong J (2016) Identification of a </w:t>
      </w:r>
      <w:r w:rsidR="00934BA3" w:rsidRPr="00317506">
        <w:rPr>
          <w:rFonts w:ascii="Times New Roman" w:hAnsi="Times New Roman" w:cs="Times New Roman"/>
          <w:noProof/>
          <w:sz w:val="24"/>
          <w:szCs w:val="24"/>
        </w:rPr>
        <w:t>potential regulatory variant for colorectal cancer risk mapping to</w:t>
      </w:r>
      <w:r w:rsidRPr="00317506">
        <w:rPr>
          <w:rFonts w:ascii="Times New Roman" w:hAnsi="Times New Roman" w:cs="Times New Roman"/>
          <w:noProof/>
          <w:sz w:val="24"/>
          <w:szCs w:val="24"/>
        </w:rPr>
        <w:t xml:space="preserve"> 3p21.31 in </w:t>
      </w:r>
      <w:r w:rsidR="00934BA3" w:rsidRPr="00317506">
        <w:rPr>
          <w:rFonts w:ascii="Times New Roman" w:hAnsi="Times New Roman" w:cs="Times New Roman"/>
          <w:noProof/>
          <w:sz w:val="24"/>
          <w:szCs w:val="24"/>
        </w:rPr>
        <w:t>chinese population.</w:t>
      </w:r>
      <w:r w:rsidRPr="00317506">
        <w:rPr>
          <w:rFonts w:ascii="Times New Roman" w:hAnsi="Times New Roman" w:cs="Times New Roman"/>
          <w:noProof/>
          <w:sz w:val="24"/>
          <w:szCs w:val="24"/>
        </w:rPr>
        <w:t xml:space="preserve"> Sci. Rep. 6: 25194.</w:t>
      </w:r>
    </w:p>
    <w:p w14:paraId="6D76E5C1" w14:textId="3F21967D"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[110]</w:t>
      </w:r>
      <w:r w:rsidRPr="00317506">
        <w:rPr>
          <w:rFonts w:ascii="Times New Roman" w:hAnsi="Times New Roman" w:cs="Times New Roman"/>
          <w:noProof/>
          <w:sz w:val="24"/>
          <w:szCs w:val="24"/>
        </w:rPr>
        <w:tab/>
        <w:t>Wang C-H, Ma N, Lin Y-T, Wu C-C, Hsiao M, Lu FL, Yu C-C, Chen S-Y, Lu J (2012) A shRNA</w:t>
      </w:r>
      <w:r w:rsidR="00934BA3" w:rsidRPr="00317506">
        <w:rPr>
          <w:rFonts w:ascii="Times New Roman" w:hAnsi="Times New Roman" w:cs="Times New Roman"/>
          <w:noProof/>
          <w:sz w:val="24"/>
          <w:szCs w:val="24"/>
        </w:rPr>
        <w:t xml:space="preserve"> functional screen reveals </w:t>
      </w:r>
      <w:r w:rsidRPr="00317506">
        <w:rPr>
          <w:rFonts w:ascii="Times New Roman" w:hAnsi="Times New Roman" w:cs="Times New Roman"/>
          <w:noProof/>
          <w:sz w:val="24"/>
          <w:szCs w:val="24"/>
        </w:rPr>
        <w:t xml:space="preserve">Nme6 and Nme7 </w:t>
      </w:r>
      <w:r w:rsidR="00934BA3" w:rsidRPr="00317506">
        <w:rPr>
          <w:rFonts w:ascii="Times New Roman" w:hAnsi="Times New Roman" w:cs="Times New Roman"/>
          <w:noProof/>
          <w:sz w:val="24"/>
          <w:szCs w:val="24"/>
        </w:rPr>
        <w:t>are crucial for embryonic stem cell renewal.</w:t>
      </w:r>
      <w:r w:rsidRPr="00317506">
        <w:rPr>
          <w:rFonts w:ascii="Times New Roman" w:hAnsi="Times New Roman" w:cs="Times New Roman"/>
          <w:noProof/>
          <w:sz w:val="24"/>
          <w:szCs w:val="24"/>
        </w:rPr>
        <w:t xml:space="preserve"> Stem Cells. 30: 2199–2211.</w:t>
      </w:r>
    </w:p>
    <w:p w14:paraId="0558FF0C"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lastRenderedPageBreak/>
        <w:t>[111]</w:t>
      </w:r>
      <w:r w:rsidRPr="00317506">
        <w:rPr>
          <w:rFonts w:ascii="Times New Roman" w:hAnsi="Times New Roman" w:cs="Times New Roman"/>
          <w:noProof/>
          <w:sz w:val="24"/>
          <w:szCs w:val="24"/>
        </w:rPr>
        <w:tab/>
        <w:t>Ernst O, Sun J, Lin B, Banoth B, Dorrington MG, Liang J, Schwarz B, Stromberg KA, Katz S, Vayttaden SJ, Bradfield CJ, Slepushkina N, Rice CM, Buehler E, Khillan JS, McVicar DW, Bosio CM, Bryant CE, Sutterwala FS, Martin SE, Lal-Nag M, Fraser IDC (2021) A genome-wide screen uncovers multiple roles for mitochondrial nucleoside diphosphate kinase D in inflammasome activation. Sci. Signal. 14: eabe0387.</w:t>
      </w:r>
    </w:p>
    <w:p w14:paraId="423D326C" w14:textId="546EE4BA"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[112]</w:t>
      </w:r>
      <w:r w:rsidRPr="00317506">
        <w:rPr>
          <w:rFonts w:ascii="Times New Roman" w:hAnsi="Times New Roman" w:cs="Times New Roman"/>
          <w:noProof/>
          <w:sz w:val="24"/>
          <w:szCs w:val="24"/>
        </w:rPr>
        <w:tab/>
        <w:t xml:space="preserve">Pagliarini DJ, Calvo SE, Chang B, Sheth SA, Vafai SB, Ong S-E, Walford GA, Sugiana C, Boneh A, Chen WK, Hill DE, Vidal M, Evans JG, Thorburn DR, Carr SA, Mootha VK (2008) A </w:t>
      </w:r>
      <w:r w:rsidR="00934BA3" w:rsidRPr="00317506">
        <w:rPr>
          <w:rFonts w:ascii="Times New Roman" w:hAnsi="Times New Roman" w:cs="Times New Roman"/>
          <w:noProof/>
          <w:sz w:val="24"/>
          <w:szCs w:val="24"/>
        </w:rPr>
        <w:t>mitochondrial protein compendium elucidates</w:t>
      </w:r>
      <w:r w:rsidRPr="00317506">
        <w:rPr>
          <w:rFonts w:ascii="Times New Roman" w:hAnsi="Times New Roman" w:cs="Times New Roman"/>
          <w:noProof/>
          <w:sz w:val="24"/>
          <w:szCs w:val="24"/>
        </w:rPr>
        <w:t xml:space="preserve"> Complex I </w:t>
      </w:r>
      <w:r w:rsidR="00934BA3">
        <w:rPr>
          <w:rFonts w:ascii="Times New Roman" w:hAnsi="Times New Roman" w:cs="Times New Roman"/>
          <w:noProof/>
          <w:sz w:val="24"/>
          <w:szCs w:val="24"/>
        </w:rPr>
        <w:t>d</w:t>
      </w:r>
      <w:r w:rsidRPr="00317506">
        <w:rPr>
          <w:rFonts w:ascii="Times New Roman" w:hAnsi="Times New Roman" w:cs="Times New Roman"/>
          <w:noProof/>
          <w:sz w:val="24"/>
          <w:szCs w:val="24"/>
        </w:rPr>
        <w:t xml:space="preserve">isease </w:t>
      </w:r>
      <w:r w:rsidR="00934BA3">
        <w:rPr>
          <w:rFonts w:ascii="Times New Roman" w:hAnsi="Times New Roman" w:cs="Times New Roman"/>
          <w:noProof/>
          <w:sz w:val="24"/>
          <w:szCs w:val="24"/>
        </w:rPr>
        <w:t>b</w:t>
      </w:r>
      <w:r w:rsidRPr="00317506">
        <w:rPr>
          <w:rFonts w:ascii="Times New Roman" w:hAnsi="Times New Roman" w:cs="Times New Roman"/>
          <w:noProof/>
          <w:sz w:val="24"/>
          <w:szCs w:val="24"/>
        </w:rPr>
        <w:t>iology. Cell. 134: 112–123.</w:t>
      </w:r>
    </w:p>
    <w:p w14:paraId="40C42284" w14:textId="4026867D"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[113]</w:t>
      </w:r>
      <w:r w:rsidRPr="00317506">
        <w:rPr>
          <w:rFonts w:ascii="Times New Roman" w:hAnsi="Times New Roman" w:cs="Times New Roman"/>
          <w:noProof/>
          <w:sz w:val="24"/>
          <w:szCs w:val="24"/>
        </w:rPr>
        <w:tab/>
        <w:t xml:space="preserve">Rhee H-W, Zou P, Udeshi ND, Martell JD, Mootha VK, Carr SA, Ting AY (2013) Proteomic </w:t>
      </w:r>
      <w:r w:rsidR="00934BA3" w:rsidRPr="00317506">
        <w:rPr>
          <w:rFonts w:ascii="Times New Roman" w:hAnsi="Times New Roman" w:cs="Times New Roman"/>
          <w:noProof/>
          <w:sz w:val="24"/>
          <w:szCs w:val="24"/>
        </w:rPr>
        <w:t>mapping of mitochondria in living cells via spatially restricted enzymatic tagging</w:t>
      </w:r>
      <w:r w:rsidRPr="00317506">
        <w:rPr>
          <w:rFonts w:ascii="Times New Roman" w:hAnsi="Times New Roman" w:cs="Times New Roman"/>
          <w:noProof/>
          <w:sz w:val="24"/>
          <w:szCs w:val="24"/>
        </w:rPr>
        <w:t>. Science. 339: 1328–1331.</w:t>
      </w:r>
    </w:p>
    <w:p w14:paraId="3F6CEE28" w14:textId="28181163"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[114]</w:t>
      </w:r>
      <w:r w:rsidRPr="00317506">
        <w:rPr>
          <w:rFonts w:ascii="Times New Roman" w:hAnsi="Times New Roman" w:cs="Times New Roman"/>
          <w:noProof/>
          <w:sz w:val="24"/>
          <w:szCs w:val="24"/>
        </w:rPr>
        <w:tab/>
        <w:t xml:space="preserve">Hung V, Zou P, Rhee H-W, Udeshi ND, Cracan V, Svinkina T, Carr SA, Mootha VK, Ting AY (2014) Proteomic </w:t>
      </w:r>
      <w:r w:rsidR="00934BA3" w:rsidRPr="00317506">
        <w:rPr>
          <w:rFonts w:ascii="Times New Roman" w:hAnsi="Times New Roman" w:cs="Times New Roman"/>
          <w:noProof/>
          <w:sz w:val="24"/>
          <w:szCs w:val="24"/>
        </w:rPr>
        <w:t>mapping of the human mitochondrial intermembrane space in live cells via ratiometric</w:t>
      </w:r>
      <w:r w:rsidRPr="00317506">
        <w:rPr>
          <w:rFonts w:ascii="Times New Roman" w:hAnsi="Times New Roman" w:cs="Times New Roman"/>
          <w:noProof/>
          <w:sz w:val="24"/>
          <w:szCs w:val="24"/>
        </w:rPr>
        <w:t xml:space="preserve"> APEX </w:t>
      </w:r>
      <w:r w:rsidR="00934BA3">
        <w:rPr>
          <w:rFonts w:ascii="Times New Roman" w:hAnsi="Times New Roman" w:cs="Times New Roman"/>
          <w:noProof/>
          <w:sz w:val="24"/>
          <w:szCs w:val="24"/>
        </w:rPr>
        <w:t>t</w:t>
      </w:r>
      <w:r w:rsidRPr="00317506">
        <w:rPr>
          <w:rFonts w:ascii="Times New Roman" w:hAnsi="Times New Roman" w:cs="Times New Roman"/>
          <w:noProof/>
          <w:sz w:val="24"/>
          <w:szCs w:val="24"/>
        </w:rPr>
        <w:t>agging. Mol. Cell. 55: 332–341.</w:t>
      </w:r>
    </w:p>
    <w:p w14:paraId="50F943F4"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[115]</w:t>
      </w:r>
      <w:r w:rsidRPr="00317506">
        <w:rPr>
          <w:rFonts w:ascii="Times New Roman" w:hAnsi="Times New Roman" w:cs="Times New Roman"/>
          <w:noProof/>
          <w:sz w:val="24"/>
          <w:szCs w:val="24"/>
        </w:rPr>
        <w:tab/>
        <w:t>Hung V, Lam SS, Udeshi ND, Svinkina T, Guzman G, Mootha VK, Carr SA, Ting AY (2017) Proteomic mapping of cytosol-facing outer mitochondrial and ER membranes in living human cells by proximity biotinylation. Elife. 6: e24463.</w:t>
      </w:r>
    </w:p>
    <w:p w14:paraId="05B0D62A" w14:textId="00A35619"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[116]</w:t>
      </w:r>
      <w:r w:rsidRPr="00317506">
        <w:rPr>
          <w:rFonts w:ascii="Times New Roman" w:hAnsi="Times New Roman" w:cs="Times New Roman"/>
          <w:noProof/>
          <w:sz w:val="24"/>
          <w:szCs w:val="24"/>
        </w:rPr>
        <w:tab/>
        <w:t xml:space="preserve">Antonicka H, Lin Z-Y, Janer A, Aaltonen MJ, Weraarpachai W, Gingras A-C, Shoubridge EA (2020) A </w:t>
      </w:r>
      <w:r w:rsidR="00934BA3" w:rsidRPr="00317506">
        <w:rPr>
          <w:rFonts w:ascii="Times New Roman" w:hAnsi="Times New Roman" w:cs="Times New Roman"/>
          <w:noProof/>
          <w:sz w:val="24"/>
          <w:szCs w:val="24"/>
        </w:rPr>
        <w:t>high-density human mitochondrial proximity interaction network</w:t>
      </w:r>
      <w:r w:rsidRPr="00317506">
        <w:rPr>
          <w:rFonts w:ascii="Times New Roman" w:hAnsi="Times New Roman" w:cs="Times New Roman"/>
          <w:noProof/>
          <w:sz w:val="24"/>
          <w:szCs w:val="24"/>
        </w:rPr>
        <w:t>. Cell Metab. 32: 479–497.</w:t>
      </w:r>
    </w:p>
    <w:p w14:paraId="6C14B9A9" w14:textId="6B6E71DE"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[117]</w:t>
      </w:r>
      <w:r w:rsidRPr="00317506">
        <w:rPr>
          <w:rFonts w:ascii="Times New Roman" w:hAnsi="Times New Roman" w:cs="Times New Roman"/>
          <w:noProof/>
          <w:sz w:val="24"/>
          <w:szCs w:val="24"/>
        </w:rPr>
        <w:tab/>
        <w:t xml:space="preserve">Arroyo JD, Jourdain AA, Calvo SE, Ballarano CA, Doench JG, Root DE, Mootha VK (2016) A </w:t>
      </w:r>
      <w:r w:rsidR="00934BA3">
        <w:rPr>
          <w:rFonts w:ascii="Times New Roman" w:hAnsi="Times New Roman" w:cs="Times New Roman"/>
          <w:noProof/>
          <w:sz w:val="24"/>
          <w:szCs w:val="24"/>
        </w:rPr>
        <w:t>g</w:t>
      </w:r>
      <w:r w:rsidRPr="00317506">
        <w:rPr>
          <w:rFonts w:ascii="Times New Roman" w:hAnsi="Times New Roman" w:cs="Times New Roman"/>
          <w:noProof/>
          <w:sz w:val="24"/>
          <w:szCs w:val="24"/>
        </w:rPr>
        <w:t xml:space="preserve">enome-wide CRISPR </w:t>
      </w:r>
      <w:r w:rsidR="00934BA3" w:rsidRPr="00317506">
        <w:rPr>
          <w:rFonts w:ascii="Times New Roman" w:hAnsi="Times New Roman" w:cs="Times New Roman"/>
          <w:noProof/>
          <w:sz w:val="24"/>
          <w:szCs w:val="24"/>
        </w:rPr>
        <w:t>death screen identifies genes essential for oxidative phosphorylation</w:t>
      </w:r>
      <w:r w:rsidRPr="00317506">
        <w:rPr>
          <w:rFonts w:ascii="Times New Roman" w:hAnsi="Times New Roman" w:cs="Times New Roman"/>
          <w:noProof/>
          <w:sz w:val="24"/>
          <w:szCs w:val="24"/>
        </w:rPr>
        <w:t>. Cell Metab. 24: 875–885.</w:t>
      </w:r>
    </w:p>
    <w:p w14:paraId="72236F45" w14:textId="2520E720"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[118]</w:t>
      </w:r>
      <w:r w:rsidRPr="00317506">
        <w:rPr>
          <w:rFonts w:ascii="Times New Roman" w:hAnsi="Times New Roman" w:cs="Times New Roman"/>
          <w:noProof/>
          <w:sz w:val="24"/>
          <w:szCs w:val="24"/>
        </w:rPr>
        <w:tab/>
        <w:t xml:space="preserve">Floyd BJ, Wilkerson EM, Veling MT, Minogue CE, Xia C, Beebe ET, Wrobel RL, Cho H, Kremer LS, Alston CL, Gromek KA, Dolan BK, Ulbrich A, Stefely JA, Bohl SL, Werner KM, Jochem A, Westphall MS, Rensvold JW, Taylor RW, Prokisch H, Kim J-JP, Coon JJ, Pagliarini DJ (2016) Mitochondrial </w:t>
      </w:r>
      <w:r w:rsidR="00934BA3" w:rsidRPr="00317506">
        <w:rPr>
          <w:rFonts w:ascii="Times New Roman" w:hAnsi="Times New Roman" w:cs="Times New Roman"/>
          <w:noProof/>
          <w:sz w:val="24"/>
          <w:szCs w:val="24"/>
        </w:rPr>
        <w:t>protein interaction mapping identifies regulators of respiratory chain function</w:t>
      </w:r>
      <w:r w:rsidRPr="00317506">
        <w:rPr>
          <w:rFonts w:ascii="Times New Roman" w:hAnsi="Times New Roman" w:cs="Times New Roman"/>
          <w:noProof/>
          <w:sz w:val="24"/>
          <w:szCs w:val="24"/>
        </w:rPr>
        <w:t>. Mol. Cell. 63: 621–632.</w:t>
      </w:r>
    </w:p>
    <w:p w14:paraId="5470930A"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[119]</w:t>
      </w:r>
      <w:r w:rsidRPr="00317506">
        <w:rPr>
          <w:rFonts w:ascii="Times New Roman" w:hAnsi="Times New Roman" w:cs="Times New Roman"/>
          <w:noProof/>
          <w:sz w:val="24"/>
          <w:szCs w:val="24"/>
        </w:rPr>
        <w:tab/>
        <w:t xml:space="preserve">Huttlin EL, Bruckner RJ, Navarrete-Perea J, Cannon JR, Baltier K, Gebreab F, Gygi </w:t>
      </w:r>
      <w:r w:rsidRPr="00317506">
        <w:rPr>
          <w:rFonts w:ascii="Times New Roman" w:hAnsi="Times New Roman" w:cs="Times New Roman"/>
          <w:noProof/>
          <w:sz w:val="24"/>
          <w:szCs w:val="24"/>
        </w:rPr>
        <w:lastRenderedPageBreak/>
        <w:t>MP, Thornock A, Zarraga G, Tam S, Szpyt J, Gassaway BM, Panov A, Parzen H, Fu S, Golbazi A, Maenpaa E, Stricker K, Guha Thakurta S, Zhang T, Rad R, Pan J, Nusinow DP, Paulo JA, Schweppe DK, Vaites LP, Harper JW, Gygi SP (2021) Dual proteome-scale networks reveal cell-specific remodeling of the human interactome. Cell. 184: 3022–3040.</w:t>
      </w:r>
    </w:p>
    <w:p w14:paraId="7DC5D2E7"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[120]</w:t>
      </w:r>
      <w:r w:rsidRPr="00317506">
        <w:rPr>
          <w:rFonts w:ascii="Times New Roman" w:hAnsi="Times New Roman" w:cs="Times New Roman"/>
          <w:noProof/>
          <w:sz w:val="24"/>
          <w:szCs w:val="24"/>
        </w:rPr>
        <w:tab/>
        <w:t>Wang J, Huo K, Ma L, Tang L, Li D, Huang X, Yuan Y, Li C, Wang W, Guan W, Chen H, Jin C, Wei J, Zhang W, Yang Y, Liu Q, Zhou Y, Zhang C, Wu Z, Xu W, Zhang Y, Liu T, Yu D, Zhang Y, Chen L, Zhu D, Zhong X, Kang L, Gan X, Yu X, Ma Q, Yan J, Zhou L, Liu Z, Zhu Y, Zhou T, He F, Yang X (2011) Toward an understanding of the protein interaction network of the human liver. Mol. Syst. Biol. 7: 536.</w:t>
      </w:r>
    </w:p>
    <w:p w14:paraId="2938D3D1"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[121]</w:t>
      </w:r>
      <w:r w:rsidRPr="00317506">
        <w:rPr>
          <w:rFonts w:ascii="Times New Roman" w:hAnsi="Times New Roman" w:cs="Times New Roman"/>
          <w:noProof/>
          <w:sz w:val="24"/>
          <w:szCs w:val="24"/>
        </w:rPr>
        <w:tab/>
        <w:t>Hadjebi O, Casas-Terradellas E, Garcia-Gonzalo FR, Rosa JL (2008) The RCC1 superfamily: From genes, to function, to disease. Biochim. Biophys. Acta - Mol. Cell Res. 1783: 1467–1479.</w:t>
      </w:r>
    </w:p>
    <w:p w14:paraId="0422C1FC"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[122]</w:t>
      </w:r>
      <w:r w:rsidRPr="00317506">
        <w:rPr>
          <w:rFonts w:ascii="Times New Roman" w:hAnsi="Times New Roman" w:cs="Times New Roman"/>
          <w:noProof/>
          <w:sz w:val="24"/>
          <w:szCs w:val="24"/>
        </w:rPr>
        <w:tab/>
        <w:t>Ohtsubo M, Okazaki H, Nishimoto T (1989) The RCC1 protein, a regulator for the onset of chromosome condensation locates in the nucleus and binds to DNA. J. Cell Biol. 109: 1389–1397.</w:t>
      </w:r>
    </w:p>
    <w:p w14:paraId="447897D8" w14:textId="3D7666DF"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[123]</w:t>
      </w:r>
      <w:r w:rsidRPr="00317506">
        <w:rPr>
          <w:rFonts w:ascii="Times New Roman" w:hAnsi="Times New Roman" w:cs="Times New Roman"/>
          <w:noProof/>
          <w:sz w:val="24"/>
          <w:szCs w:val="24"/>
        </w:rPr>
        <w:tab/>
        <w:t xml:space="preserve">Renault L, Kuhlmann J, Henkel A, Wittinghofer A (2001) Structural </w:t>
      </w:r>
      <w:r w:rsidR="008A43B6" w:rsidRPr="00317506">
        <w:rPr>
          <w:rFonts w:ascii="Times New Roman" w:hAnsi="Times New Roman" w:cs="Times New Roman"/>
          <w:noProof/>
          <w:sz w:val="24"/>
          <w:szCs w:val="24"/>
        </w:rPr>
        <w:t xml:space="preserve">basis for guanine nucleotide exchange on </w:t>
      </w:r>
      <w:r w:rsidR="008A43B6">
        <w:rPr>
          <w:rFonts w:ascii="Times New Roman" w:hAnsi="Times New Roman" w:cs="Times New Roman"/>
          <w:noProof/>
          <w:sz w:val="24"/>
          <w:szCs w:val="24"/>
        </w:rPr>
        <w:t>RAN</w:t>
      </w:r>
      <w:r w:rsidR="008A43B6" w:rsidRPr="00317506">
        <w:rPr>
          <w:rFonts w:ascii="Times New Roman" w:hAnsi="Times New Roman" w:cs="Times New Roman"/>
          <w:noProof/>
          <w:sz w:val="24"/>
          <w:szCs w:val="24"/>
        </w:rPr>
        <w:t xml:space="preserve"> by the regulator of chromosome condensation</w:t>
      </w:r>
      <w:r w:rsidRPr="00317506">
        <w:rPr>
          <w:rFonts w:ascii="Times New Roman" w:hAnsi="Times New Roman" w:cs="Times New Roman"/>
          <w:noProof/>
          <w:sz w:val="24"/>
          <w:szCs w:val="24"/>
        </w:rPr>
        <w:t xml:space="preserve"> (RCC1). Cell. 105: 245–255.</w:t>
      </w:r>
    </w:p>
    <w:p w14:paraId="61661541"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[124]</w:t>
      </w:r>
      <w:r w:rsidRPr="00317506">
        <w:rPr>
          <w:rFonts w:ascii="Times New Roman" w:hAnsi="Times New Roman" w:cs="Times New Roman"/>
          <w:noProof/>
          <w:sz w:val="24"/>
          <w:szCs w:val="24"/>
        </w:rPr>
        <w:tab/>
        <w:t>Schubert C, Laccone F (2006) Williams-Beuren syndrome: Determination of deletion size using quantitative real-time PCR. Int. J. Mol. Med. 18: 799–806.</w:t>
      </w:r>
    </w:p>
    <w:p w14:paraId="244A4C03"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[125]</w:t>
      </w:r>
      <w:r w:rsidRPr="00317506">
        <w:rPr>
          <w:rFonts w:ascii="Times New Roman" w:hAnsi="Times New Roman" w:cs="Times New Roman"/>
          <w:noProof/>
          <w:sz w:val="24"/>
          <w:szCs w:val="24"/>
        </w:rPr>
        <w:tab/>
        <w:t>Antonicka H, Choquet K, Lin Z, Gingras A, Kleinman CL, Shoubridge EA (2017) A pseudouridine synthase module is essential for mitochondrial protein synthesis and cell viability. EMBO Rep. 18: 28–38.</w:t>
      </w:r>
    </w:p>
    <w:p w14:paraId="5152CA0F"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[126]</w:t>
      </w:r>
      <w:r w:rsidRPr="00317506">
        <w:rPr>
          <w:rFonts w:ascii="Times New Roman" w:hAnsi="Times New Roman" w:cs="Times New Roman"/>
          <w:noProof/>
          <w:sz w:val="24"/>
          <w:szCs w:val="24"/>
        </w:rPr>
        <w:tab/>
        <w:t>Koyama M, Sasaki T, Sasaki N, Matsuura Y (2017) Crystal structure of human WBSCR16, an RCC1-like protein in mitochondria. Protein Sci. 26: 1870–1877.</w:t>
      </w:r>
    </w:p>
    <w:p w14:paraId="701E796A"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[127]</w:t>
      </w:r>
      <w:r w:rsidRPr="00317506">
        <w:rPr>
          <w:rFonts w:ascii="Times New Roman" w:hAnsi="Times New Roman" w:cs="Times New Roman"/>
          <w:noProof/>
          <w:sz w:val="24"/>
          <w:szCs w:val="24"/>
        </w:rPr>
        <w:tab/>
        <w:t>Huang G, Massoudi D, Muir AM, Joshi DC, Zhang C-L, Chiu SY, Greenspan DS (2017) WBSCR16 Is a Guanine Nucleotide Exchange Factor Important for Mitochondrial Fusion. Cell Rep. 20: 923–934.</w:t>
      </w:r>
    </w:p>
    <w:p w14:paraId="5C24BAC9"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[128]</w:t>
      </w:r>
      <w:r w:rsidRPr="00317506">
        <w:rPr>
          <w:rFonts w:ascii="Times New Roman" w:hAnsi="Times New Roman" w:cs="Times New Roman"/>
          <w:noProof/>
          <w:sz w:val="24"/>
          <w:szCs w:val="24"/>
        </w:rPr>
        <w:tab/>
        <w:t xml:space="preserve">Reyes A, Favia P, Vidoni S, Petruzzella V, Zeviani M (2020) RCC1L (WBSCR16) </w:t>
      </w:r>
      <w:r w:rsidRPr="00317506">
        <w:rPr>
          <w:rFonts w:ascii="Times New Roman" w:hAnsi="Times New Roman" w:cs="Times New Roman"/>
          <w:noProof/>
          <w:sz w:val="24"/>
          <w:szCs w:val="24"/>
        </w:rPr>
        <w:lastRenderedPageBreak/>
        <w:t>isoforms coordinate mitochondrial ribosome assembly through their interaction with GTPases. PLOS Genet. 16: e1008923.</w:t>
      </w:r>
    </w:p>
    <w:p w14:paraId="081EA4CA"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[129]</w:t>
      </w:r>
      <w:r w:rsidRPr="00317506">
        <w:rPr>
          <w:rFonts w:ascii="Times New Roman" w:hAnsi="Times New Roman" w:cs="Times New Roman"/>
          <w:noProof/>
          <w:sz w:val="24"/>
          <w:szCs w:val="24"/>
        </w:rPr>
        <w:tab/>
        <w:t xml:space="preserve">Ćetković H, Herak Bosnar M, Perina D, Mikoč A, Deželjin M, Belužić R, Bilandžija H, Ruiz-Trillo I, Harcet M (2018) Characterization of a group I Nme protein of </w:t>
      </w:r>
      <w:r w:rsidRPr="008A43B6">
        <w:rPr>
          <w:rFonts w:ascii="Times New Roman" w:hAnsi="Times New Roman" w:cs="Times New Roman"/>
          <w:i/>
          <w:noProof/>
          <w:sz w:val="24"/>
          <w:szCs w:val="24"/>
        </w:rPr>
        <w:t>Capsaspora owczarzaki</w:t>
      </w:r>
      <w:r w:rsidRPr="00317506">
        <w:rPr>
          <w:rFonts w:ascii="Times New Roman" w:hAnsi="Times New Roman" w:cs="Times New Roman"/>
          <w:noProof/>
          <w:sz w:val="24"/>
          <w:szCs w:val="24"/>
        </w:rPr>
        <w:t>—a close unicellular relative of animals. Lab. Investig. 98: 304–314.</w:t>
      </w:r>
    </w:p>
    <w:p w14:paraId="1AA47ED9"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[130]</w:t>
      </w:r>
      <w:r w:rsidRPr="00317506">
        <w:rPr>
          <w:rFonts w:ascii="Times New Roman" w:hAnsi="Times New Roman" w:cs="Times New Roman"/>
          <w:noProof/>
          <w:sz w:val="24"/>
          <w:szCs w:val="24"/>
        </w:rPr>
        <w:tab/>
        <w:t>Agarwal RP, Robison B, Parks RE (1978) [49] Nucleoside diphosphokinase from human erythrocytes, in: Methods in Enzymology, : pp. 376–386.</w:t>
      </w:r>
    </w:p>
    <w:p w14:paraId="33A31DC7" w14:textId="124016FA"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[131]</w:t>
      </w:r>
      <w:r w:rsidRPr="00317506">
        <w:rPr>
          <w:rFonts w:ascii="Times New Roman" w:hAnsi="Times New Roman" w:cs="Times New Roman"/>
          <w:noProof/>
          <w:sz w:val="24"/>
          <w:szCs w:val="24"/>
        </w:rPr>
        <w:tab/>
        <w:t xml:space="preserve">Eskes R, Desagher S, Antonsson B, Martinou J-C (2000) Bid </w:t>
      </w:r>
      <w:r w:rsidR="008A43B6" w:rsidRPr="00317506">
        <w:rPr>
          <w:rFonts w:ascii="Times New Roman" w:hAnsi="Times New Roman" w:cs="Times New Roman"/>
          <w:noProof/>
          <w:sz w:val="24"/>
          <w:szCs w:val="24"/>
        </w:rPr>
        <w:t xml:space="preserve">induces the oligomerization and insertion of </w:t>
      </w:r>
      <w:r w:rsidR="008A43B6">
        <w:rPr>
          <w:rFonts w:ascii="Times New Roman" w:hAnsi="Times New Roman" w:cs="Times New Roman"/>
          <w:noProof/>
          <w:sz w:val="24"/>
          <w:szCs w:val="24"/>
        </w:rPr>
        <w:t>B</w:t>
      </w:r>
      <w:r w:rsidR="008A43B6" w:rsidRPr="00317506">
        <w:rPr>
          <w:rFonts w:ascii="Times New Roman" w:hAnsi="Times New Roman" w:cs="Times New Roman"/>
          <w:noProof/>
          <w:sz w:val="24"/>
          <w:szCs w:val="24"/>
        </w:rPr>
        <w:t>ax into the outer mitochondrial membrane</w:t>
      </w:r>
      <w:r w:rsidRPr="00317506">
        <w:rPr>
          <w:rFonts w:ascii="Times New Roman" w:hAnsi="Times New Roman" w:cs="Times New Roman"/>
          <w:noProof/>
          <w:sz w:val="24"/>
          <w:szCs w:val="24"/>
        </w:rPr>
        <w:t>. Mol. Cell. Biol. 20: 929–935.</w:t>
      </w:r>
    </w:p>
    <w:p w14:paraId="13BA380F"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[132]</w:t>
      </w:r>
      <w:r w:rsidRPr="00317506">
        <w:rPr>
          <w:rFonts w:ascii="Times New Roman" w:hAnsi="Times New Roman" w:cs="Times New Roman"/>
          <w:noProof/>
          <w:sz w:val="24"/>
          <w:szCs w:val="24"/>
        </w:rPr>
        <w:tab/>
        <w:t>Hovius R, Lambrechts H, Nicolay K, de Kruijff B (1990) Improved methods to isolate and subfractionate rat liver mitochondria. Lipid composition of the inner and outer membrane. Biochim. Biophys. Acta - Biomembr. 1021: 217–226.</w:t>
      </w:r>
    </w:p>
    <w:p w14:paraId="6A0545FA" w14:textId="095E9FD5"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[133]</w:t>
      </w:r>
      <w:r w:rsidRPr="00317506">
        <w:rPr>
          <w:rFonts w:ascii="Times New Roman" w:hAnsi="Times New Roman" w:cs="Times New Roman"/>
          <w:noProof/>
          <w:sz w:val="24"/>
          <w:szCs w:val="24"/>
        </w:rPr>
        <w:tab/>
        <w:t xml:space="preserve">Palmieri D, Halverson DO, Ouatas T, Horak CE, Salerno M, Johnson J, Figg WD, Hollingshead M, Hursting S, Berrigan D, Steinberg SM, Merino MJ, Steeg PS (2005) Medroxyprogesterone </w:t>
      </w:r>
      <w:r w:rsidR="008A43B6" w:rsidRPr="00317506">
        <w:rPr>
          <w:rFonts w:ascii="Times New Roman" w:hAnsi="Times New Roman" w:cs="Times New Roman"/>
          <w:noProof/>
          <w:sz w:val="24"/>
          <w:szCs w:val="24"/>
        </w:rPr>
        <w:t xml:space="preserve">acetate elevation </w:t>
      </w:r>
      <w:r w:rsidRPr="00317506">
        <w:rPr>
          <w:rFonts w:ascii="Times New Roman" w:hAnsi="Times New Roman" w:cs="Times New Roman"/>
          <w:noProof/>
          <w:sz w:val="24"/>
          <w:szCs w:val="24"/>
        </w:rPr>
        <w:t xml:space="preserve">of Nm23-H1 </w:t>
      </w:r>
      <w:r w:rsidR="008A43B6" w:rsidRPr="00317506">
        <w:rPr>
          <w:rFonts w:ascii="Times New Roman" w:hAnsi="Times New Roman" w:cs="Times New Roman"/>
          <w:noProof/>
          <w:sz w:val="24"/>
          <w:szCs w:val="24"/>
        </w:rPr>
        <w:t>metastasis suppressor expression in hormone receptor–negative breast cancer</w:t>
      </w:r>
      <w:r w:rsidRPr="00317506">
        <w:rPr>
          <w:rFonts w:ascii="Times New Roman" w:hAnsi="Times New Roman" w:cs="Times New Roman"/>
          <w:noProof/>
          <w:sz w:val="24"/>
          <w:szCs w:val="24"/>
        </w:rPr>
        <w:t>. JNCI J. Natl. Cancer Inst. 97: 632–642.</w:t>
      </w:r>
    </w:p>
    <w:p w14:paraId="675A804E" w14:textId="2851BA01"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[134]</w:t>
      </w:r>
      <w:r w:rsidRPr="00317506">
        <w:rPr>
          <w:rFonts w:ascii="Times New Roman" w:hAnsi="Times New Roman" w:cs="Times New Roman"/>
          <w:noProof/>
          <w:sz w:val="24"/>
          <w:szCs w:val="24"/>
        </w:rPr>
        <w:tab/>
        <w:t xml:space="preserve">Khan I, Gril B, Steeg PS (2019) Metastasis </w:t>
      </w:r>
      <w:r w:rsidR="008A43B6">
        <w:rPr>
          <w:rFonts w:ascii="Times New Roman" w:hAnsi="Times New Roman" w:cs="Times New Roman"/>
          <w:noProof/>
          <w:sz w:val="24"/>
          <w:szCs w:val="24"/>
        </w:rPr>
        <w:t>s</w:t>
      </w:r>
      <w:r w:rsidRPr="00317506">
        <w:rPr>
          <w:rFonts w:ascii="Times New Roman" w:hAnsi="Times New Roman" w:cs="Times New Roman"/>
          <w:noProof/>
          <w:sz w:val="24"/>
          <w:szCs w:val="24"/>
        </w:rPr>
        <w:t xml:space="preserve">uppressors NME1 and NME2 </w:t>
      </w:r>
      <w:r w:rsidR="008A43B6">
        <w:rPr>
          <w:rFonts w:ascii="Times New Roman" w:hAnsi="Times New Roman" w:cs="Times New Roman"/>
          <w:noProof/>
          <w:sz w:val="24"/>
          <w:szCs w:val="24"/>
        </w:rPr>
        <w:t>p</w:t>
      </w:r>
      <w:r w:rsidRPr="00317506">
        <w:rPr>
          <w:rFonts w:ascii="Times New Roman" w:hAnsi="Times New Roman" w:cs="Times New Roman"/>
          <w:noProof/>
          <w:sz w:val="24"/>
          <w:szCs w:val="24"/>
        </w:rPr>
        <w:t xml:space="preserve">romote Dynamin 2 </w:t>
      </w:r>
      <w:r w:rsidR="008A43B6" w:rsidRPr="00317506">
        <w:rPr>
          <w:rFonts w:ascii="Times New Roman" w:hAnsi="Times New Roman" w:cs="Times New Roman"/>
          <w:noProof/>
          <w:sz w:val="24"/>
          <w:szCs w:val="24"/>
        </w:rPr>
        <w:t>oligomerization and regulate tumor cell endocytosis, motility, and metastasis.</w:t>
      </w:r>
      <w:r w:rsidRPr="00317506">
        <w:rPr>
          <w:rFonts w:ascii="Times New Roman" w:hAnsi="Times New Roman" w:cs="Times New Roman"/>
          <w:noProof/>
          <w:sz w:val="24"/>
          <w:szCs w:val="24"/>
        </w:rPr>
        <w:t xml:space="preserve"> Cancer Res. 79: 4689–4702.</w:t>
      </w:r>
    </w:p>
    <w:p w14:paraId="15F90D2D" w14:textId="07ECC2F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[135]</w:t>
      </w:r>
      <w:r w:rsidRPr="00317506">
        <w:rPr>
          <w:rFonts w:ascii="Times New Roman" w:hAnsi="Times New Roman" w:cs="Times New Roman"/>
          <w:noProof/>
          <w:sz w:val="24"/>
          <w:szCs w:val="24"/>
        </w:rPr>
        <w:tab/>
        <w:t xml:space="preserve">Marino N, Marshall J-C, Collins JW, Zhou M, Qian Y, Veenstra T, Steeg PS (2013) Nm23-H1 </w:t>
      </w:r>
      <w:r w:rsidR="008A43B6" w:rsidRPr="00317506">
        <w:rPr>
          <w:rFonts w:ascii="Times New Roman" w:hAnsi="Times New Roman" w:cs="Times New Roman"/>
          <w:noProof/>
          <w:sz w:val="24"/>
          <w:szCs w:val="24"/>
        </w:rPr>
        <w:t xml:space="preserve">binds to </w:t>
      </w:r>
      <w:r w:rsidR="008A43B6">
        <w:rPr>
          <w:rFonts w:ascii="Times New Roman" w:hAnsi="Times New Roman" w:cs="Times New Roman"/>
          <w:noProof/>
          <w:sz w:val="24"/>
          <w:szCs w:val="24"/>
        </w:rPr>
        <w:t>G</w:t>
      </w:r>
      <w:r w:rsidR="008A43B6" w:rsidRPr="00317506">
        <w:rPr>
          <w:rFonts w:ascii="Times New Roman" w:hAnsi="Times New Roman" w:cs="Times New Roman"/>
          <w:noProof/>
          <w:sz w:val="24"/>
          <w:szCs w:val="24"/>
        </w:rPr>
        <w:t xml:space="preserve">elsolin and inactivates its </w:t>
      </w:r>
      <w:r w:rsidR="008A43B6">
        <w:rPr>
          <w:rFonts w:ascii="Times New Roman" w:hAnsi="Times New Roman" w:cs="Times New Roman"/>
          <w:noProof/>
          <w:sz w:val="24"/>
          <w:szCs w:val="24"/>
        </w:rPr>
        <w:t>A</w:t>
      </w:r>
      <w:r w:rsidR="008A43B6" w:rsidRPr="00317506">
        <w:rPr>
          <w:rFonts w:ascii="Times New Roman" w:hAnsi="Times New Roman" w:cs="Times New Roman"/>
          <w:noProof/>
          <w:sz w:val="24"/>
          <w:szCs w:val="24"/>
        </w:rPr>
        <w:t>ctin-severing capacity to promote tumor cell motility and metastasis.</w:t>
      </w:r>
      <w:r w:rsidRPr="00317506">
        <w:rPr>
          <w:rFonts w:ascii="Times New Roman" w:hAnsi="Times New Roman" w:cs="Times New Roman"/>
          <w:noProof/>
          <w:sz w:val="24"/>
          <w:szCs w:val="24"/>
        </w:rPr>
        <w:t xml:space="preserve"> Cancer Res. 73: 5949–5962.</w:t>
      </w:r>
    </w:p>
    <w:p w14:paraId="0E7B2CDA" w14:textId="22FD4D83"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[136]</w:t>
      </w:r>
      <w:r w:rsidRPr="00317506">
        <w:rPr>
          <w:rFonts w:ascii="Times New Roman" w:hAnsi="Times New Roman" w:cs="Times New Roman"/>
          <w:noProof/>
          <w:sz w:val="24"/>
          <w:szCs w:val="24"/>
        </w:rPr>
        <w:tab/>
        <w:t xml:space="preserve">Perina D, Korolija M, Mikoč A, Halasz M, Herak Bosnar M, Ćetković H (2019) Characterization of Nme5-Like </w:t>
      </w:r>
      <w:r w:rsidR="008A43B6" w:rsidRPr="00317506">
        <w:rPr>
          <w:rFonts w:ascii="Times New Roman" w:hAnsi="Times New Roman" w:cs="Times New Roman"/>
          <w:noProof/>
          <w:sz w:val="24"/>
          <w:szCs w:val="24"/>
        </w:rPr>
        <w:t>gene/protein from the red alga</w:t>
      </w:r>
      <w:r w:rsidRPr="00317506">
        <w:rPr>
          <w:rFonts w:ascii="Times New Roman" w:hAnsi="Times New Roman" w:cs="Times New Roman"/>
          <w:noProof/>
          <w:sz w:val="24"/>
          <w:szCs w:val="24"/>
        </w:rPr>
        <w:t xml:space="preserve"> </w:t>
      </w:r>
      <w:r w:rsidRPr="008A43B6">
        <w:rPr>
          <w:rFonts w:ascii="Times New Roman" w:hAnsi="Times New Roman" w:cs="Times New Roman"/>
          <w:i/>
          <w:noProof/>
          <w:sz w:val="24"/>
          <w:szCs w:val="24"/>
        </w:rPr>
        <w:t xml:space="preserve">Chondrus </w:t>
      </w:r>
      <w:r w:rsidR="008A43B6" w:rsidRPr="008A43B6">
        <w:rPr>
          <w:rFonts w:ascii="Times New Roman" w:hAnsi="Times New Roman" w:cs="Times New Roman"/>
          <w:i/>
          <w:noProof/>
          <w:sz w:val="24"/>
          <w:szCs w:val="24"/>
        </w:rPr>
        <w:t>c</w:t>
      </w:r>
      <w:r w:rsidRPr="008A43B6">
        <w:rPr>
          <w:rFonts w:ascii="Times New Roman" w:hAnsi="Times New Roman" w:cs="Times New Roman"/>
          <w:i/>
          <w:noProof/>
          <w:sz w:val="24"/>
          <w:szCs w:val="24"/>
        </w:rPr>
        <w:t>rispus</w:t>
      </w:r>
      <w:r w:rsidRPr="00317506">
        <w:rPr>
          <w:rFonts w:ascii="Times New Roman" w:hAnsi="Times New Roman" w:cs="Times New Roman"/>
          <w:noProof/>
          <w:sz w:val="24"/>
          <w:szCs w:val="24"/>
        </w:rPr>
        <w:t>. Mar. Drugs. 18: 13.</w:t>
      </w:r>
    </w:p>
    <w:p w14:paraId="26744ED6"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[137]</w:t>
      </w:r>
      <w:r w:rsidRPr="00317506">
        <w:rPr>
          <w:rFonts w:ascii="Times New Roman" w:hAnsi="Times New Roman" w:cs="Times New Roman"/>
          <w:noProof/>
          <w:sz w:val="24"/>
          <w:szCs w:val="24"/>
        </w:rPr>
        <w:tab/>
        <w:t>Abu-Taha IH, Heijman J, Feng Y, Vettel C, Dobrev D, Wieland T (2018) Regulation of heterotrimeric G-protein signaling by NDPK/NME proteins and caveolins: an update. Lab. Investig. 98: 190–197.</w:t>
      </w:r>
    </w:p>
    <w:p w14:paraId="57011E97" w14:textId="77777777" w:rsidR="00317506" w:rsidRPr="00317506" w:rsidRDefault="00317506" w:rsidP="00EE55FD">
      <w:pPr>
        <w:widowControl w:val="0"/>
        <w:autoSpaceDE w:val="0"/>
        <w:autoSpaceDN w:val="0"/>
        <w:adjustRightInd w:val="0"/>
        <w:spacing w:line="360" w:lineRule="auto"/>
        <w:ind w:left="640" w:hanging="640"/>
        <w:rPr>
          <w:rFonts w:ascii="Times New Roman" w:hAnsi="Times New Roman" w:cs="Times New Roman"/>
          <w:noProof/>
          <w:sz w:val="24"/>
          <w:szCs w:val="24"/>
        </w:rPr>
      </w:pPr>
      <w:r w:rsidRPr="00317506">
        <w:rPr>
          <w:rFonts w:ascii="Times New Roman" w:hAnsi="Times New Roman" w:cs="Times New Roman"/>
          <w:noProof/>
          <w:sz w:val="24"/>
          <w:szCs w:val="24"/>
        </w:rPr>
        <w:t>[138]</w:t>
      </w:r>
      <w:r w:rsidRPr="00317506">
        <w:rPr>
          <w:rFonts w:ascii="Times New Roman" w:hAnsi="Times New Roman" w:cs="Times New Roman"/>
          <w:noProof/>
          <w:sz w:val="24"/>
          <w:szCs w:val="24"/>
        </w:rPr>
        <w:tab/>
        <w:t xml:space="preserve">International Mouse Phenotyping Consortium (IMPC)_NME6 </w:t>
      </w:r>
      <w:r w:rsidRPr="00317506">
        <w:rPr>
          <w:rFonts w:ascii="Times New Roman" w:hAnsi="Times New Roman" w:cs="Times New Roman"/>
          <w:noProof/>
          <w:sz w:val="24"/>
          <w:szCs w:val="24"/>
        </w:rPr>
        <w:lastRenderedPageBreak/>
        <w:t>https://www.mousephenotype.org/data/genes/MGI:1861676 (accessed December 5, 2021).</w:t>
      </w:r>
    </w:p>
    <w:p w14:paraId="60FF5F32"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[139]</w:t>
      </w:r>
      <w:r w:rsidRPr="00317506">
        <w:rPr>
          <w:rFonts w:ascii="Times New Roman" w:hAnsi="Times New Roman" w:cs="Times New Roman"/>
          <w:noProof/>
          <w:sz w:val="24"/>
          <w:szCs w:val="24"/>
        </w:rPr>
        <w:tab/>
        <w:t>Dickinson ME, Flenniken AM, Ji X, Teboul L, Wong MD, White JK, Meehan TF, Weninger WJ, Westerberg H, Adissu H, Baker CN, Bower L, Brown JM, Brianna Caddle L, Chiani F, Clary D, Cleak J, Daly MJ, Denegre JM, Doe B, Dolan ME, Edie SM, Fuchs H, Gailus-Durner V, Galli A, Gambadoro A, Gallegos J, Guo S, Horner NR, Hsu C wei, Johnson SJ, Kalaga S, Keith LC, Lanoue L, Lawson TN, Lek M, Mark M, Marschall S, Mason J, McElwee ML, Newbigging S, Nutter LMJ, Peterson KA, Ramirez-Solis R, Rowland DJ, Ryder E, Samocha KE, Seavitt JR, Selloum M, Szoke-Kovacs Z, Tamura M, Trainor AG, Tudose I, Wakana S, Warren J, Wendling O, West DB, Wong L, Yoshiki A, MacArthur DG, Tocchini-Valentini GP, Gao X, Flicek P, Bradley A, Skarnes WC, Justice MJ, Parkinson HE, Moore M, Wells S, Braun RE, Svenson KL, Hrabe de Angelis M, Herault Y, Mohun T, Mallon AM, Mark Henkelman R, Brown SDM, Adams DJ, Kent Lloyd KC, McKerlie C, Beaudet AL, Bucan M, Murray SA, McKay M, Urban B, Lund C, Froeter E, LaCasse T, Mehalow A, Gordon E, Donahue LR, Taft R, Kutney P, Dion S, Goodwin L, Kales S, Urban R, Palmer K, Pertuy F, Bitz D, Weber B, Goetz-Reiner P, Jacobs H, Le Marchand E, El Amri A, El Fertak L, Ennah H, Ali-Hadji D, Ayadi A, Wattenhofer-Donze M, Jacquot S, André P, Birling MC, Pavlovic G, Sorg T, Morse I, Benso F, Stewart ME, Copley C, Harrison J, Joynson S, Guo R, Qu D, Spring S, Yu L, Ellegood J, Morikawa L, Shang X, Feugas P, Creighton A, Penton PC, Danisment O, Griggs N, Tudor CL, Green AL, Icoresi Mazzeo C, Siragher E, Lillistone C, Tuck E, Gleeson D, Sethi D, Bayzetinova T, Burvill J, Habib B, Weavers L, Maswood R, Miklejewska E, Woods M, Grau E, Newman S, Sinclair C, Brown E, Ayabe S, Iwama M, Murakami A (2016) High-throughput discovery of novel developmental phenotypes. Nature. 537: 508–514.</w:t>
      </w:r>
    </w:p>
    <w:p w14:paraId="3FF3E0EC"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[140]</w:t>
      </w:r>
      <w:r w:rsidRPr="00317506">
        <w:rPr>
          <w:rFonts w:ascii="Times New Roman" w:hAnsi="Times New Roman" w:cs="Times New Roman"/>
          <w:noProof/>
          <w:sz w:val="24"/>
          <w:szCs w:val="24"/>
        </w:rPr>
        <w:tab/>
        <w:t>Satya-Prakash KL, Pathak S, Hsu TC, Olivé M, Cailleau R (1981) Cytogenetic analysis on eight human breast tumor cell lines: High frequencies of 1q, 11q and HeLa-like marker chromosomes. Cancer Genet. Cytogenet. 3: 61–73.</w:t>
      </w:r>
    </w:p>
    <w:p w14:paraId="0A089CD2"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[141]</w:t>
      </w:r>
      <w:r w:rsidRPr="00317506">
        <w:rPr>
          <w:rFonts w:ascii="Times New Roman" w:hAnsi="Times New Roman" w:cs="Times New Roman"/>
          <w:noProof/>
          <w:sz w:val="24"/>
          <w:szCs w:val="24"/>
        </w:rPr>
        <w:tab/>
        <w:t>Backes S, Hess S, Boos F, Woellhaf MW, Gödel S, Jung M, Mühlhaus T, Herrmann JM (2018) Tom70 enhances mitochondrial preprotein import efficiency by binding to internal targeting sequences. J. Cell Biol. 217: 1369–1382.</w:t>
      </w:r>
    </w:p>
    <w:p w14:paraId="0774EB06"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[142]</w:t>
      </w:r>
      <w:r w:rsidRPr="00317506">
        <w:rPr>
          <w:rFonts w:ascii="Times New Roman" w:hAnsi="Times New Roman" w:cs="Times New Roman"/>
          <w:noProof/>
          <w:sz w:val="24"/>
          <w:szCs w:val="24"/>
        </w:rPr>
        <w:tab/>
        <w:t>iMLP : iMTS-L Prediction http://imlp.bio.uni-kl.de/ (accessed July 1, 2022).</w:t>
      </w:r>
    </w:p>
    <w:p w14:paraId="2B690AA4" w14:textId="44DD3CF6"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lastRenderedPageBreak/>
        <w:t>[143]</w:t>
      </w:r>
      <w:r w:rsidRPr="00317506">
        <w:rPr>
          <w:rFonts w:ascii="Times New Roman" w:hAnsi="Times New Roman" w:cs="Times New Roman"/>
          <w:noProof/>
          <w:sz w:val="24"/>
          <w:szCs w:val="24"/>
        </w:rPr>
        <w:tab/>
        <w:t>Obita T, Muto T, Endo T, Kohda D (2003) Peptide</w:t>
      </w:r>
      <w:r w:rsidR="008A43B6" w:rsidRPr="00317506">
        <w:rPr>
          <w:rFonts w:ascii="Times New Roman" w:hAnsi="Times New Roman" w:cs="Times New Roman"/>
          <w:noProof/>
          <w:sz w:val="24"/>
          <w:szCs w:val="24"/>
        </w:rPr>
        <w:t xml:space="preserve"> library approach with a disulfide tether to refine the</w:t>
      </w:r>
      <w:r w:rsidRPr="00317506">
        <w:rPr>
          <w:rFonts w:ascii="Times New Roman" w:hAnsi="Times New Roman" w:cs="Times New Roman"/>
          <w:noProof/>
          <w:sz w:val="24"/>
          <w:szCs w:val="24"/>
        </w:rPr>
        <w:t xml:space="preserve"> Tom20 </w:t>
      </w:r>
      <w:r w:rsidR="008A43B6" w:rsidRPr="00317506">
        <w:rPr>
          <w:rFonts w:ascii="Times New Roman" w:hAnsi="Times New Roman" w:cs="Times New Roman"/>
          <w:noProof/>
          <w:sz w:val="24"/>
          <w:szCs w:val="24"/>
        </w:rPr>
        <w:t>recognition motif in mitochondrial presequences.</w:t>
      </w:r>
      <w:r w:rsidRPr="00317506">
        <w:rPr>
          <w:rFonts w:ascii="Times New Roman" w:hAnsi="Times New Roman" w:cs="Times New Roman"/>
          <w:noProof/>
          <w:sz w:val="24"/>
          <w:szCs w:val="24"/>
        </w:rPr>
        <w:t xml:space="preserve"> J. Mol. Biol. 328: 495–504.</w:t>
      </w:r>
    </w:p>
    <w:p w14:paraId="77C9F7A9" w14:textId="7A813EBC"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[144]</w:t>
      </w:r>
      <w:r w:rsidRPr="00317506">
        <w:rPr>
          <w:rFonts w:ascii="Times New Roman" w:hAnsi="Times New Roman" w:cs="Times New Roman"/>
          <w:noProof/>
          <w:sz w:val="24"/>
          <w:szCs w:val="24"/>
        </w:rPr>
        <w:tab/>
        <w:t>Fukasawa Y, Tsuji J, Fu S-C, Tomii K, Horton P, Imai K (2015) MitoFates:</w:t>
      </w:r>
      <w:r w:rsidR="008A43B6" w:rsidRPr="00317506">
        <w:rPr>
          <w:rFonts w:ascii="Times New Roman" w:hAnsi="Times New Roman" w:cs="Times New Roman"/>
          <w:noProof/>
          <w:sz w:val="24"/>
          <w:szCs w:val="24"/>
        </w:rPr>
        <w:t xml:space="preserve"> </w:t>
      </w:r>
      <w:r w:rsidR="00635F4F" w:rsidRPr="00317506">
        <w:rPr>
          <w:rFonts w:ascii="Times New Roman" w:hAnsi="Times New Roman" w:cs="Times New Roman"/>
          <w:noProof/>
          <w:sz w:val="24"/>
          <w:szCs w:val="24"/>
        </w:rPr>
        <w:t>I</w:t>
      </w:r>
      <w:r w:rsidR="008A43B6" w:rsidRPr="00317506">
        <w:rPr>
          <w:rFonts w:ascii="Times New Roman" w:hAnsi="Times New Roman" w:cs="Times New Roman"/>
          <w:noProof/>
          <w:sz w:val="24"/>
          <w:szCs w:val="24"/>
        </w:rPr>
        <w:t>mproved prediction of mitochondrial targeting sequences and their cleavage sites</w:t>
      </w:r>
      <w:r w:rsidRPr="00317506">
        <w:rPr>
          <w:rFonts w:ascii="Times New Roman" w:hAnsi="Times New Roman" w:cs="Times New Roman"/>
          <w:noProof/>
          <w:sz w:val="24"/>
          <w:szCs w:val="24"/>
        </w:rPr>
        <w:t>. Mol. Cell. Proteomics. 14: 1113–1126.</w:t>
      </w:r>
    </w:p>
    <w:p w14:paraId="1A2F168B"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[145]</w:t>
      </w:r>
      <w:r w:rsidRPr="00317506">
        <w:rPr>
          <w:rFonts w:ascii="Times New Roman" w:hAnsi="Times New Roman" w:cs="Times New Roman"/>
          <w:noProof/>
          <w:sz w:val="24"/>
          <w:szCs w:val="24"/>
        </w:rPr>
        <w:tab/>
        <w:t>Baysal C, Pérez-González A, Eseverri Á, Jiang X, Medina V, Caro E, Rubio L, Christou P, Zhu C (2020) Recognition motifs rather than phylogenetic origin influence the ability of targeting peptides to import nuclear-encoded recombinant proteins into rice mitochondria. Transgenic Res. 29: 37–52.</w:t>
      </w:r>
    </w:p>
    <w:p w14:paraId="1B80879F"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[146]</w:t>
      </w:r>
      <w:r w:rsidRPr="00317506">
        <w:rPr>
          <w:rFonts w:ascii="Times New Roman" w:hAnsi="Times New Roman" w:cs="Times New Roman"/>
          <w:noProof/>
          <w:sz w:val="24"/>
          <w:szCs w:val="24"/>
        </w:rPr>
        <w:tab/>
        <w:t>Schlattner U, Tokarska-Schlattner M, Epand RM, Boissan M, Lacombe M-L, Kagan VE (2018) NME4/nucleoside diphosphate kinase D in cardiolipin signaling and mitophagy. Lab. Invest. 98: 228–232.</w:t>
      </w:r>
    </w:p>
    <w:p w14:paraId="2CDFB049" w14:textId="77777777"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[147]</w:t>
      </w:r>
      <w:r w:rsidRPr="00317506">
        <w:rPr>
          <w:rFonts w:ascii="Times New Roman" w:hAnsi="Times New Roman" w:cs="Times New Roman"/>
          <w:noProof/>
          <w:sz w:val="24"/>
          <w:szCs w:val="24"/>
        </w:rPr>
        <w:tab/>
        <w:t>Horbay R, Bilyy R (2016) Mitochondrial dynamics during cell cycling. Apoptosis. 21: 1327–1335.</w:t>
      </w:r>
    </w:p>
    <w:p w14:paraId="1C7AABFA" w14:textId="55C8411D" w:rsidR="00317506" w:rsidRPr="00317506" w:rsidRDefault="00317506" w:rsidP="00DB0F0D">
      <w:pPr>
        <w:widowControl w:val="0"/>
        <w:autoSpaceDE w:val="0"/>
        <w:autoSpaceDN w:val="0"/>
        <w:adjustRightInd w:val="0"/>
        <w:spacing w:line="360" w:lineRule="auto"/>
        <w:ind w:left="640" w:hanging="640"/>
        <w:jc w:val="both"/>
        <w:rPr>
          <w:rFonts w:ascii="Times New Roman" w:hAnsi="Times New Roman" w:cs="Times New Roman"/>
          <w:noProof/>
          <w:sz w:val="24"/>
          <w:szCs w:val="24"/>
        </w:rPr>
      </w:pPr>
      <w:r w:rsidRPr="00317506">
        <w:rPr>
          <w:rFonts w:ascii="Times New Roman" w:hAnsi="Times New Roman" w:cs="Times New Roman"/>
          <w:noProof/>
          <w:sz w:val="24"/>
          <w:szCs w:val="24"/>
        </w:rPr>
        <w:t>[148]</w:t>
      </w:r>
      <w:r w:rsidRPr="00317506">
        <w:rPr>
          <w:rFonts w:ascii="Times New Roman" w:hAnsi="Times New Roman" w:cs="Times New Roman"/>
          <w:noProof/>
          <w:sz w:val="24"/>
          <w:szCs w:val="24"/>
        </w:rPr>
        <w:tab/>
        <w:t xml:space="preserve">Tena JJ, Santos-Pereira JM (2021) Topologically </w:t>
      </w:r>
      <w:r w:rsidR="008A43B6" w:rsidRPr="00317506">
        <w:rPr>
          <w:rFonts w:ascii="Times New Roman" w:hAnsi="Times New Roman" w:cs="Times New Roman"/>
          <w:noProof/>
          <w:sz w:val="24"/>
          <w:szCs w:val="24"/>
        </w:rPr>
        <w:t>associating domains and regulatory landscapes in development, evolution and disease.</w:t>
      </w:r>
      <w:r w:rsidRPr="00317506">
        <w:rPr>
          <w:rFonts w:ascii="Times New Roman" w:hAnsi="Times New Roman" w:cs="Times New Roman"/>
          <w:noProof/>
          <w:sz w:val="24"/>
          <w:szCs w:val="24"/>
        </w:rPr>
        <w:t xml:space="preserve"> Front. Cell Dev. Biol. 9: 1817.</w:t>
      </w:r>
    </w:p>
    <w:p w14:paraId="3616F075" w14:textId="4C8979B6" w:rsidR="000F77B4" w:rsidRDefault="00317506" w:rsidP="00DB0F0D">
      <w:pPr>
        <w:widowControl w:val="0"/>
        <w:autoSpaceDE w:val="0"/>
        <w:autoSpaceDN w:val="0"/>
        <w:adjustRightInd w:val="0"/>
        <w:spacing w:line="360" w:lineRule="auto"/>
        <w:ind w:left="640" w:hanging="640"/>
        <w:jc w:val="both"/>
        <w:rPr>
          <w:rFonts w:ascii="Times New Roman" w:hAnsi="Times New Roman" w:cs="Times New Roman"/>
          <w:sz w:val="24"/>
          <w:szCs w:val="24"/>
        </w:rPr>
      </w:pPr>
      <w:r w:rsidRPr="00317506">
        <w:rPr>
          <w:rFonts w:ascii="Times New Roman" w:hAnsi="Times New Roman" w:cs="Times New Roman"/>
          <w:noProof/>
          <w:sz w:val="24"/>
          <w:szCs w:val="24"/>
        </w:rPr>
        <w:t>[149]</w:t>
      </w:r>
      <w:r w:rsidRPr="00317506">
        <w:rPr>
          <w:rFonts w:ascii="Times New Roman" w:hAnsi="Times New Roman" w:cs="Times New Roman"/>
          <w:noProof/>
          <w:sz w:val="24"/>
          <w:szCs w:val="24"/>
        </w:rPr>
        <w:tab/>
        <w:t>Szabo Q, Bantignies F, Cavalli G (2019) Principles of genome folding into topologically associating domains. Sci. Adv. 5: eaaw1668.</w:t>
      </w:r>
      <w:r w:rsidR="00AC4DFA" w:rsidRPr="002E26D2">
        <w:rPr>
          <w:rFonts w:ascii="Times New Roman" w:hAnsi="Times New Roman" w:cs="Times New Roman"/>
          <w:sz w:val="24"/>
          <w:szCs w:val="24"/>
        </w:rPr>
        <w:fldChar w:fldCharType="end"/>
      </w:r>
      <w:r w:rsidR="000F77B4">
        <w:rPr>
          <w:rFonts w:ascii="Times New Roman" w:hAnsi="Times New Roman" w:cs="Times New Roman"/>
          <w:sz w:val="24"/>
          <w:szCs w:val="24"/>
        </w:rPr>
        <w:br w:type="page"/>
      </w:r>
    </w:p>
    <w:p w14:paraId="571F0209" w14:textId="69DF004F" w:rsidR="00AC4DFA" w:rsidRPr="002E26D2" w:rsidRDefault="007D236F" w:rsidP="007D236F">
      <w:pPr>
        <w:pStyle w:val="Heading1"/>
      </w:pPr>
      <w:bookmarkStart w:id="283" w:name="_Toc117153909"/>
      <w:r>
        <w:lastRenderedPageBreak/>
        <w:t>CURRICULUM VITAE</w:t>
      </w:r>
      <w:bookmarkEnd w:id="283"/>
    </w:p>
    <w:p w14:paraId="1E87FBC1" w14:textId="77777777" w:rsidR="00C52688" w:rsidRPr="000F259C" w:rsidRDefault="00C52688" w:rsidP="00C52688">
      <w:pPr>
        <w:spacing w:line="360" w:lineRule="auto"/>
        <w:jc w:val="both"/>
        <w:rPr>
          <w:rFonts w:ascii="Times New Roman" w:hAnsi="Times New Roman" w:cs="Times New Roman"/>
          <w:sz w:val="24"/>
          <w:szCs w:val="24"/>
        </w:rPr>
      </w:pPr>
      <w:r w:rsidRPr="000F259C">
        <w:rPr>
          <w:rFonts w:ascii="Times New Roman" w:hAnsi="Times New Roman" w:cs="Times New Roman"/>
          <w:sz w:val="24"/>
          <w:szCs w:val="24"/>
        </w:rPr>
        <w:t xml:space="preserve">Bastien Proust was born October 1993 in Verneuil-sur-Avre (France). In 2016 he obtained his French-Croatian Master’s co-diploma in Biochemistry, Molecular Biology and Biotechnology/Molecular Biology from the Collégium Sciences et Techniques, University of Orléans, France, and Faculty of Science, University of Zagreb, Croatia. Since 2018, he has been working as a research assistant in the Laboratory for Protein Dynamics, Division of Molecular Medicine at the Ruđer Bošković Institute under the mentorship of Dr. sc. Maja Herak Bosnar. In parallel, he enrolled a postgraduate doctoral program in Biology at the Department of Biology, Faculty of Science, University of Zagreb. </w:t>
      </w:r>
    </w:p>
    <w:p w14:paraId="61D1DEEC" w14:textId="77777777" w:rsidR="00C52688" w:rsidRDefault="00C52688" w:rsidP="00C52688">
      <w:pPr>
        <w:spacing w:line="360" w:lineRule="auto"/>
        <w:jc w:val="both"/>
        <w:rPr>
          <w:rFonts w:ascii="Times New Roman" w:hAnsi="Times New Roman" w:cs="Times New Roman"/>
          <w:sz w:val="24"/>
          <w:szCs w:val="24"/>
        </w:rPr>
      </w:pPr>
      <w:r w:rsidRPr="000F259C">
        <w:rPr>
          <w:rFonts w:ascii="Times New Roman" w:hAnsi="Times New Roman" w:cs="Times New Roman"/>
          <w:sz w:val="24"/>
          <w:szCs w:val="24"/>
        </w:rPr>
        <w:t xml:space="preserve">He was involved in domestic and international collaborations leading to four peer-reviewed scientific publications in international journals, one as the first author. He has been awarded two grants and actively participated in numerous national and international conferences, meetings and workshops. He was a member of the organizing committee of the </w:t>
      </w:r>
      <w:r w:rsidRPr="000F259C">
        <w:rPr>
          <w:rFonts w:ascii="Times New Roman" w:hAnsi="Times New Roman" w:cs="Times New Roman"/>
          <w:i/>
          <w:sz w:val="24"/>
          <w:szCs w:val="24"/>
        </w:rPr>
        <w:t>5th meeting of the Croatian Association for Cancer Research (HDIR5), “Translating Science to Medicine – Targets and Therapeutics”</w:t>
      </w:r>
      <w:r w:rsidRPr="000F259C">
        <w:rPr>
          <w:rFonts w:ascii="Times New Roman" w:hAnsi="Times New Roman" w:cs="Times New Roman"/>
          <w:sz w:val="24"/>
          <w:szCs w:val="24"/>
        </w:rPr>
        <w:t xml:space="preserve"> (Croatia 2018).</w:t>
      </w:r>
    </w:p>
    <w:p w14:paraId="06B4689A" w14:textId="77777777" w:rsidR="00C52688" w:rsidRPr="00C52688" w:rsidRDefault="00C52688" w:rsidP="00C52688">
      <w:pPr>
        <w:spacing w:before="240" w:line="360" w:lineRule="auto"/>
        <w:jc w:val="both"/>
        <w:rPr>
          <w:rFonts w:ascii="Times New Roman" w:hAnsi="Times New Roman" w:cs="Times New Roman"/>
          <w:sz w:val="24"/>
          <w:szCs w:val="24"/>
          <w:u w:val="single"/>
        </w:rPr>
      </w:pPr>
      <w:r w:rsidRPr="00C52688">
        <w:rPr>
          <w:rFonts w:ascii="Times New Roman" w:hAnsi="Times New Roman" w:cs="Times New Roman"/>
          <w:sz w:val="24"/>
          <w:szCs w:val="24"/>
          <w:u w:val="single"/>
        </w:rPr>
        <w:t>PUBLICATIONS :</w:t>
      </w:r>
    </w:p>
    <w:p w14:paraId="521D88C0" w14:textId="77777777" w:rsidR="00C52688" w:rsidRPr="00543C04" w:rsidRDefault="00C52688" w:rsidP="00C5268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543C04">
        <w:rPr>
          <w:rFonts w:ascii="Times New Roman" w:hAnsi="Times New Roman" w:cs="Times New Roman"/>
          <w:sz w:val="24"/>
          <w:szCs w:val="24"/>
        </w:rPr>
        <w:t xml:space="preserve">Ozretić P, Hanžić N, </w:t>
      </w:r>
      <w:r w:rsidRPr="005D4DE1">
        <w:rPr>
          <w:rFonts w:ascii="Times New Roman" w:hAnsi="Times New Roman" w:cs="Times New Roman"/>
          <w:b/>
          <w:sz w:val="24"/>
          <w:szCs w:val="24"/>
        </w:rPr>
        <w:t>Proust B</w:t>
      </w:r>
      <w:r w:rsidRPr="00543C04">
        <w:rPr>
          <w:rFonts w:ascii="Times New Roman" w:hAnsi="Times New Roman" w:cs="Times New Roman"/>
          <w:sz w:val="24"/>
          <w:szCs w:val="24"/>
        </w:rPr>
        <w:t>, Sabol M, Trnski D, Radić M, Musani V, Ciribilli Y, Milas I, Puljiz Z, Bosnar MH, Levanat S, Slade N (</w:t>
      </w:r>
      <w:r w:rsidRPr="005D4DE1">
        <w:rPr>
          <w:rFonts w:ascii="Times New Roman" w:hAnsi="Times New Roman" w:cs="Times New Roman"/>
          <w:b/>
          <w:sz w:val="24"/>
          <w:szCs w:val="24"/>
        </w:rPr>
        <w:t>2019</w:t>
      </w:r>
      <w:r w:rsidRPr="00543C04">
        <w:rPr>
          <w:rFonts w:ascii="Times New Roman" w:hAnsi="Times New Roman" w:cs="Times New Roman"/>
          <w:sz w:val="24"/>
          <w:szCs w:val="24"/>
        </w:rPr>
        <w:t>) Expression profiles of p53/p73, NME and GLI families in metastatic melanoma tissue and cell lines. Sci. Rep. 9: 12470.</w:t>
      </w:r>
    </w:p>
    <w:p w14:paraId="52141F6A" w14:textId="4CC65FE7" w:rsidR="00C52688" w:rsidRPr="00543C04" w:rsidRDefault="00C52688" w:rsidP="00C52688">
      <w:pPr>
        <w:spacing w:line="360" w:lineRule="auto"/>
        <w:jc w:val="both"/>
        <w:rPr>
          <w:rFonts w:ascii="Times New Roman" w:hAnsi="Times New Roman" w:cs="Times New Roman"/>
          <w:sz w:val="24"/>
          <w:szCs w:val="24"/>
        </w:rPr>
      </w:pPr>
      <w:r w:rsidRPr="00543C04">
        <w:rPr>
          <w:rFonts w:ascii="Times New Roman" w:hAnsi="Times New Roman" w:cs="Times New Roman"/>
          <w:sz w:val="24"/>
          <w:szCs w:val="24"/>
        </w:rPr>
        <w:t>2.</w:t>
      </w:r>
      <w:r>
        <w:rPr>
          <w:rFonts w:ascii="Times New Roman" w:hAnsi="Times New Roman" w:cs="Times New Roman"/>
          <w:sz w:val="24"/>
          <w:szCs w:val="24"/>
        </w:rPr>
        <w:t xml:space="preserve"> </w:t>
      </w:r>
      <w:r w:rsidRPr="00543C04">
        <w:rPr>
          <w:rFonts w:ascii="Times New Roman" w:hAnsi="Times New Roman" w:cs="Times New Roman"/>
          <w:sz w:val="24"/>
          <w:szCs w:val="24"/>
        </w:rPr>
        <w:t xml:space="preserve">Pinterić M, Podgorski II, Hadžija MP, Filić V, Paradžik M, </w:t>
      </w:r>
      <w:r w:rsidRPr="005D4DE1">
        <w:rPr>
          <w:rFonts w:ascii="Times New Roman" w:hAnsi="Times New Roman" w:cs="Times New Roman"/>
          <w:b/>
          <w:sz w:val="24"/>
          <w:szCs w:val="24"/>
        </w:rPr>
        <w:t>Proust BLJ</w:t>
      </w:r>
      <w:r w:rsidRPr="00543C04">
        <w:rPr>
          <w:rFonts w:ascii="Times New Roman" w:hAnsi="Times New Roman" w:cs="Times New Roman"/>
          <w:sz w:val="24"/>
          <w:szCs w:val="24"/>
        </w:rPr>
        <w:t>, Dekanić A, Ciganek I, Pleše D, Marčinko D, Balog T, Sobočanec S (</w:t>
      </w:r>
      <w:r w:rsidRPr="005D4DE1">
        <w:rPr>
          <w:rFonts w:ascii="Times New Roman" w:hAnsi="Times New Roman" w:cs="Times New Roman"/>
          <w:b/>
          <w:sz w:val="24"/>
          <w:szCs w:val="24"/>
        </w:rPr>
        <w:t>2020</w:t>
      </w:r>
      <w:r w:rsidRPr="00543C04">
        <w:rPr>
          <w:rFonts w:ascii="Times New Roman" w:hAnsi="Times New Roman" w:cs="Times New Roman"/>
          <w:sz w:val="24"/>
          <w:szCs w:val="24"/>
        </w:rPr>
        <w:t xml:space="preserve">) Sirt3 </w:t>
      </w:r>
      <w:r w:rsidR="00F22540" w:rsidRPr="00543C04">
        <w:rPr>
          <w:rFonts w:ascii="Times New Roman" w:hAnsi="Times New Roman" w:cs="Times New Roman"/>
          <w:sz w:val="24"/>
          <w:szCs w:val="24"/>
        </w:rPr>
        <w:t xml:space="preserve">exerts its tumor-suppressive role by increasing p53 and attenuating response to estrogen </w:t>
      </w:r>
      <w:r w:rsidRPr="00543C04">
        <w:rPr>
          <w:rFonts w:ascii="Times New Roman" w:hAnsi="Times New Roman" w:cs="Times New Roman"/>
          <w:sz w:val="24"/>
          <w:szCs w:val="24"/>
        </w:rPr>
        <w:t>in MCF-7 Cells. Antioxidants. 9: 294.</w:t>
      </w:r>
    </w:p>
    <w:p w14:paraId="69061466" w14:textId="646451AD" w:rsidR="00C52688" w:rsidRPr="000F259C" w:rsidRDefault="00C52688" w:rsidP="00C5268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0F259C">
        <w:rPr>
          <w:rFonts w:ascii="Times New Roman" w:hAnsi="Times New Roman" w:cs="Times New Roman"/>
          <w:sz w:val="24"/>
          <w:szCs w:val="24"/>
        </w:rPr>
        <w:t xml:space="preserve">Kesić M, Baković P, Horvatiček M, </w:t>
      </w:r>
      <w:r w:rsidRPr="005D4DE1">
        <w:rPr>
          <w:rFonts w:ascii="Times New Roman" w:hAnsi="Times New Roman" w:cs="Times New Roman"/>
          <w:b/>
          <w:sz w:val="24"/>
          <w:szCs w:val="24"/>
        </w:rPr>
        <w:t>Proust BLJ</w:t>
      </w:r>
      <w:r w:rsidRPr="000F259C">
        <w:rPr>
          <w:rFonts w:ascii="Times New Roman" w:hAnsi="Times New Roman" w:cs="Times New Roman"/>
          <w:sz w:val="24"/>
          <w:szCs w:val="24"/>
        </w:rPr>
        <w:t>, Štefulj J, Čičin-Šain L (</w:t>
      </w:r>
      <w:r w:rsidRPr="005D4DE1">
        <w:rPr>
          <w:rFonts w:ascii="Times New Roman" w:hAnsi="Times New Roman" w:cs="Times New Roman"/>
          <w:b/>
          <w:sz w:val="24"/>
          <w:szCs w:val="24"/>
        </w:rPr>
        <w:t>2020</w:t>
      </w:r>
      <w:r w:rsidRPr="000F259C">
        <w:rPr>
          <w:rFonts w:ascii="Times New Roman" w:hAnsi="Times New Roman" w:cs="Times New Roman"/>
          <w:sz w:val="24"/>
          <w:szCs w:val="24"/>
        </w:rPr>
        <w:t xml:space="preserve">) Constitutionally </w:t>
      </w:r>
      <w:r w:rsidR="00534924" w:rsidRPr="000F259C">
        <w:rPr>
          <w:rFonts w:ascii="Times New Roman" w:hAnsi="Times New Roman" w:cs="Times New Roman"/>
          <w:sz w:val="24"/>
          <w:szCs w:val="24"/>
        </w:rPr>
        <w:t>high serotonin tone favors obesity</w:t>
      </w:r>
      <w:r w:rsidRPr="000F259C">
        <w:rPr>
          <w:rFonts w:ascii="Times New Roman" w:hAnsi="Times New Roman" w:cs="Times New Roman"/>
          <w:sz w:val="24"/>
          <w:szCs w:val="24"/>
        </w:rPr>
        <w:t xml:space="preserve">: Study on </w:t>
      </w:r>
      <w:r w:rsidR="00534924" w:rsidRPr="000F259C">
        <w:rPr>
          <w:rFonts w:ascii="Times New Roman" w:hAnsi="Times New Roman" w:cs="Times New Roman"/>
          <w:sz w:val="24"/>
          <w:szCs w:val="24"/>
        </w:rPr>
        <w:t>rat sublines with altered serotonin homeostasis</w:t>
      </w:r>
      <w:r w:rsidRPr="000F259C">
        <w:rPr>
          <w:rFonts w:ascii="Times New Roman" w:hAnsi="Times New Roman" w:cs="Times New Roman"/>
          <w:sz w:val="24"/>
          <w:szCs w:val="24"/>
        </w:rPr>
        <w:t>. Front. Neurosci. 14: 219.</w:t>
      </w:r>
    </w:p>
    <w:p w14:paraId="5B9DF294" w14:textId="7DB3BA16" w:rsidR="005969BB" w:rsidRPr="002E26D2" w:rsidRDefault="00C52688" w:rsidP="00C5268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Pr="005D4DE1">
        <w:rPr>
          <w:rFonts w:ascii="Times New Roman" w:hAnsi="Times New Roman" w:cs="Times New Roman"/>
          <w:b/>
          <w:sz w:val="24"/>
          <w:szCs w:val="24"/>
        </w:rPr>
        <w:t>Proust B</w:t>
      </w:r>
      <w:r w:rsidRPr="000F259C">
        <w:rPr>
          <w:rFonts w:ascii="Times New Roman" w:hAnsi="Times New Roman" w:cs="Times New Roman"/>
          <w:sz w:val="24"/>
          <w:szCs w:val="24"/>
        </w:rPr>
        <w:t>, Radić M, Vidaček NŠ, Cottet C, Attia S, Lamarche F, Ačkar L, Mikulčić VG, Tokarska-Schlattner M, Ćetković H, Schlattner U, Bosnar MH (</w:t>
      </w:r>
      <w:r w:rsidRPr="005D4DE1">
        <w:rPr>
          <w:rFonts w:ascii="Times New Roman" w:hAnsi="Times New Roman" w:cs="Times New Roman"/>
          <w:b/>
          <w:sz w:val="24"/>
          <w:szCs w:val="24"/>
        </w:rPr>
        <w:t>2021</w:t>
      </w:r>
      <w:r w:rsidRPr="000F259C">
        <w:rPr>
          <w:rFonts w:ascii="Times New Roman" w:hAnsi="Times New Roman" w:cs="Times New Roman"/>
          <w:sz w:val="24"/>
          <w:szCs w:val="24"/>
        </w:rPr>
        <w:t>) NME6 is a phosphotransfer-inactive, monomeric NME/NDPK family member and functions in complexes at the interface of mitochondrial inner membrane and matrix. Cell Biosci. 11: 195.</w:t>
      </w:r>
    </w:p>
    <w:sectPr w:rsidR="005969BB" w:rsidRPr="002E26D2" w:rsidSect="00E91412">
      <w:headerReference w:type="default" r:id="rId63"/>
      <w:footerReference w:type="default" r:id="rId64"/>
      <w:pgSz w:w="11906" w:h="16838"/>
      <w:pgMar w:top="1440" w:right="1440" w:bottom="1440" w:left="1440" w:header="709" w:footer="709" w:gutter="0"/>
      <w:pgNumType w:start="1"/>
      <w:cols w:space="708"/>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6E53EDB" w16cex:dateUtc="2022-10-03T08:58:00Z"/>
  <w16cex:commentExtensible w16cex:durableId="26E53EC0" w16cex:dateUtc="2022-10-03T08:58:00Z"/>
  <w16cex:commentExtensible w16cex:durableId="26E53FA1" w16cex:dateUtc="2022-10-03T09:01:00Z"/>
  <w16cex:commentExtensible w16cex:durableId="26E540BB" w16cex:dateUtc="2022-10-03T09:06:00Z"/>
  <w16cex:commentExtensible w16cex:durableId="26E540F4" w16cex:dateUtc="2022-10-03T09:07:00Z"/>
  <w16cex:commentExtensible w16cex:durableId="26E54297" w16cex:dateUtc="2022-10-03T09:14:00Z"/>
  <w16cex:commentExtensible w16cex:durableId="26E542D0" w16cex:dateUtc="2022-10-03T09:15:00Z"/>
  <w16cex:commentExtensible w16cex:durableId="26E542E1" w16cex:dateUtc="2022-10-03T09:15:00Z"/>
  <w16cex:commentExtensible w16cex:durableId="26E54310" w16cex:dateUtc="2022-10-03T09:16:00Z"/>
  <w16cex:commentExtensible w16cex:durableId="26E54585" w16cex:dateUtc="2022-10-03T09:27:00Z"/>
  <w16cex:commentExtensible w16cex:durableId="26E545F7" w16cex:dateUtc="2022-10-03T09:28:00Z"/>
  <w16cex:commentExtensible w16cex:durableId="26E544FC" w16cex:dateUtc="2022-10-03T09:24:00Z"/>
  <w16cex:commentExtensible w16cex:durableId="26E552FC" w16cex:dateUtc="2022-10-03T10:24:00Z"/>
  <w16cex:commentExtensible w16cex:durableId="26E54E3B" w16cex:dateUtc="2022-10-03T10:04:00Z"/>
  <w16cex:commentExtensible w16cex:durableId="26E55039" w16cex:dateUtc="2022-10-03T10:12:00Z"/>
  <w16cex:commentExtensible w16cex:durableId="26E55565" w16cex:dateUtc="2022-10-03T10:34:00Z"/>
  <w16cex:commentExtensible w16cex:durableId="26E555A5" w16cex:dateUtc="2022-10-03T10:35:00Z"/>
  <w16cex:commentExtensible w16cex:durableId="26E55601" w16cex:dateUtc="2022-10-03T10:37:00Z"/>
  <w16cex:commentExtensible w16cex:durableId="26E569FE" w16cex:dateUtc="2022-10-03T12:02:00Z"/>
  <w16cex:commentExtensible w16cex:durableId="26E56B2D" w16cex:dateUtc="2022-10-03T12:07:00Z"/>
  <w16cex:commentExtensible w16cex:durableId="26E6904A" w16cex:dateUtc="2022-10-04T08:58:00Z"/>
  <w16cex:commentExtensible w16cex:durableId="26E56AD7" w16cex:dateUtc="2022-10-03T12:06:00Z"/>
  <w16cex:commentExtensible w16cex:durableId="26E68D89" w16cex:dateUtc="2022-10-04T08:46:00Z"/>
  <w16cex:commentExtensible w16cex:durableId="26E690BD" w16cex:dateUtc="2022-10-04T09:00:00Z"/>
  <w16cex:commentExtensible w16cex:durableId="26E69159" w16cex:dateUtc="2022-10-04T09:02:00Z"/>
  <w16cex:commentExtensible w16cex:durableId="26E691BD" w16cex:dateUtc="2022-10-04T09:04:00Z"/>
  <w16cex:commentExtensible w16cex:durableId="26E691F4" w16cex:dateUtc="2022-10-04T09:05:00Z"/>
  <w16cex:commentExtensible w16cex:durableId="26E692B3" w16cex:dateUtc="2022-10-04T09:08:00Z"/>
  <w16cex:commentExtensible w16cex:durableId="26E6965D" w16cex:dateUtc="2022-10-04T09:24:00Z"/>
  <w16cex:commentExtensible w16cex:durableId="26E695D7" w16cex:dateUtc="2022-10-04T09:21:00Z"/>
  <w16cex:commentExtensible w16cex:durableId="26E695E3" w16cex:dateUtc="2022-10-04T09:22:00Z"/>
  <w16cex:commentExtensible w16cex:durableId="26E69612" w16cex:dateUtc="2022-10-04T09:22:00Z"/>
  <w16cex:commentExtensible w16cex:durableId="26E69632" w16cex:dateUtc="2022-10-04T09:23:00Z"/>
  <w16cex:commentExtensible w16cex:durableId="26E6963C" w16cex:dateUtc="2022-10-04T09:23:00Z"/>
  <w16cex:commentExtensible w16cex:durableId="26E69643" w16cex:dateUtc="2022-10-04T09:23:00Z"/>
  <w16cex:commentExtensible w16cex:durableId="26E696BC" w16cex:dateUtc="2022-10-04T09:25:00Z"/>
  <w16cex:commentExtensible w16cex:durableId="26E69703" w16cex:dateUtc="2022-10-04T09:26:00Z"/>
  <w16cex:commentExtensible w16cex:durableId="26E69714" w16cex:dateUtc="2022-10-04T09:27:00Z"/>
  <w16cex:commentExtensible w16cex:durableId="26E6990D" w16cex:dateUtc="2022-10-04T09:35:00Z"/>
  <w16cex:commentExtensible w16cex:durableId="26E7DE19" w16cex:dateUtc="2022-10-05T08:42:00Z"/>
  <w16cex:commentExtensible w16cex:durableId="26E7DF1A" w16cex:dateUtc="2022-10-05T08:46:00Z"/>
  <w16cex:commentExtensible w16cex:durableId="26E7E2BF" w16cex:dateUtc="2022-10-05T09:02:00Z"/>
  <w16cex:commentExtensible w16cex:durableId="26E92121" w16cex:dateUtc="2022-10-06T07:40:00Z"/>
  <w16cex:commentExtensible w16cex:durableId="26E54A6D" w16cex:dateUtc="2022-10-03T09:47:00Z"/>
  <w16cex:commentExtensible w16cex:durableId="6D0E64D6" w16cex:dateUtc="2022-10-25T09:31:48.431Z"/>
  <w16cex:commentExtensible w16cex:durableId="22E503DF" w16cex:dateUtc="2022-10-25T09:45:42.399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3EDAC0" w14:textId="77777777" w:rsidR="003D58A7" w:rsidRDefault="003D58A7" w:rsidP="00746C04">
      <w:pPr>
        <w:spacing w:after="0" w:line="240" w:lineRule="auto"/>
      </w:pPr>
      <w:r>
        <w:separator/>
      </w:r>
    </w:p>
    <w:p w14:paraId="2A5AE273" w14:textId="77777777" w:rsidR="003D58A7" w:rsidRDefault="003D58A7"/>
  </w:endnote>
  <w:endnote w:type="continuationSeparator" w:id="0">
    <w:p w14:paraId="626BA8D4" w14:textId="77777777" w:rsidR="003D58A7" w:rsidRDefault="003D58A7" w:rsidP="00746C04">
      <w:pPr>
        <w:spacing w:after="0" w:line="240" w:lineRule="auto"/>
      </w:pPr>
      <w:r>
        <w:continuationSeparator/>
      </w:r>
    </w:p>
    <w:p w14:paraId="5738C952" w14:textId="77777777" w:rsidR="003D58A7" w:rsidRDefault="003D58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arnockPro-Regular">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1ECD7" w14:textId="77777777" w:rsidR="00F85B37" w:rsidRPr="009D34EC" w:rsidRDefault="00F85B37" w:rsidP="00784ADD">
    <w:pPr>
      <w:pStyle w:val="Footer"/>
      <w:pBdr>
        <w:top w:val="single" w:sz="4" w:space="1" w:color="auto"/>
      </w:pBdr>
      <w:jc w:val="right"/>
      <w:rPr>
        <w:rFonts w:ascii="Times New Roman" w:hAnsi="Times New Roman" w:cs="Times New Roman"/>
      </w:rPr>
    </w:pPr>
    <w:r w:rsidRPr="009D34EC">
      <w:rPr>
        <w:rFonts w:ascii="Times New Roman" w:hAnsi="Times New Roman" w:cs="Times New Roman"/>
      </w:rPr>
      <w:t>Bastien Proust</w:t>
    </w:r>
    <w:r w:rsidRPr="009D34EC">
      <w:rPr>
        <w:rFonts w:ascii="Times New Roman" w:hAnsi="Times New Roman" w:cs="Times New Roman"/>
      </w:rPr>
      <w:ptab w:relativeTo="margin" w:alignment="center" w:leader="none"/>
    </w:r>
    <w:r w:rsidRPr="009D34EC">
      <w:rPr>
        <w:rFonts w:ascii="Times New Roman" w:hAnsi="Times New Roman" w:cs="Times New Roman"/>
        <w:i/>
      </w:rPr>
      <w:t>Doctoral Thesis</w:t>
    </w:r>
    <w:r w:rsidRPr="009D34EC">
      <w:rPr>
        <w:rFonts w:ascii="Times New Roman" w:hAnsi="Times New Roman" w:cs="Times New Roman"/>
      </w:rPr>
      <w:ptab w:relativeTo="margin" w:alignment="right" w:leader="none"/>
    </w:r>
    <w:r w:rsidRPr="009D34EC">
      <w:rPr>
        <w:rFonts w:ascii="Times New Roman" w:hAnsi="Times New Roman" w:cs="Times New Roman"/>
      </w:rPr>
      <w:fldChar w:fldCharType="begin"/>
    </w:r>
    <w:r w:rsidRPr="009D34EC">
      <w:rPr>
        <w:rFonts w:ascii="Times New Roman" w:hAnsi="Times New Roman" w:cs="Times New Roman"/>
      </w:rPr>
      <w:instrText xml:space="preserve"> PAGE   \* MERGEFORMAT </w:instrText>
    </w:r>
    <w:r w:rsidRPr="009D34EC">
      <w:rPr>
        <w:rFonts w:ascii="Times New Roman" w:hAnsi="Times New Roman" w:cs="Times New Roman"/>
      </w:rPr>
      <w:fldChar w:fldCharType="separate"/>
    </w:r>
    <w:r>
      <w:rPr>
        <w:rFonts w:ascii="Times New Roman" w:hAnsi="Times New Roman" w:cs="Times New Roman"/>
        <w:noProof/>
      </w:rPr>
      <w:t>119</w:t>
    </w:r>
    <w:r w:rsidRPr="009D34EC">
      <w:rPr>
        <w:rFonts w:ascii="Times New Roman" w:hAnsi="Times New Roman" w:cs="Times New Roman"/>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633930" w14:textId="77777777" w:rsidR="003D58A7" w:rsidRDefault="003D58A7" w:rsidP="00746C04">
      <w:pPr>
        <w:spacing w:after="0" w:line="240" w:lineRule="auto"/>
      </w:pPr>
      <w:r>
        <w:separator/>
      </w:r>
    </w:p>
    <w:p w14:paraId="4F95C1ED" w14:textId="77777777" w:rsidR="003D58A7" w:rsidRDefault="003D58A7"/>
  </w:footnote>
  <w:footnote w:type="continuationSeparator" w:id="0">
    <w:p w14:paraId="33630937" w14:textId="77777777" w:rsidR="003D58A7" w:rsidRDefault="003D58A7" w:rsidP="00746C04">
      <w:pPr>
        <w:spacing w:after="0" w:line="240" w:lineRule="auto"/>
      </w:pPr>
      <w:r>
        <w:continuationSeparator/>
      </w:r>
    </w:p>
    <w:p w14:paraId="79655972" w14:textId="77777777" w:rsidR="003D58A7" w:rsidRDefault="003D58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62F1F" w14:textId="2416DC69" w:rsidR="00F85B37" w:rsidRPr="009D34EC" w:rsidRDefault="00F85B37" w:rsidP="00784ADD">
    <w:pPr>
      <w:pStyle w:val="Header"/>
      <w:pBdr>
        <w:bottom w:val="single" w:sz="4" w:space="1" w:color="auto"/>
      </w:pBdr>
      <w:jc w:val="right"/>
      <w:rPr>
        <w:rFonts w:ascii="Times New Roman" w:hAnsi="Times New Roman" w:cs="Times New Roman"/>
      </w:rPr>
    </w:pPr>
    <w:r w:rsidRPr="009D34EC">
      <w:rPr>
        <w:rFonts w:ascii="Times New Roman" w:hAnsi="Times New Roman" w:cs="Times New Roman"/>
      </w:rPr>
      <w:fldChar w:fldCharType="begin"/>
    </w:r>
    <w:r w:rsidRPr="009D34EC">
      <w:rPr>
        <w:rFonts w:ascii="Times New Roman" w:hAnsi="Times New Roman" w:cs="Times New Roman"/>
      </w:rPr>
      <w:instrText xml:space="preserve"> STYLEREF  "Heading 1"  \* MERGEFORMAT </w:instrText>
    </w:r>
    <w:r w:rsidRPr="009D34EC">
      <w:rPr>
        <w:rFonts w:ascii="Times New Roman" w:hAnsi="Times New Roman" w:cs="Times New Roman"/>
      </w:rPr>
      <w:fldChar w:fldCharType="separate"/>
    </w:r>
    <w:r w:rsidR="00790F77">
      <w:rPr>
        <w:rFonts w:ascii="Times New Roman" w:hAnsi="Times New Roman" w:cs="Times New Roman"/>
        <w:noProof/>
      </w:rPr>
      <w:t>RESULTS</w:t>
    </w:r>
    <w:r w:rsidRPr="009D34EC">
      <w:rPr>
        <w:rFonts w:ascii="Times New Roman" w:hAnsi="Times New Roman" w:cs="Times New Roman"/>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1469EF"/>
    <w:multiLevelType w:val="hybridMultilevel"/>
    <w:tmpl w:val="1DAA8E46"/>
    <w:lvl w:ilvl="0" w:tplc="904A1230">
      <w:start w:val="1"/>
      <w:numFmt w:val="decimal"/>
      <w:pStyle w:val="Table"/>
      <w:suff w:val="space"/>
      <w:lvlText w:val="Table %1"/>
      <w:lvlJc w:val="left"/>
      <w:pPr>
        <w:ind w:left="0" w:firstLine="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921469"/>
    <w:multiLevelType w:val="hybridMultilevel"/>
    <w:tmpl w:val="471ED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95569B"/>
    <w:multiLevelType w:val="multilevel"/>
    <w:tmpl w:val="041A001F"/>
    <w:styleLink w:val="Style2"/>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A001BAD"/>
    <w:multiLevelType w:val="multilevel"/>
    <w:tmpl w:val="107CBC72"/>
    <w:styleLink w:val="Style4"/>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0191B5B"/>
    <w:multiLevelType w:val="multilevel"/>
    <w:tmpl w:val="18DAE8B0"/>
    <w:styleLink w:val="Style6"/>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B232A96"/>
    <w:multiLevelType w:val="multilevel"/>
    <w:tmpl w:val="48CAEF0E"/>
    <w:styleLink w:val="Style3"/>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3DAA638D"/>
    <w:multiLevelType w:val="multilevel"/>
    <w:tmpl w:val="107CBC72"/>
    <w:styleLink w:val="Style5"/>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51F02D20"/>
    <w:multiLevelType w:val="multilevel"/>
    <w:tmpl w:val="EDC2D90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78D079F"/>
    <w:multiLevelType w:val="hybridMultilevel"/>
    <w:tmpl w:val="A26EFDB0"/>
    <w:lvl w:ilvl="0" w:tplc="F384C114">
      <w:start w:val="1"/>
      <w:numFmt w:val="decimal"/>
      <w:pStyle w:val="Subtitle"/>
      <w:suff w:val="space"/>
      <w:lvlText w:val="Figure %1"/>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2E4F8C"/>
    <w:multiLevelType w:val="hybridMultilevel"/>
    <w:tmpl w:val="FB103D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9581D57"/>
    <w:multiLevelType w:val="multilevel"/>
    <w:tmpl w:val="041A001F"/>
    <w:styleLink w:val="Style1"/>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735E2F08"/>
    <w:multiLevelType w:val="hybridMultilevel"/>
    <w:tmpl w:val="FB103D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B55468F"/>
    <w:multiLevelType w:val="multilevel"/>
    <w:tmpl w:val="1B2E076E"/>
    <w:lvl w:ilvl="0">
      <w:start w:val="1"/>
      <w:numFmt w:val="decimal"/>
      <w:pStyle w:val="TOCHeading"/>
      <w:lvlText w:val="%1."/>
      <w:lvlJc w:val="left"/>
      <w:pPr>
        <w:ind w:left="360" w:hanging="360"/>
      </w:pPr>
    </w:lvl>
    <w:lvl w:ilvl="1">
      <w:start w:val="1"/>
      <w:numFmt w:val="decimal"/>
      <w:lvlText w:val="%1.%2."/>
      <w:lvlJc w:val="left"/>
      <w:pPr>
        <w:ind w:left="857" w:hanging="432"/>
      </w:pPr>
    </w:lvl>
    <w:lvl w:ilvl="2">
      <w:start w:val="1"/>
      <w:numFmt w:val="decimal"/>
      <w:lvlText w:val="%1.%2.%3."/>
      <w:lvlJc w:val="left"/>
      <w:pPr>
        <w:ind w:left="504" w:hanging="50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64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10"/>
  </w:num>
  <w:num w:numId="3">
    <w:abstractNumId w:val="2"/>
  </w:num>
  <w:num w:numId="4">
    <w:abstractNumId w:val="5"/>
  </w:num>
  <w:num w:numId="5">
    <w:abstractNumId w:val="12"/>
  </w:num>
  <w:num w:numId="6">
    <w:abstractNumId w:val="3"/>
  </w:num>
  <w:num w:numId="7">
    <w:abstractNumId w:val="6"/>
  </w:num>
  <w:num w:numId="8">
    <w:abstractNumId w:val="4"/>
  </w:num>
  <w:num w:numId="9">
    <w:abstractNumId w:val="7"/>
  </w:num>
  <w:num w:numId="10">
    <w:abstractNumId w:val="8"/>
  </w:num>
  <w:num w:numId="11">
    <w:abstractNumId w:val="0"/>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5C53"/>
    <w:rsid w:val="000031BC"/>
    <w:rsid w:val="000035A3"/>
    <w:rsid w:val="00005E88"/>
    <w:rsid w:val="000077F9"/>
    <w:rsid w:val="0001264C"/>
    <w:rsid w:val="00016A6E"/>
    <w:rsid w:val="00016F3C"/>
    <w:rsid w:val="000174E8"/>
    <w:rsid w:val="00020D31"/>
    <w:rsid w:val="00022C6B"/>
    <w:rsid w:val="00022DC9"/>
    <w:rsid w:val="000260CA"/>
    <w:rsid w:val="00026B38"/>
    <w:rsid w:val="00033176"/>
    <w:rsid w:val="00040100"/>
    <w:rsid w:val="00042F8E"/>
    <w:rsid w:val="00043006"/>
    <w:rsid w:val="0004316F"/>
    <w:rsid w:val="00043532"/>
    <w:rsid w:val="000455B8"/>
    <w:rsid w:val="00050B31"/>
    <w:rsid w:val="000517EA"/>
    <w:rsid w:val="0005203D"/>
    <w:rsid w:val="00052D7B"/>
    <w:rsid w:val="0005314C"/>
    <w:rsid w:val="000604A3"/>
    <w:rsid w:val="0006080B"/>
    <w:rsid w:val="000617C1"/>
    <w:rsid w:val="00062A57"/>
    <w:rsid w:val="00065F19"/>
    <w:rsid w:val="0006711C"/>
    <w:rsid w:val="0006784D"/>
    <w:rsid w:val="00070884"/>
    <w:rsid w:val="000711BB"/>
    <w:rsid w:val="00080A46"/>
    <w:rsid w:val="000846B6"/>
    <w:rsid w:val="00084716"/>
    <w:rsid w:val="000906F1"/>
    <w:rsid w:val="00090EA2"/>
    <w:rsid w:val="00090FBE"/>
    <w:rsid w:val="000926C1"/>
    <w:rsid w:val="00093B8A"/>
    <w:rsid w:val="00095273"/>
    <w:rsid w:val="000955DA"/>
    <w:rsid w:val="000A18E9"/>
    <w:rsid w:val="000A5F4E"/>
    <w:rsid w:val="000A75E3"/>
    <w:rsid w:val="000B0615"/>
    <w:rsid w:val="000B0FF2"/>
    <w:rsid w:val="000B1153"/>
    <w:rsid w:val="000B26B6"/>
    <w:rsid w:val="000B3AF7"/>
    <w:rsid w:val="000B7A57"/>
    <w:rsid w:val="000C1046"/>
    <w:rsid w:val="000C122B"/>
    <w:rsid w:val="000C1D43"/>
    <w:rsid w:val="000C63F8"/>
    <w:rsid w:val="000D46A1"/>
    <w:rsid w:val="000D50DC"/>
    <w:rsid w:val="000D68C1"/>
    <w:rsid w:val="000E041E"/>
    <w:rsid w:val="000E14DD"/>
    <w:rsid w:val="000E15A3"/>
    <w:rsid w:val="000E2BEE"/>
    <w:rsid w:val="000E7892"/>
    <w:rsid w:val="000E7B0E"/>
    <w:rsid w:val="000F01D0"/>
    <w:rsid w:val="000F0FAE"/>
    <w:rsid w:val="000F28E2"/>
    <w:rsid w:val="000F44CB"/>
    <w:rsid w:val="000F5568"/>
    <w:rsid w:val="000F6A13"/>
    <w:rsid w:val="000F77B4"/>
    <w:rsid w:val="000F7AE5"/>
    <w:rsid w:val="00103F20"/>
    <w:rsid w:val="001044E9"/>
    <w:rsid w:val="00110522"/>
    <w:rsid w:val="0011127E"/>
    <w:rsid w:val="00112513"/>
    <w:rsid w:val="00112984"/>
    <w:rsid w:val="00113392"/>
    <w:rsid w:val="00113C04"/>
    <w:rsid w:val="001167BF"/>
    <w:rsid w:val="0011755E"/>
    <w:rsid w:val="00120416"/>
    <w:rsid w:val="001217A3"/>
    <w:rsid w:val="001240F5"/>
    <w:rsid w:val="00130897"/>
    <w:rsid w:val="001314D9"/>
    <w:rsid w:val="00131C5D"/>
    <w:rsid w:val="00131CF8"/>
    <w:rsid w:val="00133C40"/>
    <w:rsid w:val="0013745D"/>
    <w:rsid w:val="00146ACA"/>
    <w:rsid w:val="00151375"/>
    <w:rsid w:val="00152252"/>
    <w:rsid w:val="00153832"/>
    <w:rsid w:val="00157262"/>
    <w:rsid w:val="00161984"/>
    <w:rsid w:val="00164B6C"/>
    <w:rsid w:val="0016549F"/>
    <w:rsid w:val="00174AFC"/>
    <w:rsid w:val="001777A5"/>
    <w:rsid w:val="0018310E"/>
    <w:rsid w:val="001835E2"/>
    <w:rsid w:val="00183F3A"/>
    <w:rsid w:val="00184F1A"/>
    <w:rsid w:val="00187628"/>
    <w:rsid w:val="00190B69"/>
    <w:rsid w:val="001911E9"/>
    <w:rsid w:val="0019445B"/>
    <w:rsid w:val="00195C5A"/>
    <w:rsid w:val="0019684E"/>
    <w:rsid w:val="00196F5A"/>
    <w:rsid w:val="001A0BC4"/>
    <w:rsid w:val="001A17BF"/>
    <w:rsid w:val="001A3272"/>
    <w:rsid w:val="001A45C5"/>
    <w:rsid w:val="001A4A72"/>
    <w:rsid w:val="001A6557"/>
    <w:rsid w:val="001B0012"/>
    <w:rsid w:val="001B1DFD"/>
    <w:rsid w:val="001B7A11"/>
    <w:rsid w:val="001B7C29"/>
    <w:rsid w:val="001C18E7"/>
    <w:rsid w:val="001C2E2D"/>
    <w:rsid w:val="001C3E62"/>
    <w:rsid w:val="001C50D1"/>
    <w:rsid w:val="001C657E"/>
    <w:rsid w:val="001C66C5"/>
    <w:rsid w:val="001C6B06"/>
    <w:rsid w:val="001C7A14"/>
    <w:rsid w:val="001C7AE9"/>
    <w:rsid w:val="001D1334"/>
    <w:rsid w:val="001D2D12"/>
    <w:rsid w:val="001D2E8B"/>
    <w:rsid w:val="001D7D54"/>
    <w:rsid w:val="001E0EAE"/>
    <w:rsid w:val="001E1872"/>
    <w:rsid w:val="001E3DF1"/>
    <w:rsid w:val="001E49D1"/>
    <w:rsid w:val="001E5368"/>
    <w:rsid w:val="001F0021"/>
    <w:rsid w:val="001F0FBC"/>
    <w:rsid w:val="001F21D1"/>
    <w:rsid w:val="001F2355"/>
    <w:rsid w:val="001F2EFE"/>
    <w:rsid w:val="001F33A6"/>
    <w:rsid w:val="0020166E"/>
    <w:rsid w:val="00202940"/>
    <w:rsid w:val="0020354D"/>
    <w:rsid w:val="00203E08"/>
    <w:rsid w:val="00204A8E"/>
    <w:rsid w:val="0020654D"/>
    <w:rsid w:val="0021144D"/>
    <w:rsid w:val="00212958"/>
    <w:rsid w:val="00214658"/>
    <w:rsid w:val="002151F2"/>
    <w:rsid w:val="00215E8F"/>
    <w:rsid w:val="0021627E"/>
    <w:rsid w:val="002176A9"/>
    <w:rsid w:val="00220237"/>
    <w:rsid w:val="00220281"/>
    <w:rsid w:val="002205B7"/>
    <w:rsid w:val="00222F61"/>
    <w:rsid w:val="00230319"/>
    <w:rsid w:val="00233B7E"/>
    <w:rsid w:val="00241290"/>
    <w:rsid w:val="00243D8C"/>
    <w:rsid w:val="00245A91"/>
    <w:rsid w:val="00245C2A"/>
    <w:rsid w:val="002521F1"/>
    <w:rsid w:val="00256ED5"/>
    <w:rsid w:val="0025718C"/>
    <w:rsid w:val="00261779"/>
    <w:rsid w:val="002622E6"/>
    <w:rsid w:val="00263086"/>
    <w:rsid w:val="00264294"/>
    <w:rsid w:val="00264F25"/>
    <w:rsid w:val="00265DD4"/>
    <w:rsid w:val="0026728C"/>
    <w:rsid w:val="0027046F"/>
    <w:rsid w:val="00271200"/>
    <w:rsid w:val="002724AA"/>
    <w:rsid w:val="0027723E"/>
    <w:rsid w:val="00277966"/>
    <w:rsid w:val="00282CD1"/>
    <w:rsid w:val="00283CF6"/>
    <w:rsid w:val="00284482"/>
    <w:rsid w:val="002853FD"/>
    <w:rsid w:val="0028552B"/>
    <w:rsid w:val="00287FD5"/>
    <w:rsid w:val="0029408C"/>
    <w:rsid w:val="002944E9"/>
    <w:rsid w:val="00297E3A"/>
    <w:rsid w:val="002A5369"/>
    <w:rsid w:val="002B4D22"/>
    <w:rsid w:val="002C0DF6"/>
    <w:rsid w:val="002C12E3"/>
    <w:rsid w:val="002C13AE"/>
    <w:rsid w:val="002C2F40"/>
    <w:rsid w:val="002C48F7"/>
    <w:rsid w:val="002C6448"/>
    <w:rsid w:val="002C6591"/>
    <w:rsid w:val="002C6BAD"/>
    <w:rsid w:val="002D1262"/>
    <w:rsid w:val="002D173F"/>
    <w:rsid w:val="002E043A"/>
    <w:rsid w:val="002E1796"/>
    <w:rsid w:val="002E26D2"/>
    <w:rsid w:val="002E2A67"/>
    <w:rsid w:val="002E2B81"/>
    <w:rsid w:val="002E2D58"/>
    <w:rsid w:val="002E3AFA"/>
    <w:rsid w:val="002E448B"/>
    <w:rsid w:val="002F0FF1"/>
    <w:rsid w:val="002F1AD6"/>
    <w:rsid w:val="002F24AC"/>
    <w:rsid w:val="002F3889"/>
    <w:rsid w:val="002F4969"/>
    <w:rsid w:val="002F55EE"/>
    <w:rsid w:val="003009BE"/>
    <w:rsid w:val="0030218B"/>
    <w:rsid w:val="00303F9A"/>
    <w:rsid w:val="00304102"/>
    <w:rsid w:val="00304D2C"/>
    <w:rsid w:val="00304ECA"/>
    <w:rsid w:val="0030634B"/>
    <w:rsid w:val="00314B90"/>
    <w:rsid w:val="0031503A"/>
    <w:rsid w:val="00317506"/>
    <w:rsid w:val="003206F0"/>
    <w:rsid w:val="00322720"/>
    <w:rsid w:val="00322845"/>
    <w:rsid w:val="00334DC8"/>
    <w:rsid w:val="00337DC2"/>
    <w:rsid w:val="00341F2C"/>
    <w:rsid w:val="003443A1"/>
    <w:rsid w:val="00344444"/>
    <w:rsid w:val="00344C33"/>
    <w:rsid w:val="00347EF6"/>
    <w:rsid w:val="00351E72"/>
    <w:rsid w:val="00353B27"/>
    <w:rsid w:val="00354224"/>
    <w:rsid w:val="003561AD"/>
    <w:rsid w:val="00357C86"/>
    <w:rsid w:val="00361077"/>
    <w:rsid w:val="00361A62"/>
    <w:rsid w:val="003628AD"/>
    <w:rsid w:val="003629BD"/>
    <w:rsid w:val="00362A18"/>
    <w:rsid w:val="00362BDD"/>
    <w:rsid w:val="00363A51"/>
    <w:rsid w:val="00370BD2"/>
    <w:rsid w:val="003775DE"/>
    <w:rsid w:val="00380077"/>
    <w:rsid w:val="0038109F"/>
    <w:rsid w:val="003847CC"/>
    <w:rsid w:val="00385C88"/>
    <w:rsid w:val="00386B81"/>
    <w:rsid w:val="003930D9"/>
    <w:rsid w:val="00396D3C"/>
    <w:rsid w:val="003A0047"/>
    <w:rsid w:val="003A25AB"/>
    <w:rsid w:val="003A2FAE"/>
    <w:rsid w:val="003A3DDA"/>
    <w:rsid w:val="003A5DB0"/>
    <w:rsid w:val="003A674F"/>
    <w:rsid w:val="003A7CED"/>
    <w:rsid w:val="003B1A5A"/>
    <w:rsid w:val="003B2CF6"/>
    <w:rsid w:val="003B5BF3"/>
    <w:rsid w:val="003B79BA"/>
    <w:rsid w:val="003C09C6"/>
    <w:rsid w:val="003C18F2"/>
    <w:rsid w:val="003C60CF"/>
    <w:rsid w:val="003C7B43"/>
    <w:rsid w:val="003D51DB"/>
    <w:rsid w:val="003D58A7"/>
    <w:rsid w:val="003D78A6"/>
    <w:rsid w:val="003E066F"/>
    <w:rsid w:val="003E19F0"/>
    <w:rsid w:val="003E1FDA"/>
    <w:rsid w:val="003F0920"/>
    <w:rsid w:val="003F121A"/>
    <w:rsid w:val="003F21F4"/>
    <w:rsid w:val="003F282F"/>
    <w:rsid w:val="003F30BF"/>
    <w:rsid w:val="003F3137"/>
    <w:rsid w:val="003F3569"/>
    <w:rsid w:val="003F36E9"/>
    <w:rsid w:val="003F727B"/>
    <w:rsid w:val="003F78E8"/>
    <w:rsid w:val="003F7FD9"/>
    <w:rsid w:val="004000EC"/>
    <w:rsid w:val="004017B7"/>
    <w:rsid w:val="00404E1E"/>
    <w:rsid w:val="00405A63"/>
    <w:rsid w:val="00406E8E"/>
    <w:rsid w:val="00407074"/>
    <w:rsid w:val="00410E31"/>
    <w:rsid w:val="004127C4"/>
    <w:rsid w:val="00413DBF"/>
    <w:rsid w:val="00416F64"/>
    <w:rsid w:val="004177DC"/>
    <w:rsid w:val="004177DE"/>
    <w:rsid w:val="00422A49"/>
    <w:rsid w:val="00424FD6"/>
    <w:rsid w:val="00425BCB"/>
    <w:rsid w:val="00431192"/>
    <w:rsid w:val="004318BB"/>
    <w:rsid w:val="00432E74"/>
    <w:rsid w:val="00433527"/>
    <w:rsid w:val="00435771"/>
    <w:rsid w:val="00435BB6"/>
    <w:rsid w:val="00435BB8"/>
    <w:rsid w:val="00440700"/>
    <w:rsid w:val="00442FA8"/>
    <w:rsid w:val="0044433F"/>
    <w:rsid w:val="00444439"/>
    <w:rsid w:val="00450B1B"/>
    <w:rsid w:val="00456640"/>
    <w:rsid w:val="00457225"/>
    <w:rsid w:val="00463A19"/>
    <w:rsid w:val="00463DE4"/>
    <w:rsid w:val="00466204"/>
    <w:rsid w:val="0046652E"/>
    <w:rsid w:val="00467508"/>
    <w:rsid w:val="004710C6"/>
    <w:rsid w:val="00471728"/>
    <w:rsid w:val="0047390E"/>
    <w:rsid w:val="004739CC"/>
    <w:rsid w:val="004761F6"/>
    <w:rsid w:val="004824EC"/>
    <w:rsid w:val="0049039E"/>
    <w:rsid w:val="00491D4F"/>
    <w:rsid w:val="004927BB"/>
    <w:rsid w:val="00493703"/>
    <w:rsid w:val="0049403C"/>
    <w:rsid w:val="00495501"/>
    <w:rsid w:val="00496E1E"/>
    <w:rsid w:val="004A05BC"/>
    <w:rsid w:val="004A0E8D"/>
    <w:rsid w:val="004A0FCB"/>
    <w:rsid w:val="004A19AE"/>
    <w:rsid w:val="004A27F0"/>
    <w:rsid w:val="004A5F49"/>
    <w:rsid w:val="004A749E"/>
    <w:rsid w:val="004B0CEC"/>
    <w:rsid w:val="004B6F67"/>
    <w:rsid w:val="004C1DF1"/>
    <w:rsid w:val="004D2C4D"/>
    <w:rsid w:val="004D30E5"/>
    <w:rsid w:val="004D779F"/>
    <w:rsid w:val="004E2D07"/>
    <w:rsid w:val="004E5164"/>
    <w:rsid w:val="004E607E"/>
    <w:rsid w:val="004F2EC3"/>
    <w:rsid w:val="004F6742"/>
    <w:rsid w:val="00501A59"/>
    <w:rsid w:val="0050241D"/>
    <w:rsid w:val="00502D0B"/>
    <w:rsid w:val="00504DCB"/>
    <w:rsid w:val="005062A3"/>
    <w:rsid w:val="005062D7"/>
    <w:rsid w:val="0050790B"/>
    <w:rsid w:val="005115C5"/>
    <w:rsid w:val="0051365D"/>
    <w:rsid w:val="0051573B"/>
    <w:rsid w:val="005176DF"/>
    <w:rsid w:val="00517C5E"/>
    <w:rsid w:val="00517DFF"/>
    <w:rsid w:val="00520687"/>
    <w:rsid w:val="005243C9"/>
    <w:rsid w:val="00524813"/>
    <w:rsid w:val="00526D8E"/>
    <w:rsid w:val="005302CD"/>
    <w:rsid w:val="00532006"/>
    <w:rsid w:val="00534924"/>
    <w:rsid w:val="00534B64"/>
    <w:rsid w:val="005413B0"/>
    <w:rsid w:val="0054190A"/>
    <w:rsid w:val="005424B2"/>
    <w:rsid w:val="0054289E"/>
    <w:rsid w:val="00542C94"/>
    <w:rsid w:val="00543299"/>
    <w:rsid w:val="0054393F"/>
    <w:rsid w:val="0054522C"/>
    <w:rsid w:val="0054732D"/>
    <w:rsid w:val="00550739"/>
    <w:rsid w:val="005522F1"/>
    <w:rsid w:val="00552484"/>
    <w:rsid w:val="00555A16"/>
    <w:rsid w:val="005679AF"/>
    <w:rsid w:val="005705C5"/>
    <w:rsid w:val="00572606"/>
    <w:rsid w:val="005752D3"/>
    <w:rsid w:val="00576E8E"/>
    <w:rsid w:val="0057776D"/>
    <w:rsid w:val="00582588"/>
    <w:rsid w:val="005847A3"/>
    <w:rsid w:val="0058585E"/>
    <w:rsid w:val="005859E9"/>
    <w:rsid w:val="00586642"/>
    <w:rsid w:val="00586CC8"/>
    <w:rsid w:val="00590FE3"/>
    <w:rsid w:val="0059203C"/>
    <w:rsid w:val="00592DF0"/>
    <w:rsid w:val="005953EB"/>
    <w:rsid w:val="00595AB9"/>
    <w:rsid w:val="005969BB"/>
    <w:rsid w:val="005972BF"/>
    <w:rsid w:val="005A0586"/>
    <w:rsid w:val="005A38DE"/>
    <w:rsid w:val="005B1757"/>
    <w:rsid w:val="005B4BE1"/>
    <w:rsid w:val="005B6140"/>
    <w:rsid w:val="005C0261"/>
    <w:rsid w:val="005C30A5"/>
    <w:rsid w:val="005D095C"/>
    <w:rsid w:val="005D2776"/>
    <w:rsid w:val="005D47E2"/>
    <w:rsid w:val="005D4DE1"/>
    <w:rsid w:val="005D6B98"/>
    <w:rsid w:val="005D7A74"/>
    <w:rsid w:val="005E024A"/>
    <w:rsid w:val="005E2D6A"/>
    <w:rsid w:val="005F1542"/>
    <w:rsid w:val="005F45A4"/>
    <w:rsid w:val="005F7A98"/>
    <w:rsid w:val="005F7C1C"/>
    <w:rsid w:val="0060463F"/>
    <w:rsid w:val="006072D1"/>
    <w:rsid w:val="006073F8"/>
    <w:rsid w:val="00607A76"/>
    <w:rsid w:val="0061083A"/>
    <w:rsid w:val="00615863"/>
    <w:rsid w:val="00616F11"/>
    <w:rsid w:val="00617884"/>
    <w:rsid w:val="0062035C"/>
    <w:rsid w:val="00622D89"/>
    <w:rsid w:val="006259C7"/>
    <w:rsid w:val="00631FE8"/>
    <w:rsid w:val="00632552"/>
    <w:rsid w:val="0063293D"/>
    <w:rsid w:val="00635F4F"/>
    <w:rsid w:val="00636C83"/>
    <w:rsid w:val="00637390"/>
    <w:rsid w:val="006431E5"/>
    <w:rsid w:val="006441AE"/>
    <w:rsid w:val="0064534C"/>
    <w:rsid w:val="0065194B"/>
    <w:rsid w:val="0065594A"/>
    <w:rsid w:val="00656290"/>
    <w:rsid w:val="006573A8"/>
    <w:rsid w:val="00661F14"/>
    <w:rsid w:val="00662CDD"/>
    <w:rsid w:val="006646FE"/>
    <w:rsid w:val="00666E16"/>
    <w:rsid w:val="0067358B"/>
    <w:rsid w:val="00675779"/>
    <w:rsid w:val="00675AF6"/>
    <w:rsid w:val="00677A1F"/>
    <w:rsid w:val="006830EA"/>
    <w:rsid w:val="006841DE"/>
    <w:rsid w:val="00685B68"/>
    <w:rsid w:val="0068692C"/>
    <w:rsid w:val="00687C50"/>
    <w:rsid w:val="00687F92"/>
    <w:rsid w:val="0069020A"/>
    <w:rsid w:val="00690546"/>
    <w:rsid w:val="006906AA"/>
    <w:rsid w:val="00691BE2"/>
    <w:rsid w:val="00693171"/>
    <w:rsid w:val="00694DB9"/>
    <w:rsid w:val="00695DE9"/>
    <w:rsid w:val="00696340"/>
    <w:rsid w:val="00696EA8"/>
    <w:rsid w:val="006A257A"/>
    <w:rsid w:val="006A3EFA"/>
    <w:rsid w:val="006B0616"/>
    <w:rsid w:val="006B21CA"/>
    <w:rsid w:val="006B26E1"/>
    <w:rsid w:val="006B41EB"/>
    <w:rsid w:val="006B5293"/>
    <w:rsid w:val="006B670F"/>
    <w:rsid w:val="006B7BB4"/>
    <w:rsid w:val="006C1F26"/>
    <w:rsid w:val="006C41E7"/>
    <w:rsid w:val="006C58F9"/>
    <w:rsid w:val="006D342C"/>
    <w:rsid w:val="006E2859"/>
    <w:rsid w:val="006E584B"/>
    <w:rsid w:val="006E6331"/>
    <w:rsid w:val="006F184B"/>
    <w:rsid w:val="006F3E10"/>
    <w:rsid w:val="006F5DC4"/>
    <w:rsid w:val="006F6B2A"/>
    <w:rsid w:val="0070081A"/>
    <w:rsid w:val="007010D4"/>
    <w:rsid w:val="0070156C"/>
    <w:rsid w:val="00701D83"/>
    <w:rsid w:val="007026D4"/>
    <w:rsid w:val="00703F70"/>
    <w:rsid w:val="0070592F"/>
    <w:rsid w:val="00716C4F"/>
    <w:rsid w:val="00716E98"/>
    <w:rsid w:val="00717493"/>
    <w:rsid w:val="00721448"/>
    <w:rsid w:val="00722B0C"/>
    <w:rsid w:val="0073101E"/>
    <w:rsid w:val="00732F2D"/>
    <w:rsid w:val="00733431"/>
    <w:rsid w:val="00733EF6"/>
    <w:rsid w:val="00734D56"/>
    <w:rsid w:val="007350D5"/>
    <w:rsid w:val="007352CA"/>
    <w:rsid w:val="00735F9C"/>
    <w:rsid w:val="0074282E"/>
    <w:rsid w:val="0074453D"/>
    <w:rsid w:val="00745257"/>
    <w:rsid w:val="00745ABF"/>
    <w:rsid w:val="00746C04"/>
    <w:rsid w:val="007506AE"/>
    <w:rsid w:val="00752F5B"/>
    <w:rsid w:val="007530E1"/>
    <w:rsid w:val="0075379B"/>
    <w:rsid w:val="00753E87"/>
    <w:rsid w:val="0075681A"/>
    <w:rsid w:val="00756CD1"/>
    <w:rsid w:val="0075738E"/>
    <w:rsid w:val="00760F76"/>
    <w:rsid w:val="00761B56"/>
    <w:rsid w:val="00765AEA"/>
    <w:rsid w:val="00766880"/>
    <w:rsid w:val="0076769D"/>
    <w:rsid w:val="00767C71"/>
    <w:rsid w:val="00772A44"/>
    <w:rsid w:val="00775E41"/>
    <w:rsid w:val="007835F4"/>
    <w:rsid w:val="00784ADD"/>
    <w:rsid w:val="00790F77"/>
    <w:rsid w:val="0079377E"/>
    <w:rsid w:val="00794577"/>
    <w:rsid w:val="00797FF4"/>
    <w:rsid w:val="007A1636"/>
    <w:rsid w:val="007A1EDA"/>
    <w:rsid w:val="007A2031"/>
    <w:rsid w:val="007A5A8C"/>
    <w:rsid w:val="007A5CD2"/>
    <w:rsid w:val="007A6845"/>
    <w:rsid w:val="007A7C7A"/>
    <w:rsid w:val="007B00FC"/>
    <w:rsid w:val="007B2F19"/>
    <w:rsid w:val="007B30B1"/>
    <w:rsid w:val="007B5C53"/>
    <w:rsid w:val="007B6465"/>
    <w:rsid w:val="007C0615"/>
    <w:rsid w:val="007C68A6"/>
    <w:rsid w:val="007D149E"/>
    <w:rsid w:val="007D236F"/>
    <w:rsid w:val="007D2EBD"/>
    <w:rsid w:val="007E616A"/>
    <w:rsid w:val="007E69C6"/>
    <w:rsid w:val="007F1ACD"/>
    <w:rsid w:val="007F35F4"/>
    <w:rsid w:val="007F464B"/>
    <w:rsid w:val="007F5C72"/>
    <w:rsid w:val="007F6950"/>
    <w:rsid w:val="008026E1"/>
    <w:rsid w:val="0080305E"/>
    <w:rsid w:val="00806132"/>
    <w:rsid w:val="00813C10"/>
    <w:rsid w:val="00822951"/>
    <w:rsid w:val="00822F1D"/>
    <w:rsid w:val="00824829"/>
    <w:rsid w:val="00833DDF"/>
    <w:rsid w:val="00836A38"/>
    <w:rsid w:val="00837464"/>
    <w:rsid w:val="00837602"/>
    <w:rsid w:val="00837DCF"/>
    <w:rsid w:val="00840746"/>
    <w:rsid w:val="008407A5"/>
    <w:rsid w:val="00844207"/>
    <w:rsid w:val="0084446D"/>
    <w:rsid w:val="00846F9B"/>
    <w:rsid w:val="008471E5"/>
    <w:rsid w:val="008504E3"/>
    <w:rsid w:val="00850AC4"/>
    <w:rsid w:val="00853A92"/>
    <w:rsid w:val="008542CA"/>
    <w:rsid w:val="0085673C"/>
    <w:rsid w:val="0086072F"/>
    <w:rsid w:val="008642CC"/>
    <w:rsid w:val="00864E4F"/>
    <w:rsid w:val="00865A59"/>
    <w:rsid w:val="00866AF1"/>
    <w:rsid w:val="00870B02"/>
    <w:rsid w:val="00870B23"/>
    <w:rsid w:val="008756E0"/>
    <w:rsid w:val="00875B41"/>
    <w:rsid w:val="00876F76"/>
    <w:rsid w:val="00877C0E"/>
    <w:rsid w:val="0088121A"/>
    <w:rsid w:val="008813DC"/>
    <w:rsid w:val="0088464D"/>
    <w:rsid w:val="008847D2"/>
    <w:rsid w:val="00890D7E"/>
    <w:rsid w:val="00890EBC"/>
    <w:rsid w:val="00893A90"/>
    <w:rsid w:val="00895725"/>
    <w:rsid w:val="008A0F03"/>
    <w:rsid w:val="008A3886"/>
    <w:rsid w:val="008A43B6"/>
    <w:rsid w:val="008B1D95"/>
    <w:rsid w:val="008B1DCC"/>
    <w:rsid w:val="008B22EA"/>
    <w:rsid w:val="008B272D"/>
    <w:rsid w:val="008B3A71"/>
    <w:rsid w:val="008B401D"/>
    <w:rsid w:val="008C1815"/>
    <w:rsid w:val="008C40DB"/>
    <w:rsid w:val="008C50D9"/>
    <w:rsid w:val="008C61C0"/>
    <w:rsid w:val="008C61D5"/>
    <w:rsid w:val="008C6C9E"/>
    <w:rsid w:val="008C71B4"/>
    <w:rsid w:val="008D1199"/>
    <w:rsid w:val="008D4BB5"/>
    <w:rsid w:val="008D4E4E"/>
    <w:rsid w:val="008D53BE"/>
    <w:rsid w:val="008D6A8E"/>
    <w:rsid w:val="008D722D"/>
    <w:rsid w:val="008E3A34"/>
    <w:rsid w:val="008F00E1"/>
    <w:rsid w:val="008F017E"/>
    <w:rsid w:val="008F2006"/>
    <w:rsid w:val="008F7017"/>
    <w:rsid w:val="008F7B11"/>
    <w:rsid w:val="0090212F"/>
    <w:rsid w:val="0090367A"/>
    <w:rsid w:val="009049DA"/>
    <w:rsid w:val="009056A5"/>
    <w:rsid w:val="00910E24"/>
    <w:rsid w:val="0091214E"/>
    <w:rsid w:val="009141DB"/>
    <w:rsid w:val="00916C57"/>
    <w:rsid w:val="00917BB0"/>
    <w:rsid w:val="00923CE4"/>
    <w:rsid w:val="00926F59"/>
    <w:rsid w:val="0093048F"/>
    <w:rsid w:val="0093131E"/>
    <w:rsid w:val="0093492C"/>
    <w:rsid w:val="00934BA3"/>
    <w:rsid w:val="00934CD5"/>
    <w:rsid w:val="00936168"/>
    <w:rsid w:val="00936362"/>
    <w:rsid w:val="00936E29"/>
    <w:rsid w:val="00937255"/>
    <w:rsid w:val="009402DF"/>
    <w:rsid w:val="00944F82"/>
    <w:rsid w:val="00950CAC"/>
    <w:rsid w:val="009544AC"/>
    <w:rsid w:val="00956631"/>
    <w:rsid w:val="00964441"/>
    <w:rsid w:val="009653DD"/>
    <w:rsid w:val="0096701A"/>
    <w:rsid w:val="009718B0"/>
    <w:rsid w:val="00974546"/>
    <w:rsid w:val="00974978"/>
    <w:rsid w:val="00974EFB"/>
    <w:rsid w:val="0097535A"/>
    <w:rsid w:val="009764D9"/>
    <w:rsid w:val="00977AAE"/>
    <w:rsid w:val="00980874"/>
    <w:rsid w:val="00983BB2"/>
    <w:rsid w:val="009841E1"/>
    <w:rsid w:val="009863C2"/>
    <w:rsid w:val="00987399"/>
    <w:rsid w:val="0099059C"/>
    <w:rsid w:val="0099155F"/>
    <w:rsid w:val="0099187F"/>
    <w:rsid w:val="00997E89"/>
    <w:rsid w:val="009A0D46"/>
    <w:rsid w:val="009A2CED"/>
    <w:rsid w:val="009A32C0"/>
    <w:rsid w:val="009B0156"/>
    <w:rsid w:val="009B0598"/>
    <w:rsid w:val="009B0E24"/>
    <w:rsid w:val="009B22A8"/>
    <w:rsid w:val="009B2493"/>
    <w:rsid w:val="009B59BB"/>
    <w:rsid w:val="009B5A2E"/>
    <w:rsid w:val="009B5FB4"/>
    <w:rsid w:val="009B7DF1"/>
    <w:rsid w:val="009C1ACF"/>
    <w:rsid w:val="009C423D"/>
    <w:rsid w:val="009C51BF"/>
    <w:rsid w:val="009C5228"/>
    <w:rsid w:val="009C6038"/>
    <w:rsid w:val="009C68CA"/>
    <w:rsid w:val="009D1F6B"/>
    <w:rsid w:val="009D2153"/>
    <w:rsid w:val="009D21CF"/>
    <w:rsid w:val="009D2DD2"/>
    <w:rsid w:val="009D2FF5"/>
    <w:rsid w:val="009D34EC"/>
    <w:rsid w:val="009E0113"/>
    <w:rsid w:val="009E0121"/>
    <w:rsid w:val="009E0AC8"/>
    <w:rsid w:val="009E7BED"/>
    <w:rsid w:val="009F1223"/>
    <w:rsid w:val="009F5B68"/>
    <w:rsid w:val="009F6B80"/>
    <w:rsid w:val="00A00CB7"/>
    <w:rsid w:val="00A02679"/>
    <w:rsid w:val="00A028E0"/>
    <w:rsid w:val="00A02A42"/>
    <w:rsid w:val="00A03D5E"/>
    <w:rsid w:val="00A04A3B"/>
    <w:rsid w:val="00A1260E"/>
    <w:rsid w:val="00A15A4E"/>
    <w:rsid w:val="00A232AE"/>
    <w:rsid w:val="00A23BFD"/>
    <w:rsid w:val="00A2480A"/>
    <w:rsid w:val="00A276B1"/>
    <w:rsid w:val="00A277BE"/>
    <w:rsid w:val="00A3013B"/>
    <w:rsid w:val="00A316EE"/>
    <w:rsid w:val="00A33081"/>
    <w:rsid w:val="00A33B9B"/>
    <w:rsid w:val="00A36468"/>
    <w:rsid w:val="00A3721F"/>
    <w:rsid w:val="00A42733"/>
    <w:rsid w:val="00A42E14"/>
    <w:rsid w:val="00A43235"/>
    <w:rsid w:val="00A454ED"/>
    <w:rsid w:val="00A53306"/>
    <w:rsid w:val="00A553FC"/>
    <w:rsid w:val="00A56330"/>
    <w:rsid w:val="00A5648F"/>
    <w:rsid w:val="00A5678D"/>
    <w:rsid w:val="00A62CAB"/>
    <w:rsid w:val="00A63EB7"/>
    <w:rsid w:val="00A65AA2"/>
    <w:rsid w:val="00A7618D"/>
    <w:rsid w:val="00A77AA0"/>
    <w:rsid w:val="00A80604"/>
    <w:rsid w:val="00A81C89"/>
    <w:rsid w:val="00A82224"/>
    <w:rsid w:val="00A82979"/>
    <w:rsid w:val="00A8386A"/>
    <w:rsid w:val="00A83FD8"/>
    <w:rsid w:val="00A905EA"/>
    <w:rsid w:val="00A91767"/>
    <w:rsid w:val="00A91FA8"/>
    <w:rsid w:val="00A95121"/>
    <w:rsid w:val="00A96A8B"/>
    <w:rsid w:val="00A978DD"/>
    <w:rsid w:val="00AA0ACF"/>
    <w:rsid w:val="00AA0EAB"/>
    <w:rsid w:val="00AA3AC8"/>
    <w:rsid w:val="00AB03B3"/>
    <w:rsid w:val="00AB14A3"/>
    <w:rsid w:val="00AB237D"/>
    <w:rsid w:val="00AB4097"/>
    <w:rsid w:val="00AC057D"/>
    <w:rsid w:val="00AC0F68"/>
    <w:rsid w:val="00AC16CA"/>
    <w:rsid w:val="00AC1B79"/>
    <w:rsid w:val="00AC1FD4"/>
    <w:rsid w:val="00AC2A98"/>
    <w:rsid w:val="00AC4DFA"/>
    <w:rsid w:val="00AC5FB2"/>
    <w:rsid w:val="00AD0306"/>
    <w:rsid w:val="00AD2CBE"/>
    <w:rsid w:val="00AD6A9F"/>
    <w:rsid w:val="00AD7135"/>
    <w:rsid w:val="00AD79FB"/>
    <w:rsid w:val="00AE117D"/>
    <w:rsid w:val="00AE3ACA"/>
    <w:rsid w:val="00AE5E77"/>
    <w:rsid w:val="00AF17AC"/>
    <w:rsid w:val="00AF3F52"/>
    <w:rsid w:val="00AF5AB0"/>
    <w:rsid w:val="00AF79AD"/>
    <w:rsid w:val="00B0294D"/>
    <w:rsid w:val="00B06E21"/>
    <w:rsid w:val="00B06ED3"/>
    <w:rsid w:val="00B07D3D"/>
    <w:rsid w:val="00B12245"/>
    <w:rsid w:val="00B140AE"/>
    <w:rsid w:val="00B23BAE"/>
    <w:rsid w:val="00B25ED6"/>
    <w:rsid w:val="00B278C2"/>
    <w:rsid w:val="00B3474F"/>
    <w:rsid w:val="00B356E8"/>
    <w:rsid w:val="00B408DF"/>
    <w:rsid w:val="00B43CA1"/>
    <w:rsid w:val="00B45690"/>
    <w:rsid w:val="00B50ED3"/>
    <w:rsid w:val="00B52925"/>
    <w:rsid w:val="00B60111"/>
    <w:rsid w:val="00B61321"/>
    <w:rsid w:val="00B67978"/>
    <w:rsid w:val="00B749B3"/>
    <w:rsid w:val="00B759A8"/>
    <w:rsid w:val="00B76552"/>
    <w:rsid w:val="00B81AD6"/>
    <w:rsid w:val="00B82666"/>
    <w:rsid w:val="00B834BE"/>
    <w:rsid w:val="00B85714"/>
    <w:rsid w:val="00B85DF7"/>
    <w:rsid w:val="00B86A42"/>
    <w:rsid w:val="00B92879"/>
    <w:rsid w:val="00B95633"/>
    <w:rsid w:val="00B96013"/>
    <w:rsid w:val="00BA0CBB"/>
    <w:rsid w:val="00BA3D71"/>
    <w:rsid w:val="00BA6F62"/>
    <w:rsid w:val="00BB06C3"/>
    <w:rsid w:val="00BB2EB6"/>
    <w:rsid w:val="00BB3AA3"/>
    <w:rsid w:val="00BB4006"/>
    <w:rsid w:val="00BB681C"/>
    <w:rsid w:val="00BC0ADC"/>
    <w:rsid w:val="00BC28AA"/>
    <w:rsid w:val="00BC70B9"/>
    <w:rsid w:val="00BD0508"/>
    <w:rsid w:val="00BD2BE2"/>
    <w:rsid w:val="00BD3712"/>
    <w:rsid w:val="00BD4E60"/>
    <w:rsid w:val="00BD7C8F"/>
    <w:rsid w:val="00BE4BEF"/>
    <w:rsid w:val="00BE5DFE"/>
    <w:rsid w:val="00BF06BA"/>
    <w:rsid w:val="00BF0F06"/>
    <w:rsid w:val="00BF2DF3"/>
    <w:rsid w:val="00BF3C84"/>
    <w:rsid w:val="00BF5DAC"/>
    <w:rsid w:val="00BF77CD"/>
    <w:rsid w:val="00BF7F2C"/>
    <w:rsid w:val="00C02FFD"/>
    <w:rsid w:val="00C05B8F"/>
    <w:rsid w:val="00C05E05"/>
    <w:rsid w:val="00C07251"/>
    <w:rsid w:val="00C15586"/>
    <w:rsid w:val="00C17458"/>
    <w:rsid w:val="00C24523"/>
    <w:rsid w:val="00C24846"/>
    <w:rsid w:val="00C27B27"/>
    <w:rsid w:val="00C3744C"/>
    <w:rsid w:val="00C37CAE"/>
    <w:rsid w:val="00C40E13"/>
    <w:rsid w:val="00C41C96"/>
    <w:rsid w:val="00C41CE7"/>
    <w:rsid w:val="00C43284"/>
    <w:rsid w:val="00C44198"/>
    <w:rsid w:val="00C520DD"/>
    <w:rsid w:val="00C5246C"/>
    <w:rsid w:val="00C52688"/>
    <w:rsid w:val="00C534FC"/>
    <w:rsid w:val="00C53C52"/>
    <w:rsid w:val="00C55CAE"/>
    <w:rsid w:val="00C6301D"/>
    <w:rsid w:val="00C642CD"/>
    <w:rsid w:val="00C6521F"/>
    <w:rsid w:val="00C66477"/>
    <w:rsid w:val="00C668D6"/>
    <w:rsid w:val="00C669B2"/>
    <w:rsid w:val="00C66CB7"/>
    <w:rsid w:val="00C6769A"/>
    <w:rsid w:val="00C703E8"/>
    <w:rsid w:val="00C71776"/>
    <w:rsid w:val="00C722E0"/>
    <w:rsid w:val="00C72856"/>
    <w:rsid w:val="00C73EB9"/>
    <w:rsid w:val="00C75A16"/>
    <w:rsid w:val="00C77E84"/>
    <w:rsid w:val="00C77F38"/>
    <w:rsid w:val="00C8054A"/>
    <w:rsid w:val="00C838B5"/>
    <w:rsid w:val="00C843A5"/>
    <w:rsid w:val="00C86F35"/>
    <w:rsid w:val="00C918DD"/>
    <w:rsid w:val="00C929EC"/>
    <w:rsid w:val="00C935D6"/>
    <w:rsid w:val="00C96E02"/>
    <w:rsid w:val="00CA7A17"/>
    <w:rsid w:val="00CB2841"/>
    <w:rsid w:val="00CB46CE"/>
    <w:rsid w:val="00CB55F6"/>
    <w:rsid w:val="00CB6087"/>
    <w:rsid w:val="00CC034D"/>
    <w:rsid w:val="00CC1B30"/>
    <w:rsid w:val="00CC326B"/>
    <w:rsid w:val="00CC4194"/>
    <w:rsid w:val="00CC4694"/>
    <w:rsid w:val="00CC4E42"/>
    <w:rsid w:val="00CC6EB9"/>
    <w:rsid w:val="00CC7EC9"/>
    <w:rsid w:val="00CD1A4D"/>
    <w:rsid w:val="00CD24F8"/>
    <w:rsid w:val="00CD258F"/>
    <w:rsid w:val="00CD5420"/>
    <w:rsid w:val="00CD555E"/>
    <w:rsid w:val="00CD6296"/>
    <w:rsid w:val="00CD76B0"/>
    <w:rsid w:val="00CE3BDE"/>
    <w:rsid w:val="00CE4CFA"/>
    <w:rsid w:val="00CE773C"/>
    <w:rsid w:val="00CF0395"/>
    <w:rsid w:val="00CF1560"/>
    <w:rsid w:val="00CF1745"/>
    <w:rsid w:val="00CF24EA"/>
    <w:rsid w:val="00CF4A98"/>
    <w:rsid w:val="00D011E2"/>
    <w:rsid w:val="00D02344"/>
    <w:rsid w:val="00D034C6"/>
    <w:rsid w:val="00D03C33"/>
    <w:rsid w:val="00D072AB"/>
    <w:rsid w:val="00D11563"/>
    <w:rsid w:val="00D12664"/>
    <w:rsid w:val="00D14945"/>
    <w:rsid w:val="00D21920"/>
    <w:rsid w:val="00D220A5"/>
    <w:rsid w:val="00D2375B"/>
    <w:rsid w:val="00D2445E"/>
    <w:rsid w:val="00D24792"/>
    <w:rsid w:val="00D34A8B"/>
    <w:rsid w:val="00D36740"/>
    <w:rsid w:val="00D4183A"/>
    <w:rsid w:val="00D441D1"/>
    <w:rsid w:val="00D45FC7"/>
    <w:rsid w:val="00D465F5"/>
    <w:rsid w:val="00D4686E"/>
    <w:rsid w:val="00D46D44"/>
    <w:rsid w:val="00D46EB8"/>
    <w:rsid w:val="00D47D50"/>
    <w:rsid w:val="00D50D89"/>
    <w:rsid w:val="00D50FD0"/>
    <w:rsid w:val="00D5223B"/>
    <w:rsid w:val="00D52743"/>
    <w:rsid w:val="00D532DF"/>
    <w:rsid w:val="00D60F2D"/>
    <w:rsid w:val="00D61535"/>
    <w:rsid w:val="00D61ABF"/>
    <w:rsid w:val="00D675FA"/>
    <w:rsid w:val="00D67F9D"/>
    <w:rsid w:val="00D70989"/>
    <w:rsid w:val="00D7607E"/>
    <w:rsid w:val="00D80D90"/>
    <w:rsid w:val="00D8112A"/>
    <w:rsid w:val="00D813C3"/>
    <w:rsid w:val="00D81B91"/>
    <w:rsid w:val="00D824F0"/>
    <w:rsid w:val="00D84287"/>
    <w:rsid w:val="00D8495B"/>
    <w:rsid w:val="00D91138"/>
    <w:rsid w:val="00D93E28"/>
    <w:rsid w:val="00D97FCC"/>
    <w:rsid w:val="00DA14E5"/>
    <w:rsid w:val="00DA2114"/>
    <w:rsid w:val="00DA2C1B"/>
    <w:rsid w:val="00DA45C1"/>
    <w:rsid w:val="00DA7508"/>
    <w:rsid w:val="00DB0F0D"/>
    <w:rsid w:val="00DB53E5"/>
    <w:rsid w:val="00DB6854"/>
    <w:rsid w:val="00DB7291"/>
    <w:rsid w:val="00DC0D41"/>
    <w:rsid w:val="00DC33E0"/>
    <w:rsid w:val="00DC3DDD"/>
    <w:rsid w:val="00DC5CAF"/>
    <w:rsid w:val="00DC63DE"/>
    <w:rsid w:val="00DC65D8"/>
    <w:rsid w:val="00DD2051"/>
    <w:rsid w:val="00DD33B9"/>
    <w:rsid w:val="00DD421F"/>
    <w:rsid w:val="00DD48B4"/>
    <w:rsid w:val="00DE0D35"/>
    <w:rsid w:val="00DE10B5"/>
    <w:rsid w:val="00DE4D4F"/>
    <w:rsid w:val="00DE6F13"/>
    <w:rsid w:val="00DE7592"/>
    <w:rsid w:val="00DF2ABF"/>
    <w:rsid w:val="00DF57F8"/>
    <w:rsid w:val="00DF64DD"/>
    <w:rsid w:val="00DF7670"/>
    <w:rsid w:val="00E0251D"/>
    <w:rsid w:val="00E03B25"/>
    <w:rsid w:val="00E05792"/>
    <w:rsid w:val="00E07555"/>
    <w:rsid w:val="00E10B12"/>
    <w:rsid w:val="00E119BC"/>
    <w:rsid w:val="00E14918"/>
    <w:rsid w:val="00E159D3"/>
    <w:rsid w:val="00E20C32"/>
    <w:rsid w:val="00E24163"/>
    <w:rsid w:val="00E251A2"/>
    <w:rsid w:val="00E27B87"/>
    <w:rsid w:val="00E30170"/>
    <w:rsid w:val="00E3059D"/>
    <w:rsid w:val="00E30984"/>
    <w:rsid w:val="00E32570"/>
    <w:rsid w:val="00E32C65"/>
    <w:rsid w:val="00E33D38"/>
    <w:rsid w:val="00E344FA"/>
    <w:rsid w:val="00E34BEE"/>
    <w:rsid w:val="00E35E44"/>
    <w:rsid w:val="00E4153A"/>
    <w:rsid w:val="00E424F0"/>
    <w:rsid w:val="00E426D1"/>
    <w:rsid w:val="00E4472D"/>
    <w:rsid w:val="00E4779C"/>
    <w:rsid w:val="00E512C2"/>
    <w:rsid w:val="00E54E19"/>
    <w:rsid w:val="00E557F5"/>
    <w:rsid w:val="00E56089"/>
    <w:rsid w:val="00E56F0D"/>
    <w:rsid w:val="00E60220"/>
    <w:rsid w:val="00E61E81"/>
    <w:rsid w:val="00E65ACE"/>
    <w:rsid w:val="00E70028"/>
    <w:rsid w:val="00E72372"/>
    <w:rsid w:val="00E72D5F"/>
    <w:rsid w:val="00E83423"/>
    <w:rsid w:val="00E8475E"/>
    <w:rsid w:val="00E849FA"/>
    <w:rsid w:val="00E84BC0"/>
    <w:rsid w:val="00E85468"/>
    <w:rsid w:val="00E9034B"/>
    <w:rsid w:val="00E9041C"/>
    <w:rsid w:val="00E913D6"/>
    <w:rsid w:val="00E91412"/>
    <w:rsid w:val="00E927E3"/>
    <w:rsid w:val="00E92E8E"/>
    <w:rsid w:val="00E9338D"/>
    <w:rsid w:val="00E9583A"/>
    <w:rsid w:val="00E9761E"/>
    <w:rsid w:val="00EA0A28"/>
    <w:rsid w:val="00EA1880"/>
    <w:rsid w:val="00EB39D8"/>
    <w:rsid w:val="00EB4D06"/>
    <w:rsid w:val="00EB5EF9"/>
    <w:rsid w:val="00EB72D0"/>
    <w:rsid w:val="00EC030A"/>
    <w:rsid w:val="00EC0FB4"/>
    <w:rsid w:val="00EC264D"/>
    <w:rsid w:val="00EC3B20"/>
    <w:rsid w:val="00EC4525"/>
    <w:rsid w:val="00EC56B0"/>
    <w:rsid w:val="00EC6F67"/>
    <w:rsid w:val="00ED2D0F"/>
    <w:rsid w:val="00ED4499"/>
    <w:rsid w:val="00ED47C9"/>
    <w:rsid w:val="00ED49C6"/>
    <w:rsid w:val="00ED4CE2"/>
    <w:rsid w:val="00ED5154"/>
    <w:rsid w:val="00ED63DB"/>
    <w:rsid w:val="00EE55FD"/>
    <w:rsid w:val="00EE5831"/>
    <w:rsid w:val="00EE70DB"/>
    <w:rsid w:val="00EE78A2"/>
    <w:rsid w:val="00EF0ECF"/>
    <w:rsid w:val="00EF42EB"/>
    <w:rsid w:val="00EF4A52"/>
    <w:rsid w:val="00EF69A9"/>
    <w:rsid w:val="00F030B3"/>
    <w:rsid w:val="00F0349C"/>
    <w:rsid w:val="00F03C30"/>
    <w:rsid w:val="00F048BD"/>
    <w:rsid w:val="00F1030B"/>
    <w:rsid w:val="00F107B9"/>
    <w:rsid w:val="00F109B2"/>
    <w:rsid w:val="00F116A1"/>
    <w:rsid w:val="00F1465D"/>
    <w:rsid w:val="00F2140E"/>
    <w:rsid w:val="00F22540"/>
    <w:rsid w:val="00F22834"/>
    <w:rsid w:val="00F22D2C"/>
    <w:rsid w:val="00F23383"/>
    <w:rsid w:val="00F233F6"/>
    <w:rsid w:val="00F27843"/>
    <w:rsid w:val="00F30118"/>
    <w:rsid w:val="00F306FE"/>
    <w:rsid w:val="00F31940"/>
    <w:rsid w:val="00F32CE7"/>
    <w:rsid w:val="00F35B12"/>
    <w:rsid w:val="00F423AA"/>
    <w:rsid w:val="00F42401"/>
    <w:rsid w:val="00F433EA"/>
    <w:rsid w:val="00F46910"/>
    <w:rsid w:val="00F47A6B"/>
    <w:rsid w:val="00F54E6B"/>
    <w:rsid w:val="00F5521D"/>
    <w:rsid w:val="00F565F5"/>
    <w:rsid w:val="00F56866"/>
    <w:rsid w:val="00F60B19"/>
    <w:rsid w:val="00F62183"/>
    <w:rsid w:val="00F62DEA"/>
    <w:rsid w:val="00F633ED"/>
    <w:rsid w:val="00F6440E"/>
    <w:rsid w:val="00F70730"/>
    <w:rsid w:val="00F71877"/>
    <w:rsid w:val="00F72A38"/>
    <w:rsid w:val="00F734BC"/>
    <w:rsid w:val="00F7503B"/>
    <w:rsid w:val="00F77B43"/>
    <w:rsid w:val="00F77CC3"/>
    <w:rsid w:val="00F836CB"/>
    <w:rsid w:val="00F83824"/>
    <w:rsid w:val="00F84D94"/>
    <w:rsid w:val="00F85225"/>
    <w:rsid w:val="00F85B37"/>
    <w:rsid w:val="00F944EA"/>
    <w:rsid w:val="00F96A10"/>
    <w:rsid w:val="00FA1143"/>
    <w:rsid w:val="00FA2866"/>
    <w:rsid w:val="00FA5FA7"/>
    <w:rsid w:val="00FA6359"/>
    <w:rsid w:val="00FA6713"/>
    <w:rsid w:val="00FA7BCE"/>
    <w:rsid w:val="00FB197F"/>
    <w:rsid w:val="00FB6229"/>
    <w:rsid w:val="00FC11CD"/>
    <w:rsid w:val="00FC1480"/>
    <w:rsid w:val="00FC4D82"/>
    <w:rsid w:val="00FC5456"/>
    <w:rsid w:val="00FD18D8"/>
    <w:rsid w:val="00FD21E6"/>
    <w:rsid w:val="00FD7E27"/>
    <w:rsid w:val="00FE04AA"/>
    <w:rsid w:val="00FE197E"/>
    <w:rsid w:val="00FE56D5"/>
    <w:rsid w:val="00FE642C"/>
    <w:rsid w:val="00FE6717"/>
    <w:rsid w:val="00FF4398"/>
    <w:rsid w:val="00FF5CB4"/>
    <w:rsid w:val="00FF7B30"/>
    <w:rsid w:val="03096689"/>
    <w:rsid w:val="052F2CAC"/>
    <w:rsid w:val="096FFCED"/>
    <w:rsid w:val="1024E7B0"/>
    <w:rsid w:val="1209B407"/>
    <w:rsid w:val="1417E8B1"/>
    <w:rsid w:val="14C5FCC7"/>
    <w:rsid w:val="14DF12C9"/>
    <w:rsid w:val="25175232"/>
    <w:rsid w:val="270A5078"/>
    <w:rsid w:val="2A347509"/>
    <w:rsid w:val="2ACD72AF"/>
    <w:rsid w:val="2EAF8957"/>
    <w:rsid w:val="34F4AA39"/>
    <w:rsid w:val="3D059103"/>
    <w:rsid w:val="4007E4A7"/>
    <w:rsid w:val="43D820E6"/>
    <w:rsid w:val="50B8D995"/>
    <w:rsid w:val="53392A50"/>
    <w:rsid w:val="5FC9FF95"/>
    <w:rsid w:val="63873238"/>
    <w:rsid w:val="63BAF931"/>
    <w:rsid w:val="675BC22D"/>
    <w:rsid w:val="6E48520C"/>
    <w:rsid w:val="7980480A"/>
    <w:rsid w:val="7D0A5BEC"/>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7877E61"/>
  <w14:defaultImageDpi w14:val="32767"/>
  <w15:chartTrackingRefBased/>
  <w15:docId w15:val="{DA72A4E1-5BB8-4AA5-A89C-05984730C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ListParagraph"/>
    <w:next w:val="Normal"/>
    <w:link w:val="Heading1Char"/>
    <w:uiPriority w:val="9"/>
    <w:qFormat/>
    <w:rsid w:val="009D34EC"/>
    <w:pPr>
      <w:numPr>
        <w:numId w:val="9"/>
      </w:numPr>
      <w:jc w:val="both"/>
      <w:outlineLvl w:val="0"/>
    </w:pPr>
    <w:rPr>
      <w:rFonts w:ascii="Times New Roman" w:eastAsia="Calibri" w:hAnsi="Times New Roman" w:cs="Arial"/>
      <w:b/>
      <w:sz w:val="32"/>
      <w:szCs w:val="30"/>
      <w:u w:val="single"/>
    </w:rPr>
  </w:style>
  <w:style w:type="paragraph" w:styleId="Heading2">
    <w:name w:val="heading 2"/>
    <w:basedOn w:val="ListParagraph"/>
    <w:next w:val="Normal"/>
    <w:link w:val="Heading2Char"/>
    <w:uiPriority w:val="9"/>
    <w:unhideWhenUsed/>
    <w:qFormat/>
    <w:rsid w:val="00794577"/>
    <w:pPr>
      <w:numPr>
        <w:ilvl w:val="1"/>
        <w:numId w:val="9"/>
      </w:numPr>
      <w:jc w:val="both"/>
      <w:outlineLvl w:val="1"/>
    </w:pPr>
    <w:rPr>
      <w:rFonts w:ascii="Times New Roman" w:eastAsia="Calibri" w:hAnsi="Times New Roman" w:cs="Arial"/>
      <w:b/>
      <w:sz w:val="32"/>
    </w:rPr>
  </w:style>
  <w:style w:type="paragraph" w:styleId="Heading3">
    <w:name w:val="heading 3"/>
    <w:basedOn w:val="ListParagraph"/>
    <w:next w:val="Normal"/>
    <w:link w:val="Heading3Char"/>
    <w:uiPriority w:val="9"/>
    <w:unhideWhenUsed/>
    <w:qFormat/>
    <w:rsid w:val="003775DE"/>
    <w:pPr>
      <w:numPr>
        <w:ilvl w:val="2"/>
        <w:numId w:val="9"/>
      </w:numPr>
      <w:spacing w:before="240" w:line="360" w:lineRule="auto"/>
      <w:jc w:val="both"/>
      <w:outlineLvl w:val="2"/>
    </w:pPr>
    <w:rPr>
      <w:rFonts w:ascii="Times New Roman" w:eastAsia="Calibri" w:hAnsi="Times New Roman" w:cs="Times New Roman"/>
      <w:b/>
      <w:sz w:val="24"/>
      <w:szCs w:val="24"/>
      <w:u w:val="single"/>
    </w:rPr>
  </w:style>
  <w:style w:type="paragraph" w:styleId="Heading4">
    <w:name w:val="heading 4"/>
    <w:basedOn w:val="Heading3"/>
    <w:next w:val="Normal"/>
    <w:link w:val="Heading4Char"/>
    <w:uiPriority w:val="9"/>
    <w:unhideWhenUsed/>
    <w:qFormat/>
    <w:rsid w:val="002E2D58"/>
    <w:pPr>
      <w:numPr>
        <w:ilvl w:val="3"/>
      </w:numPr>
      <w:outlineLvl w:val="3"/>
    </w:pPr>
    <w:rPr>
      <w:i/>
    </w:rPr>
  </w:style>
  <w:style w:type="paragraph" w:styleId="Heading5">
    <w:name w:val="heading 5"/>
    <w:basedOn w:val="Normal"/>
    <w:next w:val="Normal"/>
    <w:link w:val="Heading5Char"/>
    <w:uiPriority w:val="9"/>
    <w:unhideWhenUsed/>
    <w:qFormat/>
    <w:rsid w:val="00E4779C"/>
    <w:pPr>
      <w:keepNext/>
      <w:keepLines/>
      <w:numPr>
        <w:ilvl w:val="4"/>
        <w:numId w:val="9"/>
      </w:numPr>
      <w:spacing w:before="40" w:after="240"/>
      <w:ind w:left="1728"/>
      <w:jc w:val="both"/>
      <w:outlineLvl w:val="4"/>
    </w:pPr>
    <w:rPr>
      <w:rFonts w:ascii="Times New Roman" w:eastAsiaTheme="majorEastAsia" w:hAnsi="Times New Roman" w:cs="Times New Roman"/>
      <w:b/>
      <w:sz w:val="24"/>
      <w:szCs w:val="24"/>
    </w:rPr>
  </w:style>
  <w:style w:type="paragraph" w:styleId="Heading6">
    <w:name w:val="heading 6"/>
    <w:basedOn w:val="Normal"/>
    <w:next w:val="Normal"/>
    <w:link w:val="Heading6Char"/>
    <w:uiPriority w:val="9"/>
    <w:semiHidden/>
    <w:unhideWhenUsed/>
    <w:qFormat/>
    <w:rsid w:val="000B3AF7"/>
    <w:pPr>
      <w:keepNext/>
      <w:keepLines/>
      <w:numPr>
        <w:ilvl w:val="5"/>
        <w:numId w:val="9"/>
      </w:numPr>
      <w:spacing w:before="40" w:after="0"/>
      <w:jc w:val="both"/>
      <w:outlineLvl w:val="5"/>
    </w:pPr>
    <w:rPr>
      <w:rFonts w:asciiTheme="majorHAnsi" w:eastAsiaTheme="majorEastAsia" w:hAnsiTheme="majorHAnsi" w:cstheme="majorBidi"/>
      <w:i/>
      <w:iCs/>
      <w:caps/>
      <w:color w:val="1F3864" w:themeColor="accent1" w:themeShade="80"/>
    </w:rPr>
  </w:style>
  <w:style w:type="paragraph" w:styleId="Heading7">
    <w:name w:val="heading 7"/>
    <w:basedOn w:val="Normal"/>
    <w:next w:val="Normal"/>
    <w:link w:val="Heading7Char"/>
    <w:uiPriority w:val="9"/>
    <w:semiHidden/>
    <w:unhideWhenUsed/>
    <w:qFormat/>
    <w:rsid w:val="000B3AF7"/>
    <w:pPr>
      <w:keepNext/>
      <w:keepLines/>
      <w:numPr>
        <w:ilvl w:val="6"/>
        <w:numId w:val="9"/>
      </w:numPr>
      <w:spacing w:before="40" w:after="0"/>
      <w:jc w:val="both"/>
      <w:outlineLvl w:val="6"/>
    </w:pPr>
    <w:rPr>
      <w:rFonts w:asciiTheme="majorHAnsi" w:eastAsiaTheme="majorEastAsia" w:hAnsiTheme="majorHAnsi" w:cstheme="majorBidi"/>
      <w:b/>
      <w:bCs/>
      <w:color w:val="1F3864" w:themeColor="accent1" w:themeShade="80"/>
    </w:rPr>
  </w:style>
  <w:style w:type="paragraph" w:styleId="Heading8">
    <w:name w:val="heading 8"/>
    <w:basedOn w:val="Normal"/>
    <w:next w:val="Normal"/>
    <w:link w:val="Heading8Char"/>
    <w:uiPriority w:val="9"/>
    <w:semiHidden/>
    <w:unhideWhenUsed/>
    <w:qFormat/>
    <w:rsid w:val="000B3AF7"/>
    <w:pPr>
      <w:keepNext/>
      <w:keepLines/>
      <w:numPr>
        <w:ilvl w:val="7"/>
        <w:numId w:val="9"/>
      </w:numPr>
      <w:spacing w:before="40" w:after="0"/>
      <w:jc w:val="both"/>
      <w:outlineLvl w:val="7"/>
    </w:pPr>
    <w:rPr>
      <w:rFonts w:asciiTheme="majorHAnsi" w:eastAsiaTheme="majorEastAsia" w:hAnsiTheme="majorHAnsi" w:cstheme="majorBidi"/>
      <w:b/>
      <w:bCs/>
      <w:i/>
      <w:iCs/>
      <w:color w:val="1F3864" w:themeColor="accent1" w:themeShade="80"/>
    </w:rPr>
  </w:style>
  <w:style w:type="paragraph" w:styleId="Heading9">
    <w:name w:val="heading 9"/>
    <w:basedOn w:val="Normal"/>
    <w:next w:val="Normal"/>
    <w:link w:val="Heading9Char"/>
    <w:uiPriority w:val="9"/>
    <w:semiHidden/>
    <w:unhideWhenUsed/>
    <w:qFormat/>
    <w:rsid w:val="000B3AF7"/>
    <w:pPr>
      <w:keepNext/>
      <w:keepLines/>
      <w:numPr>
        <w:ilvl w:val="8"/>
        <w:numId w:val="9"/>
      </w:numPr>
      <w:spacing w:before="40" w:after="0"/>
      <w:jc w:val="both"/>
      <w:outlineLvl w:val="8"/>
    </w:pPr>
    <w:rPr>
      <w:rFonts w:asciiTheme="majorHAnsi" w:eastAsiaTheme="majorEastAsia" w:hAnsiTheme="majorHAnsi" w:cstheme="majorBidi"/>
      <w:i/>
      <w:iCs/>
      <w:color w:val="1F3864"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69BB"/>
    <w:pPr>
      <w:ind w:left="720"/>
      <w:contextualSpacing/>
    </w:pPr>
  </w:style>
  <w:style w:type="character" w:styleId="CommentReference">
    <w:name w:val="annotation reference"/>
    <w:basedOn w:val="DefaultParagraphFont"/>
    <w:uiPriority w:val="99"/>
    <w:semiHidden/>
    <w:unhideWhenUsed/>
    <w:rsid w:val="00AC4DFA"/>
    <w:rPr>
      <w:sz w:val="16"/>
      <w:szCs w:val="16"/>
    </w:rPr>
  </w:style>
  <w:style w:type="paragraph" w:styleId="CommentText">
    <w:name w:val="annotation text"/>
    <w:basedOn w:val="Normal"/>
    <w:link w:val="CommentTextChar"/>
    <w:uiPriority w:val="99"/>
    <w:unhideWhenUsed/>
    <w:rsid w:val="00AC4DFA"/>
    <w:pPr>
      <w:spacing w:line="240" w:lineRule="auto"/>
    </w:pPr>
    <w:rPr>
      <w:sz w:val="20"/>
      <w:szCs w:val="20"/>
    </w:rPr>
  </w:style>
  <w:style w:type="character" w:customStyle="1" w:styleId="CommentTextChar">
    <w:name w:val="Comment Text Char"/>
    <w:basedOn w:val="DefaultParagraphFont"/>
    <w:link w:val="CommentText"/>
    <w:uiPriority w:val="99"/>
    <w:rsid w:val="00AC4DFA"/>
    <w:rPr>
      <w:sz w:val="20"/>
      <w:szCs w:val="20"/>
    </w:rPr>
  </w:style>
  <w:style w:type="paragraph" w:styleId="CommentSubject">
    <w:name w:val="annotation subject"/>
    <w:basedOn w:val="CommentText"/>
    <w:next w:val="CommentText"/>
    <w:link w:val="CommentSubjectChar"/>
    <w:uiPriority w:val="99"/>
    <w:semiHidden/>
    <w:unhideWhenUsed/>
    <w:rsid w:val="00AC4DFA"/>
    <w:rPr>
      <w:b/>
      <w:bCs/>
    </w:rPr>
  </w:style>
  <w:style w:type="character" w:customStyle="1" w:styleId="CommentSubjectChar">
    <w:name w:val="Comment Subject Char"/>
    <w:basedOn w:val="CommentTextChar"/>
    <w:link w:val="CommentSubject"/>
    <w:uiPriority w:val="99"/>
    <w:semiHidden/>
    <w:rsid w:val="00AC4DFA"/>
    <w:rPr>
      <w:b/>
      <w:bCs/>
      <w:sz w:val="20"/>
      <w:szCs w:val="20"/>
    </w:rPr>
  </w:style>
  <w:style w:type="paragraph" w:styleId="BalloonText">
    <w:name w:val="Balloon Text"/>
    <w:basedOn w:val="Normal"/>
    <w:link w:val="BalloonTextChar"/>
    <w:uiPriority w:val="99"/>
    <w:semiHidden/>
    <w:unhideWhenUsed/>
    <w:rsid w:val="00AC4DF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4DFA"/>
    <w:rPr>
      <w:rFonts w:ascii="Segoe UI" w:hAnsi="Segoe UI" w:cs="Segoe UI"/>
      <w:sz w:val="18"/>
      <w:szCs w:val="18"/>
    </w:rPr>
  </w:style>
  <w:style w:type="table" w:styleId="TableGrid">
    <w:name w:val="Table Grid"/>
    <w:basedOn w:val="TableNormal"/>
    <w:uiPriority w:val="39"/>
    <w:rsid w:val="00AC4D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C4DFA"/>
    <w:rPr>
      <w:color w:val="0563C1" w:themeColor="hyperlink"/>
      <w:u w:val="single"/>
    </w:rPr>
  </w:style>
  <w:style w:type="character" w:customStyle="1" w:styleId="UnresolvedMention1">
    <w:name w:val="Unresolved Mention1"/>
    <w:basedOn w:val="DefaultParagraphFont"/>
    <w:uiPriority w:val="99"/>
    <w:semiHidden/>
    <w:unhideWhenUsed/>
    <w:rsid w:val="00AC4DFA"/>
    <w:rPr>
      <w:color w:val="605E5C"/>
      <w:shd w:val="clear" w:color="auto" w:fill="E1DFDD"/>
    </w:rPr>
  </w:style>
  <w:style w:type="character" w:styleId="FollowedHyperlink">
    <w:name w:val="FollowedHyperlink"/>
    <w:basedOn w:val="DefaultParagraphFont"/>
    <w:uiPriority w:val="99"/>
    <w:semiHidden/>
    <w:unhideWhenUsed/>
    <w:rsid w:val="00AC4DFA"/>
    <w:rPr>
      <w:color w:val="954F72" w:themeColor="followedHyperlink"/>
      <w:u w:val="single"/>
    </w:rPr>
  </w:style>
  <w:style w:type="table" w:styleId="PlainTable1">
    <w:name w:val="Plain Table 1"/>
    <w:basedOn w:val="TableNormal"/>
    <w:uiPriority w:val="41"/>
    <w:rsid w:val="000B3AF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ntstyle01">
    <w:name w:val="fontstyle01"/>
    <w:basedOn w:val="DefaultParagraphFont"/>
    <w:rsid w:val="000B3AF7"/>
    <w:rPr>
      <w:rFonts w:ascii="WarnockPro-Regular" w:hAnsi="WarnockPro-Regular" w:hint="default"/>
      <w:b w:val="0"/>
      <w:bCs w:val="0"/>
      <w:i w:val="0"/>
      <w:iCs w:val="0"/>
      <w:color w:val="000000"/>
      <w:sz w:val="20"/>
      <w:szCs w:val="20"/>
    </w:rPr>
  </w:style>
  <w:style w:type="table" w:styleId="TableGridLight">
    <w:name w:val="Grid Table Light"/>
    <w:basedOn w:val="TableNormal"/>
    <w:uiPriority w:val="40"/>
    <w:rsid w:val="000B3AF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9D34EC"/>
    <w:rPr>
      <w:rFonts w:ascii="Times New Roman" w:eastAsia="Calibri" w:hAnsi="Times New Roman" w:cs="Arial"/>
      <w:b/>
      <w:sz w:val="32"/>
      <w:szCs w:val="30"/>
      <w:u w:val="single"/>
    </w:rPr>
  </w:style>
  <w:style w:type="character" w:customStyle="1" w:styleId="Heading2Char">
    <w:name w:val="Heading 2 Char"/>
    <w:basedOn w:val="DefaultParagraphFont"/>
    <w:link w:val="Heading2"/>
    <w:uiPriority w:val="9"/>
    <w:rsid w:val="00794577"/>
    <w:rPr>
      <w:rFonts w:ascii="Times New Roman" w:eastAsia="Calibri" w:hAnsi="Times New Roman" w:cs="Arial"/>
      <w:b/>
      <w:sz w:val="32"/>
    </w:rPr>
  </w:style>
  <w:style w:type="character" w:customStyle="1" w:styleId="Heading3Char">
    <w:name w:val="Heading 3 Char"/>
    <w:basedOn w:val="DefaultParagraphFont"/>
    <w:link w:val="Heading3"/>
    <w:uiPriority w:val="9"/>
    <w:rsid w:val="003775DE"/>
    <w:rPr>
      <w:rFonts w:ascii="Times New Roman" w:eastAsia="Calibri" w:hAnsi="Times New Roman" w:cs="Times New Roman"/>
      <w:b/>
      <w:sz w:val="24"/>
      <w:szCs w:val="24"/>
      <w:u w:val="single"/>
    </w:rPr>
  </w:style>
  <w:style w:type="character" w:customStyle="1" w:styleId="Heading4Char">
    <w:name w:val="Heading 4 Char"/>
    <w:basedOn w:val="DefaultParagraphFont"/>
    <w:link w:val="Heading4"/>
    <w:uiPriority w:val="9"/>
    <w:rsid w:val="002E2D58"/>
    <w:rPr>
      <w:rFonts w:ascii="Times New Roman" w:eastAsia="Calibri" w:hAnsi="Times New Roman" w:cs="Times New Roman"/>
      <w:b/>
      <w:i/>
      <w:sz w:val="24"/>
      <w:szCs w:val="24"/>
      <w:u w:val="single"/>
    </w:rPr>
  </w:style>
  <w:style w:type="character" w:customStyle="1" w:styleId="Heading5Char">
    <w:name w:val="Heading 5 Char"/>
    <w:basedOn w:val="DefaultParagraphFont"/>
    <w:link w:val="Heading5"/>
    <w:uiPriority w:val="9"/>
    <w:rsid w:val="00E4779C"/>
    <w:rPr>
      <w:rFonts w:ascii="Times New Roman" w:eastAsiaTheme="majorEastAsia" w:hAnsi="Times New Roman" w:cs="Times New Roman"/>
      <w:b/>
      <w:sz w:val="24"/>
      <w:szCs w:val="24"/>
    </w:rPr>
  </w:style>
  <w:style w:type="character" w:customStyle="1" w:styleId="Heading6Char">
    <w:name w:val="Heading 6 Char"/>
    <w:basedOn w:val="DefaultParagraphFont"/>
    <w:link w:val="Heading6"/>
    <w:uiPriority w:val="9"/>
    <w:semiHidden/>
    <w:rsid w:val="000B3AF7"/>
    <w:rPr>
      <w:rFonts w:asciiTheme="majorHAnsi" w:eastAsiaTheme="majorEastAsia" w:hAnsiTheme="majorHAnsi" w:cstheme="majorBidi"/>
      <w:i/>
      <w:iCs/>
      <w:caps/>
      <w:color w:val="1F3864" w:themeColor="accent1" w:themeShade="80"/>
    </w:rPr>
  </w:style>
  <w:style w:type="character" w:customStyle="1" w:styleId="Heading7Char">
    <w:name w:val="Heading 7 Char"/>
    <w:basedOn w:val="DefaultParagraphFont"/>
    <w:link w:val="Heading7"/>
    <w:uiPriority w:val="9"/>
    <w:semiHidden/>
    <w:rsid w:val="000B3AF7"/>
    <w:rPr>
      <w:rFonts w:asciiTheme="majorHAnsi" w:eastAsiaTheme="majorEastAsia" w:hAnsiTheme="majorHAnsi" w:cstheme="majorBidi"/>
      <w:b/>
      <w:bCs/>
      <w:color w:val="1F3864" w:themeColor="accent1" w:themeShade="80"/>
    </w:rPr>
  </w:style>
  <w:style w:type="character" w:customStyle="1" w:styleId="Heading8Char">
    <w:name w:val="Heading 8 Char"/>
    <w:basedOn w:val="DefaultParagraphFont"/>
    <w:link w:val="Heading8"/>
    <w:uiPriority w:val="9"/>
    <w:semiHidden/>
    <w:rsid w:val="000B3AF7"/>
    <w:rPr>
      <w:rFonts w:asciiTheme="majorHAnsi" w:eastAsiaTheme="majorEastAsia" w:hAnsiTheme="majorHAnsi" w:cstheme="majorBidi"/>
      <w:b/>
      <w:bCs/>
      <w:i/>
      <w:iCs/>
      <w:color w:val="1F3864" w:themeColor="accent1" w:themeShade="80"/>
    </w:rPr>
  </w:style>
  <w:style w:type="character" w:customStyle="1" w:styleId="Heading9Char">
    <w:name w:val="Heading 9 Char"/>
    <w:basedOn w:val="DefaultParagraphFont"/>
    <w:link w:val="Heading9"/>
    <w:uiPriority w:val="9"/>
    <w:semiHidden/>
    <w:rsid w:val="000B3AF7"/>
    <w:rPr>
      <w:rFonts w:asciiTheme="majorHAnsi" w:eastAsiaTheme="majorEastAsia" w:hAnsiTheme="majorHAnsi" w:cstheme="majorBidi"/>
      <w:i/>
      <w:iCs/>
      <w:color w:val="1F3864" w:themeColor="accent1" w:themeShade="80"/>
    </w:rPr>
  </w:style>
  <w:style w:type="character" w:styleId="PlaceholderText">
    <w:name w:val="Placeholder Text"/>
    <w:basedOn w:val="DefaultParagraphFont"/>
    <w:uiPriority w:val="99"/>
    <w:semiHidden/>
    <w:rsid w:val="000B3AF7"/>
    <w:rPr>
      <w:color w:val="808080"/>
    </w:rPr>
  </w:style>
  <w:style w:type="numbering" w:customStyle="1" w:styleId="Style1">
    <w:name w:val="Style1"/>
    <w:uiPriority w:val="99"/>
    <w:rsid w:val="000B3AF7"/>
    <w:pPr>
      <w:numPr>
        <w:numId w:val="2"/>
      </w:numPr>
    </w:pPr>
  </w:style>
  <w:style w:type="numbering" w:customStyle="1" w:styleId="Style2">
    <w:name w:val="Style2"/>
    <w:uiPriority w:val="99"/>
    <w:rsid w:val="000B3AF7"/>
    <w:pPr>
      <w:numPr>
        <w:numId w:val="3"/>
      </w:numPr>
    </w:pPr>
  </w:style>
  <w:style w:type="numbering" w:customStyle="1" w:styleId="Style3">
    <w:name w:val="Style3"/>
    <w:uiPriority w:val="99"/>
    <w:rsid w:val="000B3AF7"/>
    <w:pPr>
      <w:numPr>
        <w:numId w:val="4"/>
      </w:numPr>
    </w:pPr>
  </w:style>
  <w:style w:type="paragraph" w:styleId="TOCHeading">
    <w:name w:val="TOC Heading"/>
    <w:basedOn w:val="Heading1"/>
    <w:next w:val="Normal"/>
    <w:uiPriority w:val="39"/>
    <w:unhideWhenUsed/>
    <w:qFormat/>
    <w:rsid w:val="000B3AF7"/>
    <w:pPr>
      <w:numPr>
        <w:numId w:val="5"/>
      </w:numPr>
      <w:outlineLvl w:val="9"/>
    </w:pPr>
  </w:style>
  <w:style w:type="paragraph" w:styleId="Caption">
    <w:name w:val="caption"/>
    <w:basedOn w:val="Normal"/>
    <w:next w:val="Normal"/>
    <w:uiPriority w:val="35"/>
    <w:unhideWhenUsed/>
    <w:qFormat/>
    <w:rsid w:val="00A91FA8"/>
    <w:pPr>
      <w:spacing w:line="240" w:lineRule="auto"/>
      <w:jc w:val="both"/>
    </w:pPr>
    <w:rPr>
      <w:rFonts w:eastAsia="Calibri" w:cstheme="minorHAnsi"/>
      <w:bCs/>
      <w:i/>
    </w:rPr>
  </w:style>
  <w:style w:type="paragraph" w:styleId="Title">
    <w:name w:val="Title"/>
    <w:basedOn w:val="Normal"/>
    <w:next w:val="Normal"/>
    <w:link w:val="TitleChar"/>
    <w:uiPriority w:val="10"/>
    <w:qFormat/>
    <w:rsid w:val="000B3AF7"/>
    <w:pPr>
      <w:spacing w:after="0" w:line="204" w:lineRule="auto"/>
      <w:contextualSpacing/>
      <w:jc w:val="both"/>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0"/>
    <w:rsid w:val="000B3AF7"/>
    <w:rPr>
      <w:rFonts w:asciiTheme="majorHAnsi" w:eastAsiaTheme="majorEastAsia" w:hAnsiTheme="majorHAnsi" w:cstheme="majorBidi"/>
      <w:caps/>
      <w:color w:val="44546A" w:themeColor="text2"/>
      <w:spacing w:val="-15"/>
      <w:sz w:val="72"/>
      <w:szCs w:val="72"/>
    </w:rPr>
  </w:style>
  <w:style w:type="paragraph" w:styleId="Subtitle">
    <w:name w:val="Subtitle"/>
    <w:aliases w:val="Figure"/>
    <w:basedOn w:val="Normal"/>
    <w:next w:val="Normal"/>
    <w:link w:val="SubtitleChar"/>
    <w:uiPriority w:val="11"/>
    <w:rsid w:val="00FE6717"/>
    <w:pPr>
      <w:numPr>
        <w:numId w:val="10"/>
      </w:numPr>
      <w:jc w:val="both"/>
    </w:pPr>
    <w:rPr>
      <w:i/>
    </w:rPr>
  </w:style>
  <w:style w:type="character" w:customStyle="1" w:styleId="SubtitleChar">
    <w:name w:val="Subtitle Char"/>
    <w:aliases w:val="Figure Char"/>
    <w:basedOn w:val="DefaultParagraphFont"/>
    <w:link w:val="Subtitle"/>
    <w:uiPriority w:val="11"/>
    <w:rsid w:val="00FE6717"/>
    <w:rPr>
      <w:i/>
    </w:rPr>
  </w:style>
  <w:style w:type="character" w:styleId="Strong">
    <w:name w:val="Strong"/>
    <w:basedOn w:val="DefaultParagraphFont"/>
    <w:uiPriority w:val="22"/>
    <w:qFormat/>
    <w:rsid w:val="000B3AF7"/>
    <w:rPr>
      <w:b/>
      <w:bCs/>
    </w:rPr>
  </w:style>
  <w:style w:type="character" w:styleId="Emphasis">
    <w:name w:val="Emphasis"/>
    <w:basedOn w:val="DefaultParagraphFont"/>
    <w:uiPriority w:val="20"/>
    <w:qFormat/>
    <w:rsid w:val="000B3AF7"/>
    <w:rPr>
      <w:i/>
      <w:iCs/>
    </w:rPr>
  </w:style>
  <w:style w:type="paragraph" w:styleId="NoSpacing">
    <w:name w:val="No Spacing"/>
    <w:uiPriority w:val="1"/>
    <w:qFormat/>
    <w:rsid w:val="000B3AF7"/>
    <w:pPr>
      <w:spacing w:after="0" w:line="240" w:lineRule="auto"/>
    </w:pPr>
    <w:rPr>
      <w:rFonts w:eastAsiaTheme="minorEastAsia"/>
    </w:rPr>
  </w:style>
  <w:style w:type="paragraph" w:styleId="Quote">
    <w:name w:val="Quote"/>
    <w:basedOn w:val="Normal"/>
    <w:next w:val="Normal"/>
    <w:link w:val="QuoteChar"/>
    <w:uiPriority w:val="29"/>
    <w:qFormat/>
    <w:rsid w:val="000B3AF7"/>
    <w:pPr>
      <w:spacing w:before="120" w:after="120"/>
      <w:ind w:left="720"/>
      <w:jc w:val="both"/>
    </w:pPr>
    <w:rPr>
      <w:rFonts w:ascii="Arial" w:eastAsia="Calibri" w:hAnsi="Arial" w:cs="Arial"/>
      <w:color w:val="44546A" w:themeColor="text2"/>
      <w:sz w:val="24"/>
      <w:szCs w:val="24"/>
    </w:rPr>
  </w:style>
  <w:style w:type="character" w:customStyle="1" w:styleId="QuoteChar">
    <w:name w:val="Quote Char"/>
    <w:basedOn w:val="DefaultParagraphFont"/>
    <w:link w:val="Quote"/>
    <w:uiPriority w:val="29"/>
    <w:rsid w:val="000B3AF7"/>
    <w:rPr>
      <w:rFonts w:ascii="Arial" w:eastAsia="Calibri" w:hAnsi="Arial" w:cs="Arial"/>
      <w:color w:val="44546A" w:themeColor="text2"/>
      <w:sz w:val="24"/>
      <w:szCs w:val="24"/>
    </w:rPr>
  </w:style>
  <w:style w:type="paragraph" w:styleId="IntenseQuote">
    <w:name w:val="Intense Quote"/>
    <w:basedOn w:val="Normal"/>
    <w:next w:val="Normal"/>
    <w:link w:val="IntenseQuoteChar"/>
    <w:uiPriority w:val="30"/>
    <w:qFormat/>
    <w:rsid w:val="000B3AF7"/>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0B3AF7"/>
    <w:rPr>
      <w:rFonts w:asciiTheme="majorHAnsi" w:eastAsiaTheme="majorEastAsia" w:hAnsiTheme="majorHAnsi" w:cstheme="majorBidi"/>
      <w:color w:val="44546A" w:themeColor="text2"/>
      <w:spacing w:val="-6"/>
      <w:sz w:val="32"/>
      <w:szCs w:val="32"/>
    </w:rPr>
  </w:style>
  <w:style w:type="character" w:styleId="SubtleEmphasis">
    <w:name w:val="Subtle Emphasis"/>
    <w:uiPriority w:val="19"/>
    <w:qFormat/>
    <w:rsid w:val="00EC6F67"/>
  </w:style>
  <w:style w:type="character" w:styleId="IntenseEmphasis">
    <w:name w:val="Intense Emphasis"/>
    <w:basedOn w:val="DefaultParagraphFont"/>
    <w:uiPriority w:val="21"/>
    <w:qFormat/>
    <w:rsid w:val="000B3AF7"/>
    <w:rPr>
      <w:b/>
      <w:bCs/>
      <w:i/>
      <w:iCs/>
    </w:rPr>
  </w:style>
  <w:style w:type="character" w:styleId="SubtleReference">
    <w:name w:val="Subtle Reference"/>
    <w:basedOn w:val="DefaultParagraphFont"/>
    <w:uiPriority w:val="31"/>
    <w:qFormat/>
    <w:rsid w:val="000B3AF7"/>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0B3AF7"/>
    <w:rPr>
      <w:b/>
      <w:bCs/>
      <w:smallCaps/>
      <w:color w:val="44546A" w:themeColor="text2"/>
      <w:u w:val="single"/>
    </w:rPr>
  </w:style>
  <w:style w:type="character" w:styleId="BookTitle">
    <w:name w:val="Book Title"/>
    <w:basedOn w:val="DefaultParagraphFont"/>
    <w:uiPriority w:val="33"/>
    <w:qFormat/>
    <w:rsid w:val="000B3AF7"/>
    <w:rPr>
      <w:b/>
      <w:bCs/>
      <w:smallCaps/>
      <w:spacing w:val="10"/>
    </w:rPr>
  </w:style>
  <w:style w:type="paragraph" w:styleId="TOC1">
    <w:name w:val="toc 1"/>
    <w:basedOn w:val="Normal"/>
    <w:next w:val="Normal"/>
    <w:autoRedefine/>
    <w:uiPriority w:val="39"/>
    <w:unhideWhenUsed/>
    <w:rsid w:val="000B3AF7"/>
    <w:pPr>
      <w:spacing w:after="100"/>
      <w:jc w:val="both"/>
    </w:pPr>
    <w:rPr>
      <w:rFonts w:ascii="Arial" w:eastAsia="Calibri" w:hAnsi="Arial" w:cs="Arial"/>
    </w:rPr>
  </w:style>
  <w:style w:type="paragraph" w:styleId="TOC2">
    <w:name w:val="toc 2"/>
    <w:basedOn w:val="Normal"/>
    <w:next w:val="Normal"/>
    <w:autoRedefine/>
    <w:uiPriority w:val="39"/>
    <w:unhideWhenUsed/>
    <w:rsid w:val="000B3AF7"/>
    <w:pPr>
      <w:spacing w:after="100"/>
      <w:ind w:left="220"/>
      <w:jc w:val="both"/>
    </w:pPr>
    <w:rPr>
      <w:rFonts w:ascii="Arial" w:eastAsia="Calibri" w:hAnsi="Arial" w:cs="Arial"/>
    </w:rPr>
  </w:style>
  <w:style w:type="paragraph" w:styleId="TOC3">
    <w:name w:val="toc 3"/>
    <w:basedOn w:val="Normal"/>
    <w:next w:val="Normal"/>
    <w:autoRedefine/>
    <w:uiPriority w:val="39"/>
    <w:unhideWhenUsed/>
    <w:rsid w:val="000B3AF7"/>
    <w:pPr>
      <w:spacing w:after="100"/>
      <w:ind w:left="440"/>
      <w:jc w:val="both"/>
    </w:pPr>
    <w:rPr>
      <w:rFonts w:ascii="Arial" w:eastAsia="Calibri" w:hAnsi="Arial" w:cs="Arial"/>
    </w:rPr>
  </w:style>
  <w:style w:type="numbering" w:customStyle="1" w:styleId="Style4">
    <w:name w:val="Style4"/>
    <w:uiPriority w:val="99"/>
    <w:rsid w:val="000B3AF7"/>
    <w:pPr>
      <w:numPr>
        <w:numId w:val="6"/>
      </w:numPr>
    </w:pPr>
  </w:style>
  <w:style w:type="numbering" w:customStyle="1" w:styleId="Style5">
    <w:name w:val="Style5"/>
    <w:uiPriority w:val="99"/>
    <w:rsid w:val="000B3AF7"/>
    <w:pPr>
      <w:numPr>
        <w:numId w:val="7"/>
      </w:numPr>
    </w:pPr>
  </w:style>
  <w:style w:type="numbering" w:customStyle="1" w:styleId="Style6">
    <w:name w:val="Style6"/>
    <w:uiPriority w:val="99"/>
    <w:rsid w:val="000B3AF7"/>
    <w:pPr>
      <w:numPr>
        <w:numId w:val="8"/>
      </w:numPr>
    </w:pPr>
  </w:style>
  <w:style w:type="paragraph" w:customStyle="1" w:styleId="Table">
    <w:name w:val="Table"/>
    <w:basedOn w:val="Normal"/>
    <w:rsid w:val="0006784D"/>
    <w:pPr>
      <w:numPr>
        <w:numId w:val="11"/>
      </w:numPr>
    </w:pPr>
    <w:rPr>
      <w:b/>
    </w:rPr>
  </w:style>
  <w:style w:type="paragraph" w:styleId="Header">
    <w:name w:val="header"/>
    <w:basedOn w:val="Normal"/>
    <w:link w:val="HeaderChar"/>
    <w:uiPriority w:val="99"/>
    <w:unhideWhenUsed/>
    <w:rsid w:val="00746C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C04"/>
  </w:style>
  <w:style w:type="paragraph" w:styleId="Footer">
    <w:name w:val="footer"/>
    <w:basedOn w:val="Normal"/>
    <w:link w:val="FooterChar"/>
    <w:uiPriority w:val="99"/>
    <w:unhideWhenUsed/>
    <w:rsid w:val="00746C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C04"/>
  </w:style>
  <w:style w:type="paragraph" w:styleId="TOC4">
    <w:name w:val="toc 4"/>
    <w:basedOn w:val="Normal"/>
    <w:next w:val="Normal"/>
    <w:autoRedefine/>
    <w:uiPriority w:val="39"/>
    <w:unhideWhenUsed/>
    <w:rsid w:val="00D21920"/>
    <w:pPr>
      <w:spacing w:after="100"/>
      <w:ind w:left="660"/>
    </w:pPr>
    <w:rPr>
      <w:rFonts w:eastAsiaTheme="minorEastAsia"/>
    </w:rPr>
  </w:style>
  <w:style w:type="paragraph" w:styleId="TOC5">
    <w:name w:val="toc 5"/>
    <w:basedOn w:val="Normal"/>
    <w:next w:val="Normal"/>
    <w:autoRedefine/>
    <w:uiPriority w:val="39"/>
    <w:unhideWhenUsed/>
    <w:rsid w:val="00D21920"/>
    <w:pPr>
      <w:spacing w:after="100"/>
      <w:ind w:left="880"/>
    </w:pPr>
    <w:rPr>
      <w:rFonts w:eastAsiaTheme="minorEastAsia"/>
    </w:rPr>
  </w:style>
  <w:style w:type="paragraph" w:styleId="TOC6">
    <w:name w:val="toc 6"/>
    <w:basedOn w:val="Normal"/>
    <w:next w:val="Normal"/>
    <w:autoRedefine/>
    <w:uiPriority w:val="39"/>
    <w:unhideWhenUsed/>
    <w:rsid w:val="00D21920"/>
    <w:pPr>
      <w:spacing w:after="100"/>
      <w:ind w:left="1100"/>
    </w:pPr>
    <w:rPr>
      <w:rFonts w:eastAsiaTheme="minorEastAsia"/>
    </w:rPr>
  </w:style>
  <w:style w:type="paragraph" w:styleId="TOC7">
    <w:name w:val="toc 7"/>
    <w:basedOn w:val="Normal"/>
    <w:next w:val="Normal"/>
    <w:autoRedefine/>
    <w:uiPriority w:val="39"/>
    <w:unhideWhenUsed/>
    <w:rsid w:val="00D21920"/>
    <w:pPr>
      <w:spacing w:after="100"/>
      <w:ind w:left="1320"/>
    </w:pPr>
    <w:rPr>
      <w:rFonts w:eastAsiaTheme="minorEastAsia"/>
    </w:rPr>
  </w:style>
  <w:style w:type="paragraph" w:styleId="TOC8">
    <w:name w:val="toc 8"/>
    <w:basedOn w:val="Normal"/>
    <w:next w:val="Normal"/>
    <w:autoRedefine/>
    <w:uiPriority w:val="39"/>
    <w:unhideWhenUsed/>
    <w:rsid w:val="00D21920"/>
    <w:pPr>
      <w:spacing w:after="100"/>
      <w:ind w:left="1540"/>
    </w:pPr>
    <w:rPr>
      <w:rFonts w:eastAsiaTheme="minorEastAsia"/>
    </w:rPr>
  </w:style>
  <w:style w:type="paragraph" w:styleId="TOC9">
    <w:name w:val="toc 9"/>
    <w:basedOn w:val="Normal"/>
    <w:next w:val="Normal"/>
    <w:autoRedefine/>
    <w:uiPriority w:val="39"/>
    <w:unhideWhenUsed/>
    <w:rsid w:val="00D21920"/>
    <w:pPr>
      <w:spacing w:after="100"/>
      <w:ind w:left="1760"/>
    </w:pPr>
    <w:rPr>
      <w:rFonts w:eastAsiaTheme="minorEastAsia"/>
    </w:rPr>
  </w:style>
  <w:style w:type="character" w:customStyle="1" w:styleId="UnresolvedMention2">
    <w:name w:val="Unresolved Mention2"/>
    <w:basedOn w:val="DefaultParagraphFont"/>
    <w:uiPriority w:val="99"/>
    <w:semiHidden/>
    <w:unhideWhenUsed/>
    <w:rsid w:val="00D21920"/>
    <w:rPr>
      <w:color w:val="605E5C"/>
      <w:shd w:val="clear" w:color="auto" w:fill="E1DFDD"/>
    </w:rPr>
  </w:style>
  <w:style w:type="paragraph" w:styleId="Revision">
    <w:name w:val="Revision"/>
    <w:hidden/>
    <w:uiPriority w:val="99"/>
    <w:semiHidden/>
    <w:rsid w:val="00F433EA"/>
    <w:pPr>
      <w:spacing w:after="0" w:line="240" w:lineRule="auto"/>
    </w:pPr>
  </w:style>
  <w:style w:type="character" w:styleId="UnresolvedMention">
    <w:name w:val="Unresolved Mention"/>
    <w:basedOn w:val="DefaultParagraphFont"/>
    <w:uiPriority w:val="99"/>
    <w:semiHidden/>
    <w:unhideWhenUsed/>
    <w:rsid w:val="00A432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77527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tiff"/><Relationship Id="rId55" Type="http://schemas.openxmlformats.org/officeDocument/2006/relationships/image" Target="media/image44.tif"/><Relationship Id="rId63" Type="http://schemas.openxmlformats.org/officeDocument/2006/relationships/header" Target="header1.xml"/><Relationship Id="rId68" Type="http://schemas.microsoft.com/office/2018/08/relationships/commentsExtensible" Target="commentsExtensi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tiff"/><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2.tiff"/><Relationship Id="rId48" Type="http://schemas.openxmlformats.org/officeDocument/2006/relationships/image" Target="media/image37.png"/><Relationship Id="rId56" Type="http://schemas.openxmlformats.org/officeDocument/2006/relationships/image" Target="media/image45.jpg"/><Relationship Id="rId64"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tif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tiff"/><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endnotes" Target="endnotes.xml"/><Relationship Id="rId31" Type="http://schemas.openxmlformats.org/officeDocument/2006/relationships/hyperlink" Target="https://nebiocalculator.neb.com/" TargetMode="External"/><Relationship Id="rId44" Type="http://schemas.openxmlformats.org/officeDocument/2006/relationships/image" Target="media/image33.tiff"/><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9350C40E1C64634DAD7C248F932C687E" ma:contentTypeVersion="15" ma:contentTypeDescription="Stvaranje novog dokumenta." ma:contentTypeScope="" ma:versionID="7a3f5040ce0f5531b596cb2cfe2171c0">
  <xsd:schema xmlns:xsd="http://www.w3.org/2001/XMLSchema" xmlns:xs="http://www.w3.org/2001/XMLSchema" xmlns:p="http://schemas.microsoft.com/office/2006/metadata/properties" xmlns:ns2="b4eae780-f660-4ba7-9f52-e2493724a073" xmlns:ns3="87c21652-d0b3-4855-85c7-e48fb072568b" targetNamespace="http://schemas.microsoft.com/office/2006/metadata/properties" ma:root="true" ma:fieldsID="31fecb975f64beaddfb90fa6b9db5158" ns2:_="" ns3:_="">
    <xsd:import namespace="b4eae780-f660-4ba7-9f52-e2493724a073"/>
    <xsd:import namespace="87c21652-d0b3-4855-85c7-e48fb072568b"/>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eae780-f660-4ba7-9f52-e2493724a0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Oznake slika" ma:readOnly="false" ma:fieldId="{5cf76f15-5ced-4ddc-b409-7134ff3c332f}" ma:taxonomyMulti="true" ma:sspId="d0b5bfa9-24ab-4233-a33d-ee8d531307f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7c21652-d0b3-4855-85c7-e48fb072568b" elementFormDefault="qualified">
    <xsd:import namespace="http://schemas.microsoft.com/office/2006/documentManagement/types"/>
    <xsd:import namespace="http://schemas.microsoft.com/office/infopath/2007/PartnerControls"/>
    <xsd:element name="SharedWithUsers" ma:index="16" nillable="true" ma:displayName="Zajednički se koristi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ji o zajedničkom korištenju" ma:internalName="SharedWithDetails" ma:readOnly="true">
      <xsd:simpleType>
        <xsd:restriction base="dms:Note">
          <xsd:maxLength value="255"/>
        </xsd:restriction>
      </xsd:simpleType>
    </xsd:element>
    <xsd:element name="TaxCatchAll" ma:index="21" nillable="true" ma:displayName="Taxonomy Catch All Column" ma:hidden="true" ma:list="{7893ea8a-6484-4f28-a8de-446951974e25}" ma:internalName="TaxCatchAll" ma:showField="CatchAllData" ma:web="87c21652-d0b3-4855-85c7-e48fb072568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7c21652-d0b3-4855-85c7-e48fb072568b" xsi:nil="true"/>
    <lcf76f155ced4ddcb4097134ff3c332f xmlns="b4eae780-f660-4ba7-9f52-e2493724a073">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1649A1-FA4A-4A71-99D1-53DF06AD90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eae780-f660-4ba7-9f52-e2493724a073"/>
    <ds:schemaRef ds:uri="87c21652-d0b3-4855-85c7-e48fb07256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E8AAC79-954F-4CFE-A08A-76F44F682BF9}">
  <ds:schemaRefs>
    <ds:schemaRef ds:uri="http://schemas.microsoft.com/sharepoint/v3/contenttype/forms"/>
  </ds:schemaRefs>
</ds:datastoreItem>
</file>

<file path=customXml/itemProps3.xml><?xml version="1.0" encoding="utf-8"?>
<ds:datastoreItem xmlns:ds="http://schemas.openxmlformats.org/officeDocument/2006/customXml" ds:itemID="{6167BD4B-87C4-47A6-8337-730ACCA1F3C9}">
  <ds:schemaRefs>
    <ds:schemaRef ds:uri="http://schemas.microsoft.com/office/2006/metadata/properties"/>
    <ds:schemaRef ds:uri="http://schemas.microsoft.com/office/infopath/2007/PartnerControls"/>
    <ds:schemaRef ds:uri="87c21652-d0b3-4855-85c7-e48fb072568b"/>
    <ds:schemaRef ds:uri="b4eae780-f660-4ba7-9f52-e2493724a073"/>
  </ds:schemaRefs>
</ds:datastoreItem>
</file>

<file path=customXml/itemProps4.xml><?xml version="1.0" encoding="utf-8"?>
<ds:datastoreItem xmlns:ds="http://schemas.openxmlformats.org/officeDocument/2006/customXml" ds:itemID="{A6A4F19A-0D18-4E89-91A5-B83F3FE75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150</Pages>
  <Words>186257</Words>
  <Characters>1061670</Characters>
  <Application>Microsoft Office Word</Application>
  <DocSecurity>0</DocSecurity>
  <Lines>8847</Lines>
  <Paragraphs>2490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1245437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mobi-10</dc:creator>
  <cp:keywords/>
  <dc:description/>
  <cp:lastModifiedBy>mobi-10</cp:lastModifiedBy>
  <cp:revision>4</cp:revision>
  <cp:lastPrinted>2022-11-15T13:30:00Z</cp:lastPrinted>
  <dcterms:created xsi:type="dcterms:W3CDTF">2022-11-15T13:27:00Z</dcterms:created>
  <dcterms:modified xsi:type="dcterms:W3CDTF">2022-11-15T13:31:00Z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http://www.zotero.org/styles/elsevier-with-titles</vt:lpwstr>
  </property>
  <property fmtid="{D5CDD505-2E9C-101B-9397-08002B2CF9AE}" pid="13" name="Mendeley Recent Style Name 5_1">
    <vt:lpwstr>Elsevier (numeric, with titles)</vt:lpwstr>
  </property>
  <property fmtid="{D5CDD505-2E9C-101B-9397-08002B2CF9AE}" pid="14" name="Mendeley Recent Style Id 6_1">
    <vt:lpwstr>http://csl.mendeley.com/styles/537646201/elsevier-with-titles-2</vt:lpwstr>
  </property>
  <property fmtid="{D5CDD505-2E9C-101B-9397-08002B2CF9AE}" pid="15" name="Mendeley Recent Style Name 6_1">
    <vt:lpwstr>Elsevier (numeric, with titles) - Bastien Proust</vt:lpwstr>
  </property>
  <property fmtid="{D5CDD505-2E9C-101B-9397-08002B2CF9AE}" pid="16" name="Mendeley Recent Style Id 7_1">
    <vt:lpwstr>http://csl.mendeley.com/styles/537646201/elsevier-with-titles-5</vt:lpwstr>
  </property>
  <property fmtid="{D5CDD505-2E9C-101B-9397-08002B2CF9AE}" pid="17" name="Mendeley Recent Style Name 7_1">
    <vt:lpwstr>Elsevier (numeric, with titles) - Bastien Proust</vt:lpwstr>
  </property>
  <property fmtid="{D5CDD505-2E9C-101B-9397-08002B2CF9AE}" pid="18" name="Mendeley Recent Style Id 8_1">
    <vt:lpwstr>http://csl.mendeley.com/styles/537646201/elsevier-with-titles-3</vt:lpwstr>
  </property>
  <property fmtid="{D5CDD505-2E9C-101B-9397-08002B2CF9AE}" pid="19" name="Mendeley Recent Style Name 8_1">
    <vt:lpwstr>Elsevier (numeric, with titles) - Bastien Proust</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4c20d234-02ee-3009-bd42-4671577f42fe</vt:lpwstr>
  </property>
  <property fmtid="{D5CDD505-2E9C-101B-9397-08002B2CF9AE}" pid="24" name="Mendeley Citation Style_1">
    <vt:lpwstr>http://csl.mendeley.com/styles/537646201/elsevier-with-titles-3</vt:lpwstr>
  </property>
  <property fmtid="{D5CDD505-2E9C-101B-9397-08002B2CF9AE}" pid="25" name="ContentTypeId">
    <vt:lpwstr>0x0101009350C40E1C64634DAD7C248F932C687E</vt:lpwstr>
  </property>
</Properties>
</file>