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819A50" w14:textId="77777777" w:rsidR="00FD75E3" w:rsidRPr="006E1463" w:rsidRDefault="00FD75E3" w:rsidP="00D72BE1">
      <w:pPr>
        <w:spacing w:line="360" w:lineRule="auto"/>
        <w:rPr>
          <w:rFonts w:ascii="Times New Roman" w:hAnsi="Times New Roman"/>
          <w:color w:val="000000"/>
          <w:sz w:val="28"/>
          <w:szCs w:val="24"/>
          <w:lang w:val="en-GB"/>
        </w:rPr>
      </w:pPr>
      <w:bookmarkStart w:id="0" w:name="_GoBack"/>
      <w:bookmarkEnd w:id="0"/>
      <w:r w:rsidRPr="006E1463">
        <w:rPr>
          <w:rFonts w:ascii="Times New Roman" w:hAnsi="Times New Roman"/>
          <w:color w:val="000000"/>
          <w:sz w:val="28"/>
          <w:szCs w:val="24"/>
          <w:lang w:val="en-GB"/>
        </w:rPr>
        <w:t>Distribution and characterization of organic matter within the sea surface microlayer in the Gulf of Gdansk</w:t>
      </w:r>
    </w:p>
    <w:p w14:paraId="6209BAF7" w14:textId="046B85B4" w:rsidR="00FD75E3" w:rsidRPr="006E1463" w:rsidRDefault="00FD75E3" w:rsidP="00D72BE1">
      <w:pPr>
        <w:spacing w:line="360" w:lineRule="auto"/>
        <w:rPr>
          <w:rFonts w:ascii="Times New Roman" w:hAnsi="Times New Roman"/>
          <w:color w:val="000000"/>
          <w:lang w:val="en-GB"/>
        </w:rPr>
      </w:pPr>
      <w:r w:rsidRPr="006E1463">
        <w:rPr>
          <w:rFonts w:ascii="Times New Roman" w:hAnsi="Times New Roman"/>
          <w:color w:val="000000"/>
          <w:lang w:val="en-GB"/>
        </w:rPr>
        <w:t xml:space="preserve">Abra </w:t>
      </w:r>
      <w:r w:rsidR="00696D69" w:rsidRPr="006E1463">
        <w:rPr>
          <w:rFonts w:ascii="Times New Roman" w:hAnsi="Times New Roman"/>
          <w:color w:val="000000"/>
          <w:lang w:val="en-GB"/>
        </w:rPr>
        <w:t>Penezi</w:t>
      </w:r>
      <w:r w:rsidR="00696D69">
        <w:rPr>
          <w:rFonts w:ascii="Times New Roman" w:hAnsi="Times New Roman"/>
          <w:color w:val="000000"/>
          <w:lang w:val="en-GB"/>
        </w:rPr>
        <w:t>ć</w:t>
      </w:r>
      <w:r w:rsidRPr="006E1463">
        <w:rPr>
          <w:rFonts w:ascii="Times New Roman" w:hAnsi="Times New Roman"/>
          <w:color w:val="000000"/>
          <w:vertAlign w:val="superscript"/>
          <w:lang w:val="en-GB"/>
        </w:rPr>
        <w:t>*1</w:t>
      </w:r>
      <w:r w:rsidRPr="006E1463">
        <w:rPr>
          <w:rFonts w:ascii="Times New Roman" w:hAnsi="Times New Roman"/>
          <w:color w:val="000000"/>
          <w:lang w:val="en-GB"/>
        </w:rPr>
        <w:t>, Violetta Drozdowska</w:t>
      </w:r>
      <w:r w:rsidRPr="006E1463">
        <w:rPr>
          <w:rFonts w:ascii="Times New Roman" w:hAnsi="Times New Roman"/>
          <w:color w:val="000000"/>
          <w:vertAlign w:val="superscript"/>
          <w:lang w:val="en-GB"/>
        </w:rPr>
        <w:t>*2</w:t>
      </w:r>
      <w:r w:rsidRPr="006E1463">
        <w:rPr>
          <w:rFonts w:ascii="Times New Roman" w:hAnsi="Times New Roman"/>
          <w:color w:val="000000"/>
          <w:lang w:val="en-GB"/>
        </w:rPr>
        <w:t>, Tihana Novak</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and Blaženka Gašparović</w:t>
      </w:r>
      <w:r w:rsidRPr="006E1463">
        <w:rPr>
          <w:rFonts w:ascii="Times New Roman" w:hAnsi="Times New Roman"/>
          <w:color w:val="000000"/>
          <w:vertAlign w:val="superscript"/>
          <w:lang w:val="en-GB"/>
        </w:rPr>
        <w:t>1</w:t>
      </w:r>
    </w:p>
    <w:p w14:paraId="2A566FA5" w14:textId="77777777" w:rsidR="00FD75E3" w:rsidRPr="006E1463" w:rsidRDefault="0006227E" w:rsidP="00D72BE1">
      <w:pPr>
        <w:pStyle w:val="NoSpacing"/>
        <w:spacing w:line="360" w:lineRule="auto"/>
        <w:rPr>
          <w:rFonts w:ascii="Times New Roman" w:eastAsia="Times New Roman" w:hAnsi="Times New Roman"/>
          <w:color w:val="000000"/>
          <w:lang w:val="en-GB" w:bidi="en-US"/>
        </w:rPr>
      </w:pPr>
      <w:r>
        <w:rPr>
          <w:rFonts w:ascii="Times New Roman" w:eastAsia="Times New Roman" w:hAnsi="Times New Roman"/>
          <w:color w:val="000000"/>
          <w:lang w:val="en-GB" w:bidi="en-US"/>
        </w:rPr>
        <w:t xml:space="preserve">*Corresponding authors: </w:t>
      </w:r>
      <w:r w:rsidR="00572348" w:rsidRPr="006E1463">
        <w:rPr>
          <w:rFonts w:ascii="Times New Roman" w:eastAsia="Times New Roman" w:hAnsi="Times New Roman"/>
          <w:color w:val="000000"/>
          <w:lang w:val="en-GB" w:bidi="en-US"/>
        </w:rPr>
        <w:t>abra@irb.hr,</w:t>
      </w:r>
      <w:r w:rsidR="00572348" w:rsidRPr="006E1463">
        <w:rPr>
          <w:color w:val="000000"/>
        </w:rPr>
        <w:t xml:space="preserve"> </w:t>
      </w:r>
      <w:r w:rsidR="00572348" w:rsidRPr="006E1463">
        <w:rPr>
          <w:rFonts w:ascii="Times New Roman" w:eastAsia="Times New Roman" w:hAnsi="Times New Roman"/>
          <w:color w:val="000000"/>
          <w:lang w:val="en-GB" w:bidi="en-US"/>
        </w:rPr>
        <w:t>drozd@iopan.pl</w:t>
      </w:r>
    </w:p>
    <w:p w14:paraId="5105E595" w14:textId="77777777" w:rsidR="00572348" w:rsidRPr="006E1463" w:rsidRDefault="00572348" w:rsidP="00D72BE1">
      <w:pPr>
        <w:autoSpaceDE w:val="0"/>
        <w:autoSpaceDN w:val="0"/>
        <w:adjustRightInd w:val="0"/>
        <w:spacing w:after="0" w:line="360" w:lineRule="auto"/>
        <w:rPr>
          <w:rFonts w:ascii="charis sil" w:eastAsia="Calibri" w:hAnsi="charis sil" w:cs="charis sil"/>
          <w:color w:val="000000"/>
          <w:sz w:val="24"/>
          <w:szCs w:val="24"/>
          <w:lang w:bidi="ar-SA"/>
        </w:rPr>
      </w:pPr>
    </w:p>
    <w:p w14:paraId="6A455A65" w14:textId="77777777" w:rsidR="00572348" w:rsidRPr="006E1463" w:rsidRDefault="00572348" w:rsidP="00D72BE1">
      <w:pPr>
        <w:pStyle w:val="NoSpacing"/>
        <w:spacing w:line="360" w:lineRule="auto"/>
        <w:rPr>
          <w:rFonts w:ascii="Times New Roman" w:eastAsia="Times New Roman" w:hAnsi="Times New Roman"/>
          <w:color w:val="000000"/>
          <w:lang w:val="en-GB" w:bidi="en-US"/>
        </w:rPr>
      </w:pPr>
      <w:r w:rsidRPr="006E1463">
        <w:rPr>
          <w:rFonts w:ascii="Times New Roman" w:hAnsi="Times New Roman"/>
          <w:color w:val="000000"/>
          <w:vertAlign w:val="superscript"/>
          <w:lang w:val="en-US"/>
        </w:rPr>
        <w:t>1</w:t>
      </w:r>
      <w:r w:rsidRPr="006E1463">
        <w:rPr>
          <w:rFonts w:ascii="Times New Roman" w:hAnsi="Times New Roman"/>
          <w:color w:val="000000"/>
          <w:lang w:val="en-US"/>
        </w:rPr>
        <w:t xml:space="preserve"> Division for Marine and Environmental Research, Rudjer Boskovic Institute, 10000, Zagreb, Croatia</w:t>
      </w:r>
    </w:p>
    <w:p w14:paraId="01A9C9A9" w14:textId="77777777" w:rsidR="00FD75E3" w:rsidRPr="006E1463" w:rsidRDefault="00572348" w:rsidP="00D72BE1">
      <w:pPr>
        <w:pStyle w:val="NoSpacing"/>
        <w:spacing w:line="360" w:lineRule="auto"/>
        <w:rPr>
          <w:rFonts w:ascii="Times New Roman" w:eastAsia="Times New Roman" w:hAnsi="Times New Roman"/>
          <w:color w:val="000000"/>
          <w:lang w:val="en-GB" w:bidi="en-US"/>
        </w:rPr>
      </w:pPr>
      <w:r w:rsidRPr="006E1463">
        <w:rPr>
          <w:rFonts w:ascii="Times New Roman" w:eastAsia="Times New Roman" w:hAnsi="Times New Roman"/>
          <w:color w:val="000000"/>
          <w:vertAlign w:val="superscript"/>
          <w:lang w:val="en-GB" w:bidi="en-US"/>
        </w:rPr>
        <w:t>2</w:t>
      </w:r>
      <w:r w:rsidR="000C1C69" w:rsidRPr="006E1463">
        <w:rPr>
          <w:rFonts w:ascii="Times New Roman" w:eastAsia="Times New Roman" w:hAnsi="Times New Roman"/>
          <w:color w:val="000000"/>
          <w:lang w:val="en-GB" w:bidi="en-US"/>
        </w:rPr>
        <w:t xml:space="preserve"> Physical Oceanography Department, Institute of Oceanology, Polish Academy of Sciences, Sopot, Poland</w:t>
      </w:r>
    </w:p>
    <w:p w14:paraId="69A9FA43" w14:textId="77777777" w:rsidR="00FD75E3" w:rsidRPr="006E1463" w:rsidRDefault="00FD75E3" w:rsidP="00D72BE1">
      <w:pPr>
        <w:spacing w:line="360" w:lineRule="auto"/>
        <w:rPr>
          <w:color w:val="000000"/>
          <w:sz w:val="26"/>
          <w:szCs w:val="26"/>
        </w:rPr>
      </w:pPr>
    </w:p>
    <w:p w14:paraId="38F2BA14" w14:textId="13386211" w:rsidR="00EC5C21" w:rsidRDefault="00EC5C21" w:rsidP="00D72BE1">
      <w:pPr>
        <w:pStyle w:val="NoSpacing"/>
        <w:spacing w:line="360" w:lineRule="auto"/>
        <w:rPr>
          <w:rFonts w:ascii="Times New Roman" w:eastAsia="Times New Roman" w:hAnsi="Times New Roman"/>
          <w:color w:val="000000"/>
          <w:lang w:val="en-GB" w:bidi="en-US"/>
        </w:rPr>
      </w:pPr>
      <w:r w:rsidRPr="006E1463">
        <w:rPr>
          <w:rFonts w:ascii="Times New Roman" w:hAnsi="Times New Roman"/>
          <w:b/>
          <w:color w:val="000000"/>
          <w:lang w:val="en-GB"/>
        </w:rPr>
        <w:t>Abstract</w:t>
      </w:r>
      <w:r w:rsidRPr="006E1463">
        <w:rPr>
          <w:rFonts w:ascii="Times New Roman" w:hAnsi="Times New Roman"/>
          <w:color w:val="000000"/>
          <w:lang w:val="en-GB"/>
        </w:rPr>
        <w:t xml:space="preserve"> </w:t>
      </w:r>
      <w:r w:rsidR="006B3531" w:rsidRPr="00047115">
        <w:rPr>
          <w:rFonts w:ascii="Times New Roman" w:hAnsi="Times New Roman"/>
          <w:color w:val="000000"/>
          <w:lang w:val="en-GB"/>
        </w:rPr>
        <w:t xml:space="preserve">We present the characterisation </w:t>
      </w:r>
      <w:r w:rsidR="006B3531">
        <w:rPr>
          <w:rFonts w:ascii="Times New Roman" w:hAnsi="Times New Roman"/>
          <w:color w:val="000000"/>
          <w:lang w:val="en-GB"/>
        </w:rPr>
        <w:t xml:space="preserve">and </w:t>
      </w:r>
      <w:r w:rsidR="006B3531" w:rsidRPr="00047115">
        <w:rPr>
          <w:rFonts w:ascii="Times New Roman" w:hAnsi="Times New Roman"/>
          <w:color w:val="000000"/>
          <w:lang w:val="en-GB"/>
        </w:rPr>
        <w:t xml:space="preserve">distribution of </w:t>
      </w:r>
      <w:r w:rsidR="006B3531">
        <w:rPr>
          <w:rFonts w:ascii="Times New Roman" w:hAnsi="Times New Roman"/>
          <w:color w:val="000000"/>
          <w:lang w:val="en-GB"/>
        </w:rPr>
        <w:t>organic matter (</w:t>
      </w:r>
      <w:r w:rsidR="006B3531" w:rsidRPr="00047115">
        <w:rPr>
          <w:rFonts w:ascii="Times New Roman" w:hAnsi="Times New Roman"/>
          <w:color w:val="000000"/>
          <w:lang w:val="en-GB"/>
        </w:rPr>
        <w:t>OM</w:t>
      </w:r>
      <w:r w:rsidR="006B3531">
        <w:rPr>
          <w:rFonts w:ascii="Times New Roman" w:hAnsi="Times New Roman"/>
          <w:color w:val="000000"/>
          <w:lang w:val="en-GB"/>
        </w:rPr>
        <w:t>)</w:t>
      </w:r>
      <w:r w:rsidR="006B3531" w:rsidRPr="00047115">
        <w:rPr>
          <w:rFonts w:ascii="Times New Roman" w:hAnsi="Times New Roman"/>
          <w:color w:val="000000"/>
          <w:lang w:val="en-GB"/>
        </w:rPr>
        <w:t xml:space="preserve"> within the sea surface microlayer (SML) and underlying water (ULW) collected in October 2015 at nine stations in the Baltic Sea, Gulf of Gdansk, encompassing the Vistula River plume. </w:t>
      </w:r>
      <w:r w:rsidR="006B3531">
        <w:rPr>
          <w:rFonts w:ascii="Times New Roman" w:hAnsi="Times New Roman"/>
          <w:color w:val="000000"/>
          <w:lang w:val="en-GB"/>
        </w:rPr>
        <w:t>S</w:t>
      </w:r>
      <w:r w:rsidR="006B3531" w:rsidRPr="00047115">
        <w:rPr>
          <w:rFonts w:ascii="Times New Roman" w:hAnsi="Times New Roman"/>
          <w:color w:val="000000"/>
          <w:lang w:val="en-GB"/>
        </w:rPr>
        <w:t>alinity of</w:t>
      </w:r>
      <w:r w:rsidR="006B3531">
        <w:rPr>
          <w:rFonts w:ascii="Times New Roman" w:hAnsi="Times New Roman"/>
          <w:color w:val="000000"/>
          <w:lang w:val="en-GB"/>
        </w:rPr>
        <w:t xml:space="preserve"> </w:t>
      </w:r>
      <w:r w:rsidR="006B3531" w:rsidRPr="00047115">
        <w:rPr>
          <w:rFonts w:ascii="Times New Roman" w:hAnsi="Times New Roman"/>
          <w:color w:val="000000"/>
          <w:lang w:val="en-GB"/>
        </w:rPr>
        <w:t xml:space="preserve">&gt;7 throughout the transect indicated </w:t>
      </w:r>
      <w:r w:rsidR="006B3531">
        <w:rPr>
          <w:rFonts w:ascii="Times New Roman" w:hAnsi="Times New Roman"/>
          <w:color w:val="000000"/>
          <w:lang w:val="en-GB"/>
        </w:rPr>
        <w:t>Vistula plume was possibly</w:t>
      </w:r>
      <w:r w:rsidR="006B3531" w:rsidRPr="00047115">
        <w:rPr>
          <w:rFonts w:ascii="Times New Roman" w:hAnsi="Times New Roman"/>
          <w:color w:val="000000"/>
          <w:lang w:val="en-GB"/>
        </w:rPr>
        <w:t xml:space="preserve"> displaced west</w:t>
      </w:r>
      <w:r w:rsidR="006B3531">
        <w:rPr>
          <w:rFonts w:ascii="Times New Roman" w:hAnsi="Times New Roman"/>
          <w:color w:val="000000"/>
          <w:lang w:val="en-GB"/>
        </w:rPr>
        <w:t>ward</w:t>
      </w:r>
      <w:r w:rsidR="006B3531" w:rsidRPr="00047115">
        <w:rPr>
          <w:rFonts w:ascii="Times New Roman" w:hAnsi="Times New Roman"/>
          <w:color w:val="000000"/>
          <w:lang w:val="en-GB"/>
        </w:rPr>
        <w:t xml:space="preserve"> by </w:t>
      </w:r>
      <w:r w:rsidR="006B3531">
        <w:rPr>
          <w:rFonts w:ascii="Times New Roman" w:hAnsi="Times New Roman"/>
          <w:color w:val="000000"/>
          <w:lang w:val="en-GB"/>
        </w:rPr>
        <w:t xml:space="preserve">the </w:t>
      </w:r>
      <w:r w:rsidR="006B3531" w:rsidRPr="00047115">
        <w:rPr>
          <w:rFonts w:ascii="Times New Roman" w:hAnsi="Times New Roman"/>
          <w:color w:val="000000"/>
          <w:lang w:val="en-GB"/>
        </w:rPr>
        <w:t>preceding</w:t>
      </w:r>
      <w:r w:rsidR="006B3531">
        <w:rPr>
          <w:rFonts w:ascii="Times New Roman" w:hAnsi="Times New Roman"/>
          <w:color w:val="000000"/>
          <w:lang w:val="en-GB"/>
        </w:rPr>
        <w:t xml:space="preserve"> </w:t>
      </w:r>
      <w:r w:rsidR="006B3531" w:rsidRPr="00047115">
        <w:rPr>
          <w:rFonts w:ascii="Times New Roman" w:hAnsi="Times New Roman"/>
          <w:color w:val="000000"/>
          <w:lang w:val="en-GB"/>
        </w:rPr>
        <w:t>norther</w:t>
      </w:r>
      <w:r w:rsidR="006B3531">
        <w:rPr>
          <w:rFonts w:ascii="Times New Roman" w:hAnsi="Times New Roman"/>
          <w:color w:val="000000"/>
          <w:lang w:val="en-GB"/>
        </w:rPr>
        <w:t>ly</w:t>
      </w:r>
      <w:r w:rsidR="006B3531" w:rsidRPr="00047115">
        <w:rPr>
          <w:rFonts w:ascii="Times New Roman" w:hAnsi="Times New Roman"/>
          <w:color w:val="000000"/>
          <w:lang w:val="en-GB"/>
        </w:rPr>
        <w:t xml:space="preserve"> and east</w:t>
      </w:r>
      <w:r w:rsidR="006B3531">
        <w:rPr>
          <w:rFonts w:ascii="Times New Roman" w:hAnsi="Times New Roman"/>
          <w:color w:val="000000"/>
          <w:lang w:val="en-GB"/>
        </w:rPr>
        <w:t>erly</w:t>
      </w:r>
      <w:r w:rsidR="006B3531" w:rsidRPr="00047115">
        <w:rPr>
          <w:rFonts w:ascii="Times New Roman" w:hAnsi="Times New Roman"/>
          <w:color w:val="000000"/>
          <w:lang w:val="en-GB"/>
        </w:rPr>
        <w:t xml:space="preserve"> winds between 5.7 </w:t>
      </w:r>
      <w:r w:rsidR="006B3531">
        <w:rPr>
          <w:rFonts w:ascii="Times New Roman" w:hAnsi="Times New Roman"/>
          <w:color w:val="000000"/>
          <w:lang w:val="en-GB"/>
        </w:rPr>
        <w:t>and</w:t>
      </w:r>
      <w:r w:rsidR="006B3531" w:rsidRPr="00047115">
        <w:rPr>
          <w:rFonts w:ascii="Times New Roman" w:hAnsi="Times New Roman"/>
          <w:color w:val="000000"/>
          <w:lang w:val="en-GB"/>
        </w:rPr>
        <w:t xml:space="preserve"> 10.7 ms</w:t>
      </w:r>
      <w:r w:rsidR="006B3531" w:rsidRPr="00DC070F">
        <w:rPr>
          <w:rFonts w:ascii="Times New Roman" w:hAnsi="Times New Roman"/>
          <w:color w:val="000000"/>
          <w:vertAlign w:val="superscript"/>
          <w:lang w:val="en-GB"/>
        </w:rPr>
        <w:t>-1</w:t>
      </w:r>
      <w:r w:rsidR="006B3531" w:rsidRPr="00047115">
        <w:rPr>
          <w:rFonts w:ascii="Times New Roman" w:hAnsi="Times New Roman"/>
          <w:color w:val="000000"/>
          <w:lang w:val="en-GB"/>
        </w:rPr>
        <w:t xml:space="preserve"> during the sampling campaign. </w:t>
      </w:r>
      <w:r w:rsidR="006B3531">
        <w:rPr>
          <w:rFonts w:ascii="Times New Roman" w:hAnsi="Times New Roman"/>
          <w:color w:val="000000"/>
          <w:lang w:val="en-GB"/>
        </w:rPr>
        <w:t>S</w:t>
      </w:r>
      <w:r w:rsidR="006B3531" w:rsidRPr="00047115">
        <w:rPr>
          <w:rFonts w:ascii="Times New Roman" w:hAnsi="Times New Roman"/>
          <w:color w:val="000000"/>
          <w:lang w:val="en-GB"/>
        </w:rPr>
        <w:t>pectral analysis point</w:t>
      </w:r>
      <w:r w:rsidR="006B3531">
        <w:rPr>
          <w:rFonts w:ascii="Times New Roman" w:hAnsi="Times New Roman"/>
          <w:color w:val="000000"/>
          <w:lang w:val="en-GB"/>
        </w:rPr>
        <w:t>ed</w:t>
      </w:r>
      <w:r w:rsidR="006B3531" w:rsidRPr="00047115">
        <w:rPr>
          <w:rFonts w:ascii="Times New Roman" w:hAnsi="Times New Roman"/>
          <w:color w:val="000000"/>
          <w:lang w:val="en-GB"/>
        </w:rPr>
        <w:t xml:space="preserve"> to highest contribution of aromatic and high molecular weight molecules (lowest spectral slope (S</w:t>
      </w:r>
      <w:r w:rsidR="006B3531" w:rsidRPr="00EA26CC">
        <w:rPr>
          <w:rFonts w:ascii="Times New Roman" w:hAnsi="Times New Roman"/>
          <w:color w:val="000000"/>
          <w:vertAlign w:val="subscript"/>
          <w:lang w:val="en-GB"/>
        </w:rPr>
        <w:t>R</w:t>
      </w:r>
      <w:r w:rsidR="006B3531" w:rsidRPr="00047115">
        <w:rPr>
          <w:rFonts w:ascii="Times New Roman" w:hAnsi="Times New Roman"/>
          <w:color w:val="000000"/>
          <w:lang w:val="en-GB"/>
        </w:rPr>
        <w:t>) ratios</w:t>
      </w:r>
      <w:r w:rsidR="006B3531">
        <w:rPr>
          <w:rFonts w:ascii="Times New Roman" w:hAnsi="Times New Roman"/>
          <w:color w:val="000000"/>
          <w:lang w:val="en-GB"/>
        </w:rPr>
        <w:t xml:space="preserve"> and</w:t>
      </w:r>
      <w:r w:rsidR="006B3531" w:rsidRPr="00047115">
        <w:rPr>
          <w:rFonts w:ascii="Times New Roman" w:hAnsi="Times New Roman"/>
          <w:color w:val="000000"/>
          <w:lang w:val="en-GB"/>
        </w:rPr>
        <w:t xml:space="preserve"> highest absorption coefficient at 254 nm (a</w:t>
      </w:r>
      <w:r w:rsidR="006B3531" w:rsidRPr="00EA26CC">
        <w:rPr>
          <w:rFonts w:ascii="Times New Roman" w:hAnsi="Times New Roman"/>
          <w:color w:val="000000"/>
          <w:vertAlign w:val="subscript"/>
          <w:lang w:val="en-GB"/>
        </w:rPr>
        <w:t>CDOM</w:t>
      </w:r>
      <w:r w:rsidR="006B3531" w:rsidRPr="00047115">
        <w:rPr>
          <w:rFonts w:ascii="Times New Roman" w:hAnsi="Times New Roman"/>
          <w:color w:val="000000"/>
          <w:lang w:val="en-GB"/>
        </w:rPr>
        <w:t xml:space="preserve">(254)) at the first two stations </w:t>
      </w:r>
      <w:r w:rsidR="006B3531">
        <w:rPr>
          <w:rFonts w:ascii="Times New Roman" w:hAnsi="Times New Roman"/>
          <w:color w:val="000000"/>
          <w:lang w:val="en-GB"/>
        </w:rPr>
        <w:t>near</w:t>
      </w:r>
      <w:r w:rsidR="006B3531" w:rsidRPr="00047115">
        <w:rPr>
          <w:rFonts w:ascii="Times New Roman" w:hAnsi="Times New Roman"/>
          <w:color w:val="000000"/>
          <w:lang w:val="en-GB"/>
        </w:rPr>
        <w:t xml:space="preserve"> the river mouth, </w:t>
      </w:r>
      <w:r w:rsidR="006B3531">
        <w:rPr>
          <w:rFonts w:ascii="Times New Roman" w:hAnsi="Times New Roman"/>
          <w:color w:val="000000"/>
          <w:lang w:val="en-GB"/>
        </w:rPr>
        <w:t>demonstrat</w:t>
      </w:r>
      <w:r w:rsidR="006B3531" w:rsidRPr="00047115">
        <w:rPr>
          <w:rFonts w:ascii="Times New Roman" w:hAnsi="Times New Roman"/>
          <w:color w:val="000000"/>
          <w:lang w:val="en-GB"/>
        </w:rPr>
        <w:t xml:space="preserve">ing </w:t>
      </w:r>
      <w:r w:rsidR="006B3531">
        <w:rPr>
          <w:rFonts w:ascii="Times New Roman" w:hAnsi="Times New Roman"/>
          <w:color w:val="000000"/>
          <w:lang w:val="en-GB"/>
        </w:rPr>
        <w:t>a</w:t>
      </w:r>
      <w:r w:rsidR="006B3531" w:rsidRPr="00047115">
        <w:rPr>
          <w:rFonts w:ascii="Times New Roman" w:hAnsi="Times New Roman"/>
          <w:color w:val="000000"/>
          <w:lang w:val="en-GB"/>
        </w:rPr>
        <w:t xml:space="preserve"> very limited influence of the </w:t>
      </w:r>
      <w:r w:rsidR="006B3531">
        <w:rPr>
          <w:rFonts w:ascii="Times New Roman" w:hAnsi="Times New Roman"/>
          <w:color w:val="000000"/>
          <w:lang w:val="en-GB"/>
        </w:rPr>
        <w:t>r</w:t>
      </w:r>
      <w:r w:rsidR="006B3531" w:rsidRPr="00047115">
        <w:rPr>
          <w:rFonts w:ascii="Times New Roman" w:hAnsi="Times New Roman"/>
          <w:color w:val="000000"/>
          <w:lang w:val="en-GB"/>
        </w:rPr>
        <w:t xml:space="preserve">iver </w:t>
      </w:r>
      <w:r w:rsidR="006B3531">
        <w:rPr>
          <w:rFonts w:ascii="Times New Roman" w:hAnsi="Times New Roman"/>
          <w:color w:val="000000"/>
          <w:lang w:val="en-GB"/>
        </w:rPr>
        <w:t>p</w:t>
      </w:r>
      <w:r w:rsidR="006B3531" w:rsidRPr="00047115">
        <w:rPr>
          <w:rFonts w:ascii="Times New Roman" w:hAnsi="Times New Roman"/>
          <w:color w:val="000000"/>
          <w:lang w:val="en-GB"/>
        </w:rPr>
        <w:t>lume. Concentrations of surface</w:t>
      </w:r>
      <w:r w:rsidR="006B3531">
        <w:rPr>
          <w:rFonts w:ascii="Times New Roman" w:hAnsi="Times New Roman"/>
          <w:color w:val="000000"/>
          <w:lang w:val="en-GB"/>
        </w:rPr>
        <w:t>-</w:t>
      </w:r>
      <w:r w:rsidR="006B3531" w:rsidRPr="00047115">
        <w:rPr>
          <w:rFonts w:ascii="Times New Roman" w:hAnsi="Times New Roman"/>
          <w:color w:val="000000"/>
          <w:lang w:val="en-GB"/>
        </w:rPr>
        <w:t>active</w:t>
      </w:r>
      <w:r w:rsidR="006B3531">
        <w:rPr>
          <w:rFonts w:ascii="Times New Roman" w:hAnsi="Times New Roman"/>
          <w:color w:val="000000"/>
          <w:lang w:val="en-GB"/>
        </w:rPr>
        <w:t xml:space="preserve"> organic</w:t>
      </w:r>
      <w:r w:rsidR="006B3531" w:rsidRPr="00047115">
        <w:rPr>
          <w:rFonts w:ascii="Times New Roman" w:hAnsi="Times New Roman"/>
          <w:color w:val="000000"/>
          <w:lang w:val="en-GB"/>
        </w:rPr>
        <w:t xml:space="preserve"> substances (SAS)</w:t>
      </w:r>
      <w:r w:rsidR="006B3531">
        <w:rPr>
          <w:rFonts w:ascii="Times New Roman" w:hAnsi="Times New Roman"/>
          <w:color w:val="000000"/>
          <w:lang w:val="en-GB"/>
        </w:rPr>
        <w:t xml:space="preserve"> </w:t>
      </w:r>
      <w:r w:rsidR="006B3531" w:rsidRPr="00047115">
        <w:rPr>
          <w:rFonts w:ascii="Times New Roman" w:hAnsi="Times New Roman"/>
          <w:color w:val="000000"/>
          <w:lang w:val="en-GB"/>
        </w:rPr>
        <w:t xml:space="preserve">ranged </w:t>
      </w:r>
      <w:r w:rsidR="006B3531">
        <w:rPr>
          <w:rFonts w:ascii="Times New Roman" w:hAnsi="Times New Roman"/>
          <w:color w:val="000000"/>
          <w:lang w:val="en-GB"/>
        </w:rPr>
        <w:t>from</w:t>
      </w:r>
      <w:r w:rsidR="006B3531" w:rsidRPr="00047115">
        <w:rPr>
          <w:rFonts w:ascii="Times New Roman" w:hAnsi="Times New Roman"/>
          <w:color w:val="000000"/>
          <w:lang w:val="en-GB"/>
        </w:rPr>
        <w:t xml:space="preserve"> 0.28</w:t>
      </w:r>
      <w:r w:rsidR="006B3531">
        <w:rPr>
          <w:rFonts w:ascii="Times New Roman" w:hAnsi="Times New Roman"/>
          <w:color w:val="000000"/>
          <w:lang w:val="en-GB"/>
        </w:rPr>
        <w:t xml:space="preserve"> </w:t>
      </w:r>
      <w:r w:rsidR="006B3531" w:rsidRPr="00047115">
        <w:rPr>
          <w:rFonts w:ascii="Times New Roman" w:hAnsi="Times New Roman"/>
          <w:color w:val="000000"/>
          <w:lang w:val="en-GB"/>
        </w:rPr>
        <w:t>– 0.60 mg L</w:t>
      </w:r>
      <w:r w:rsidR="006B3531" w:rsidRPr="000A7F40">
        <w:rPr>
          <w:rFonts w:ascii="Times New Roman" w:hAnsi="Times New Roman"/>
          <w:color w:val="000000"/>
          <w:vertAlign w:val="superscript"/>
          <w:lang w:val="en-GB"/>
        </w:rPr>
        <w:t>−1</w:t>
      </w:r>
      <w:r w:rsidR="006B3531" w:rsidRPr="00047115">
        <w:rPr>
          <w:rFonts w:ascii="Times New Roman" w:hAnsi="Times New Roman"/>
          <w:color w:val="000000"/>
          <w:lang w:val="en-GB"/>
        </w:rPr>
        <w:t xml:space="preserve"> in eq. Triton-X-100</w:t>
      </w:r>
      <w:r w:rsidR="006B3531" w:rsidRPr="00321644">
        <w:rPr>
          <w:rFonts w:ascii="Times New Roman" w:hAnsi="Times New Roman"/>
          <w:color w:val="000000"/>
          <w:lang w:val="en-GB"/>
        </w:rPr>
        <w:t xml:space="preserve"> </w:t>
      </w:r>
      <w:r w:rsidR="006B3531">
        <w:rPr>
          <w:rFonts w:ascii="Times New Roman" w:hAnsi="Times New Roman"/>
          <w:color w:val="000000"/>
          <w:lang w:val="en-GB"/>
        </w:rPr>
        <w:t>in SML</w:t>
      </w:r>
      <w:r w:rsidR="006B3531" w:rsidRPr="00047115">
        <w:rPr>
          <w:rFonts w:ascii="Times New Roman" w:hAnsi="Times New Roman"/>
          <w:color w:val="000000"/>
          <w:lang w:val="en-GB"/>
        </w:rPr>
        <w:t xml:space="preserve">, </w:t>
      </w:r>
      <w:r w:rsidR="006B3531">
        <w:rPr>
          <w:rFonts w:ascii="Times New Roman" w:hAnsi="Times New Roman"/>
          <w:color w:val="000000"/>
          <w:lang w:val="en-GB"/>
        </w:rPr>
        <w:t xml:space="preserve">and from </w:t>
      </w:r>
      <w:r w:rsidR="006B3531" w:rsidRPr="00047115">
        <w:rPr>
          <w:rFonts w:ascii="Times New Roman" w:hAnsi="Times New Roman"/>
          <w:color w:val="000000"/>
          <w:lang w:val="en-GB"/>
        </w:rPr>
        <w:t>0.22</w:t>
      </w:r>
      <w:r w:rsidR="006B3531">
        <w:rPr>
          <w:rFonts w:ascii="Times New Roman" w:hAnsi="Times New Roman"/>
          <w:color w:val="000000"/>
          <w:lang w:val="en-GB"/>
        </w:rPr>
        <w:t xml:space="preserve"> </w:t>
      </w:r>
      <w:r w:rsidR="006B3531" w:rsidRPr="00047115">
        <w:rPr>
          <w:rFonts w:ascii="Times New Roman" w:hAnsi="Times New Roman"/>
          <w:color w:val="000000"/>
          <w:lang w:val="en-GB"/>
        </w:rPr>
        <w:t>– 0.47 mg L</w:t>
      </w:r>
      <w:r w:rsidR="006B3531" w:rsidRPr="000A7F40">
        <w:rPr>
          <w:rFonts w:ascii="Times New Roman" w:hAnsi="Times New Roman"/>
          <w:color w:val="000000"/>
          <w:vertAlign w:val="superscript"/>
          <w:lang w:val="en-GB"/>
        </w:rPr>
        <w:t>−1</w:t>
      </w:r>
      <w:r w:rsidR="006B3531" w:rsidRPr="00047115">
        <w:rPr>
          <w:rFonts w:ascii="Times New Roman" w:hAnsi="Times New Roman"/>
          <w:color w:val="000000"/>
          <w:lang w:val="en-GB"/>
        </w:rPr>
        <w:t xml:space="preserve"> in eq. Triton-X-100</w:t>
      </w:r>
      <w:r w:rsidR="006B3531" w:rsidRPr="00321644">
        <w:rPr>
          <w:rFonts w:ascii="Times New Roman" w:hAnsi="Times New Roman"/>
          <w:color w:val="000000"/>
          <w:lang w:val="en-GB"/>
        </w:rPr>
        <w:t xml:space="preserve"> </w:t>
      </w:r>
      <w:r w:rsidR="006B3531" w:rsidRPr="00047115">
        <w:rPr>
          <w:rFonts w:ascii="Times New Roman" w:hAnsi="Times New Roman"/>
          <w:color w:val="000000"/>
          <w:lang w:val="en-GB"/>
        </w:rPr>
        <w:t>in the ULW</w:t>
      </w:r>
      <w:r w:rsidR="006B3531">
        <w:rPr>
          <w:rFonts w:ascii="Times New Roman" w:hAnsi="Times New Roman"/>
          <w:color w:val="000000"/>
          <w:lang w:val="en-GB"/>
        </w:rPr>
        <w:t xml:space="preserve">, while POC concentrations ranged from 0.27 </w:t>
      </w:r>
      <w:r w:rsidR="006B3531" w:rsidRPr="00047115">
        <w:rPr>
          <w:rFonts w:ascii="Times New Roman" w:hAnsi="Times New Roman"/>
          <w:color w:val="000000"/>
          <w:lang w:val="en-GB"/>
        </w:rPr>
        <w:t xml:space="preserve">– </w:t>
      </w:r>
      <w:r w:rsidR="006B3531">
        <w:rPr>
          <w:rFonts w:ascii="Times New Roman" w:hAnsi="Times New Roman"/>
          <w:color w:val="000000"/>
          <w:lang w:val="en-GB"/>
        </w:rPr>
        <w:t xml:space="preserve">0.84 </w:t>
      </w:r>
      <w:r w:rsidR="006B3531" w:rsidRPr="00047115">
        <w:rPr>
          <w:rFonts w:ascii="Times New Roman" w:hAnsi="Times New Roman"/>
          <w:color w:val="000000"/>
          <w:lang w:val="en-GB"/>
        </w:rPr>
        <w:t>mg L</w:t>
      </w:r>
      <w:r w:rsidR="006B3531" w:rsidRPr="000A7F40">
        <w:rPr>
          <w:rFonts w:ascii="Times New Roman" w:hAnsi="Times New Roman"/>
          <w:color w:val="000000"/>
          <w:vertAlign w:val="superscript"/>
          <w:lang w:val="en-GB"/>
        </w:rPr>
        <w:t>−1</w:t>
      </w:r>
      <w:r w:rsidR="006B3531">
        <w:rPr>
          <w:rFonts w:ascii="Times New Roman" w:hAnsi="Times New Roman"/>
          <w:color w:val="000000"/>
          <w:lang w:val="en-GB"/>
        </w:rPr>
        <w:t xml:space="preserve"> in SML and from 0.20 </w:t>
      </w:r>
      <w:r w:rsidR="006B3531" w:rsidRPr="00047115">
        <w:rPr>
          <w:rFonts w:ascii="Times New Roman" w:hAnsi="Times New Roman"/>
          <w:color w:val="000000"/>
          <w:lang w:val="en-GB"/>
        </w:rPr>
        <w:t xml:space="preserve">– </w:t>
      </w:r>
      <w:r w:rsidR="006B3531">
        <w:rPr>
          <w:rFonts w:ascii="Times New Roman" w:hAnsi="Times New Roman"/>
          <w:color w:val="000000"/>
          <w:lang w:val="en-GB"/>
        </w:rPr>
        <w:t xml:space="preserve">0.37 </w:t>
      </w:r>
      <w:r w:rsidR="006B3531" w:rsidRPr="00047115">
        <w:rPr>
          <w:rFonts w:ascii="Times New Roman" w:hAnsi="Times New Roman"/>
          <w:color w:val="000000"/>
          <w:lang w:val="en-GB"/>
        </w:rPr>
        <w:t>mg L</w:t>
      </w:r>
      <w:r w:rsidR="006B3531" w:rsidRPr="000A7F40">
        <w:rPr>
          <w:rFonts w:ascii="Times New Roman" w:hAnsi="Times New Roman"/>
          <w:color w:val="000000"/>
          <w:vertAlign w:val="superscript"/>
          <w:lang w:val="en-GB"/>
        </w:rPr>
        <w:t>−1</w:t>
      </w:r>
      <w:r w:rsidR="006B3531">
        <w:rPr>
          <w:rFonts w:ascii="Times New Roman" w:hAnsi="Times New Roman"/>
          <w:color w:val="000000"/>
          <w:lang w:val="en-GB"/>
        </w:rPr>
        <w:t xml:space="preserve"> in ULW.</w:t>
      </w:r>
      <w:r w:rsidR="006B3531" w:rsidRPr="00047115">
        <w:rPr>
          <w:rFonts w:ascii="Times New Roman" w:hAnsi="Times New Roman"/>
          <w:color w:val="000000"/>
          <w:lang w:val="en-GB"/>
        </w:rPr>
        <w:t xml:space="preserve"> </w:t>
      </w:r>
      <w:r w:rsidR="006B3531">
        <w:rPr>
          <w:rFonts w:ascii="Times New Roman" w:hAnsi="Times New Roman"/>
          <w:color w:val="000000"/>
          <w:lang w:val="en-GB"/>
        </w:rPr>
        <w:t>E</w:t>
      </w:r>
      <w:r w:rsidR="006B3531" w:rsidRPr="00047115">
        <w:rPr>
          <w:rFonts w:ascii="Times New Roman" w:hAnsi="Times New Roman"/>
          <w:color w:val="000000"/>
          <w:lang w:val="en-GB"/>
        </w:rPr>
        <w:t>nrichment of SAS</w:t>
      </w:r>
      <w:r w:rsidR="006B3531">
        <w:rPr>
          <w:rFonts w:ascii="Times New Roman" w:hAnsi="Times New Roman"/>
          <w:color w:val="000000"/>
          <w:lang w:val="en-GB"/>
        </w:rPr>
        <w:t xml:space="preserve"> </w:t>
      </w:r>
      <w:r w:rsidR="006B3531" w:rsidRPr="00765E5E">
        <w:rPr>
          <w:rFonts w:ascii="Times New Roman" w:hAnsi="Times New Roman"/>
          <w:color w:val="000000"/>
          <w:lang w:val="en-GB"/>
        </w:rPr>
        <w:t>and POC</w:t>
      </w:r>
      <w:r w:rsidR="006B3531">
        <w:rPr>
          <w:rFonts w:ascii="Times New Roman" w:hAnsi="Times New Roman"/>
          <w:color w:val="000000"/>
          <w:lang w:val="en-GB"/>
        </w:rPr>
        <w:t xml:space="preserve"> </w:t>
      </w:r>
      <w:r w:rsidR="006B3531" w:rsidRPr="00047115">
        <w:rPr>
          <w:rFonts w:ascii="Times New Roman" w:hAnsi="Times New Roman"/>
          <w:color w:val="000000"/>
          <w:lang w:val="en-GB"/>
        </w:rPr>
        <w:t>detected at highest wind speeds indicate</w:t>
      </w:r>
      <w:r w:rsidR="006B3531">
        <w:rPr>
          <w:rFonts w:ascii="Times New Roman" w:hAnsi="Times New Roman"/>
          <w:color w:val="000000"/>
          <w:lang w:val="en-GB"/>
        </w:rPr>
        <w:t>s</w:t>
      </w:r>
      <w:r w:rsidR="006B3531" w:rsidRPr="00047115">
        <w:rPr>
          <w:rFonts w:ascii="Times New Roman" w:hAnsi="Times New Roman"/>
          <w:color w:val="000000"/>
          <w:lang w:val="en-GB"/>
        </w:rPr>
        <w:t xml:space="preserve"> rapid SML</w:t>
      </w:r>
      <w:r w:rsidR="006B3531">
        <w:rPr>
          <w:rFonts w:ascii="Times New Roman" w:hAnsi="Times New Roman"/>
          <w:color w:val="000000"/>
          <w:lang w:val="en-GB"/>
        </w:rPr>
        <w:t xml:space="preserve"> recovery</w:t>
      </w:r>
      <w:r w:rsidR="006B3531" w:rsidRPr="00047115">
        <w:rPr>
          <w:rFonts w:ascii="Times New Roman" w:hAnsi="Times New Roman"/>
          <w:color w:val="000000"/>
          <w:lang w:val="en-GB"/>
        </w:rPr>
        <w:t xml:space="preserve"> </w:t>
      </w:r>
      <w:r w:rsidR="006B3531">
        <w:rPr>
          <w:rFonts w:ascii="Times New Roman" w:hAnsi="Times New Roman"/>
          <w:color w:val="000000"/>
          <w:lang w:val="en-GB"/>
        </w:rPr>
        <w:t>by OM transported from the ULW</w:t>
      </w:r>
      <w:r w:rsidR="006B3531" w:rsidRPr="00047115">
        <w:rPr>
          <w:rFonts w:ascii="Times New Roman" w:hAnsi="Times New Roman"/>
          <w:color w:val="000000"/>
          <w:lang w:val="en-GB"/>
        </w:rPr>
        <w:t xml:space="preserve">. </w:t>
      </w:r>
      <w:r w:rsidR="006B3531">
        <w:rPr>
          <w:rFonts w:ascii="Times New Roman" w:hAnsi="Times New Roman"/>
          <w:color w:val="000000"/>
          <w:lang w:val="en-GB"/>
        </w:rPr>
        <w:t>L</w:t>
      </w:r>
      <w:r w:rsidR="006B3531" w:rsidRPr="00047115">
        <w:rPr>
          <w:rFonts w:ascii="Times New Roman" w:hAnsi="Times New Roman"/>
          <w:color w:val="000000"/>
          <w:lang w:val="en-GB"/>
        </w:rPr>
        <w:t>ow lipids to POC</w:t>
      </w:r>
      <w:r w:rsidR="006B3531" w:rsidRPr="00B5516B">
        <w:rPr>
          <w:rFonts w:ascii="Times New Roman" w:hAnsi="Times New Roman"/>
          <w:color w:val="000000"/>
          <w:lang w:val="en-GB"/>
        </w:rPr>
        <w:t xml:space="preserve"> </w:t>
      </w:r>
      <w:r w:rsidR="006B3531" w:rsidRPr="00047115">
        <w:rPr>
          <w:rFonts w:ascii="Times New Roman" w:hAnsi="Times New Roman"/>
          <w:color w:val="000000"/>
          <w:lang w:val="en-GB"/>
        </w:rPr>
        <w:t>contribution</w:t>
      </w:r>
      <w:r w:rsidR="006B3531">
        <w:rPr>
          <w:rFonts w:ascii="Times New Roman" w:hAnsi="Times New Roman"/>
          <w:color w:val="000000"/>
          <w:lang w:val="en-GB"/>
        </w:rPr>
        <w:t>, o</w:t>
      </w:r>
      <w:r w:rsidR="006B3531" w:rsidRPr="00047115">
        <w:rPr>
          <w:rFonts w:ascii="Times New Roman" w:hAnsi="Times New Roman"/>
          <w:color w:val="000000"/>
          <w:lang w:val="en-GB"/>
        </w:rPr>
        <w:t>n average 5% and 7% in SML</w:t>
      </w:r>
      <w:r w:rsidR="006B3531">
        <w:rPr>
          <w:rFonts w:ascii="Times New Roman" w:hAnsi="Times New Roman"/>
          <w:color w:val="000000"/>
          <w:lang w:val="en-GB"/>
        </w:rPr>
        <w:t xml:space="preserve"> and </w:t>
      </w:r>
      <w:r w:rsidR="006B3531" w:rsidRPr="00047115">
        <w:rPr>
          <w:rFonts w:ascii="Times New Roman" w:hAnsi="Times New Roman"/>
          <w:color w:val="000000"/>
          <w:lang w:val="en-GB"/>
        </w:rPr>
        <w:t>ULW</w:t>
      </w:r>
      <w:r w:rsidR="006B3531">
        <w:rPr>
          <w:rFonts w:ascii="Times New Roman" w:hAnsi="Times New Roman"/>
          <w:color w:val="000000"/>
          <w:lang w:val="en-GB"/>
        </w:rPr>
        <w:t xml:space="preserve"> respectively, indicated e</w:t>
      </w:r>
      <w:r w:rsidR="006B3531" w:rsidRPr="00047115">
        <w:rPr>
          <w:rFonts w:ascii="Times New Roman" w:hAnsi="Times New Roman"/>
          <w:color w:val="000000"/>
          <w:lang w:val="en-GB"/>
        </w:rPr>
        <w:t xml:space="preserve">utrophic conditions. </w:t>
      </w:r>
      <w:r w:rsidR="006B3531">
        <w:rPr>
          <w:rFonts w:ascii="Times New Roman" w:hAnsi="Times New Roman"/>
          <w:color w:val="000000"/>
          <w:lang w:val="en-GB"/>
        </w:rPr>
        <w:t>S</w:t>
      </w:r>
      <w:r w:rsidR="006B3531" w:rsidRPr="00047115">
        <w:rPr>
          <w:rFonts w:ascii="Times New Roman" w:hAnsi="Times New Roman"/>
          <w:color w:val="000000"/>
          <w:lang w:val="en-GB"/>
        </w:rPr>
        <w:t>tatistically significant negative correlation between S</w:t>
      </w:r>
      <w:r w:rsidR="006B3531" w:rsidRPr="000A7F40">
        <w:rPr>
          <w:rFonts w:ascii="Times New Roman" w:hAnsi="Times New Roman"/>
          <w:color w:val="000000"/>
          <w:vertAlign w:val="subscript"/>
          <w:lang w:val="en-GB"/>
        </w:rPr>
        <w:t>R</w:t>
      </w:r>
      <w:r w:rsidR="006B3531" w:rsidRPr="00047115">
        <w:rPr>
          <w:rFonts w:ascii="Times New Roman" w:hAnsi="Times New Roman"/>
          <w:color w:val="000000"/>
          <w:lang w:val="en-GB"/>
        </w:rPr>
        <w:t xml:space="preserve"> and the </w:t>
      </w:r>
      <w:r w:rsidR="006B3531">
        <w:rPr>
          <w:rFonts w:ascii="Times New Roman" w:hAnsi="Times New Roman"/>
          <w:color w:val="000000"/>
          <w:lang w:val="en-GB"/>
        </w:rPr>
        <w:t>L</w:t>
      </w:r>
      <w:r w:rsidR="006B3531" w:rsidRPr="00047115">
        <w:rPr>
          <w:rFonts w:ascii="Times New Roman" w:hAnsi="Times New Roman"/>
          <w:color w:val="000000"/>
          <w:lang w:val="en-GB"/>
        </w:rPr>
        <w:t xml:space="preserve">ipid:PIG ratio in SML and ULW </w:t>
      </w:r>
      <w:r w:rsidR="006B3531">
        <w:rPr>
          <w:rFonts w:ascii="Times New Roman" w:hAnsi="Times New Roman"/>
          <w:color w:val="000000"/>
          <w:lang w:val="en-GB"/>
        </w:rPr>
        <w:t>suggests the</w:t>
      </w:r>
      <w:r w:rsidR="006B3531" w:rsidRPr="00047115">
        <w:rPr>
          <w:rFonts w:ascii="Times New Roman" w:hAnsi="Times New Roman"/>
          <w:color w:val="000000"/>
          <w:lang w:val="en-GB"/>
        </w:rPr>
        <w:t xml:space="preserve"> production of lower molecular weight OM by phytoplankton living </w:t>
      </w:r>
      <w:r w:rsidR="006B3531">
        <w:rPr>
          <w:rFonts w:ascii="Times New Roman" w:hAnsi="Times New Roman"/>
          <w:color w:val="000000"/>
          <w:lang w:val="en-GB"/>
        </w:rPr>
        <w:t>under</w:t>
      </w:r>
      <w:r w:rsidR="006B3531" w:rsidRPr="00047115">
        <w:rPr>
          <w:rFonts w:ascii="Times New Roman" w:hAnsi="Times New Roman"/>
          <w:color w:val="000000"/>
          <w:lang w:val="en-GB"/>
        </w:rPr>
        <w:t xml:space="preserve"> favourable environmental conditions</w:t>
      </w:r>
      <w:r w:rsidR="006B3531">
        <w:rPr>
          <w:rFonts w:ascii="Times New Roman" w:hAnsi="Times New Roman"/>
          <w:color w:val="000000"/>
          <w:lang w:val="en-GB"/>
        </w:rPr>
        <w:t>. A</w:t>
      </w:r>
      <w:r w:rsidR="006B3531" w:rsidRPr="00047115">
        <w:rPr>
          <w:rFonts w:ascii="Times New Roman" w:hAnsi="Times New Roman"/>
          <w:color w:val="000000"/>
          <w:lang w:val="en-GB"/>
        </w:rPr>
        <w:t>ccumulation of lipid reserves triacylglycerols (TG)</w:t>
      </w:r>
      <w:r w:rsidR="006B3531">
        <w:rPr>
          <w:rFonts w:ascii="Times New Roman" w:hAnsi="Times New Roman"/>
          <w:color w:val="000000"/>
          <w:lang w:val="en-GB"/>
        </w:rPr>
        <w:t xml:space="preserve"> </w:t>
      </w:r>
      <w:r w:rsidR="006B3531" w:rsidRPr="00047115">
        <w:rPr>
          <w:rFonts w:ascii="Times New Roman" w:hAnsi="Times New Roman"/>
          <w:color w:val="000000"/>
          <w:lang w:val="en-GB"/>
        </w:rPr>
        <w:t xml:space="preserve">in </w:t>
      </w:r>
      <w:r w:rsidR="006B3531">
        <w:rPr>
          <w:rFonts w:ascii="Times New Roman" w:hAnsi="Times New Roman"/>
          <w:color w:val="000000"/>
          <w:lang w:val="en-GB"/>
        </w:rPr>
        <w:t xml:space="preserve">the </w:t>
      </w:r>
      <w:r w:rsidR="006B3531" w:rsidRPr="00047115">
        <w:rPr>
          <w:rFonts w:ascii="Times New Roman" w:hAnsi="Times New Roman"/>
          <w:color w:val="000000"/>
          <w:lang w:val="en-GB"/>
        </w:rPr>
        <w:t xml:space="preserve">SML indicates more stressful plankton growth conditions compared </w:t>
      </w:r>
      <w:r w:rsidR="006B3531">
        <w:rPr>
          <w:rFonts w:ascii="Times New Roman" w:hAnsi="Times New Roman"/>
          <w:color w:val="000000"/>
          <w:lang w:val="en-GB"/>
        </w:rPr>
        <w:t xml:space="preserve">to </w:t>
      </w:r>
      <w:r w:rsidR="006B3531" w:rsidRPr="00047115">
        <w:rPr>
          <w:rFonts w:ascii="Times New Roman" w:hAnsi="Times New Roman"/>
          <w:color w:val="000000"/>
          <w:lang w:val="en-GB"/>
        </w:rPr>
        <w:t>ULW.</w:t>
      </w:r>
    </w:p>
    <w:p w14:paraId="52D9591F" w14:textId="77777777" w:rsidR="00480D03" w:rsidRPr="006E1463" w:rsidRDefault="00480D03" w:rsidP="00D72BE1">
      <w:pPr>
        <w:pStyle w:val="NoSpacing"/>
        <w:spacing w:line="360" w:lineRule="auto"/>
        <w:rPr>
          <w:rFonts w:ascii="Times New Roman" w:eastAsia="Times New Roman" w:hAnsi="Times New Roman"/>
          <w:color w:val="000000"/>
          <w:lang w:val="en-GB" w:bidi="en-US"/>
        </w:rPr>
      </w:pPr>
    </w:p>
    <w:p w14:paraId="773CDB84" w14:textId="77777777" w:rsidR="00EC5C21" w:rsidRPr="006E1463" w:rsidRDefault="00EC5C21" w:rsidP="00047115">
      <w:pPr>
        <w:autoSpaceDE w:val="0"/>
        <w:autoSpaceDN w:val="0"/>
        <w:adjustRightInd w:val="0"/>
        <w:spacing w:after="0" w:line="360" w:lineRule="auto"/>
        <w:rPr>
          <w:rFonts w:ascii="Times New Roman" w:hAnsi="Times New Roman"/>
          <w:b/>
          <w:color w:val="000000"/>
          <w:lang w:val="en-GB"/>
        </w:rPr>
      </w:pPr>
      <w:r w:rsidRPr="006E1463">
        <w:rPr>
          <w:rFonts w:ascii="Times New Roman" w:hAnsi="Times New Roman"/>
          <w:b/>
          <w:color w:val="000000"/>
          <w:lang w:val="en-GB"/>
        </w:rPr>
        <w:t xml:space="preserve">KEYWORDS </w:t>
      </w:r>
    </w:p>
    <w:p w14:paraId="74BE4E50" w14:textId="77777777" w:rsidR="00EC5C21" w:rsidRPr="006E1463" w:rsidRDefault="00EC5C21" w:rsidP="00D72BE1">
      <w:pPr>
        <w:pStyle w:val="NoSpacing"/>
        <w:spacing w:line="360" w:lineRule="auto"/>
        <w:rPr>
          <w:rFonts w:ascii="Times New Roman" w:hAnsi="Times New Roman"/>
          <w:color w:val="000000"/>
          <w:lang w:val="en-GB" w:bidi="en-US"/>
        </w:rPr>
      </w:pPr>
      <w:r w:rsidRPr="006E1463">
        <w:rPr>
          <w:rFonts w:ascii="Times New Roman" w:hAnsi="Times New Roman"/>
          <w:color w:val="000000"/>
          <w:lang w:val="en-GB" w:bidi="en-US"/>
        </w:rPr>
        <w:t xml:space="preserve">Sea surface microlayer; </w:t>
      </w:r>
      <w:r w:rsidRPr="006E1463">
        <w:rPr>
          <w:rFonts w:ascii="Times New Roman" w:hAnsi="Times New Roman"/>
          <w:color w:val="000000"/>
          <w:lang w:val="en-GB"/>
        </w:rPr>
        <w:t xml:space="preserve">chromophoric dissolved organic matter (CDOM); fluorescent organic matter (FDOM), </w:t>
      </w:r>
      <w:r w:rsidRPr="006E1463">
        <w:rPr>
          <w:rFonts w:ascii="Times New Roman" w:hAnsi="Times New Roman"/>
          <w:color w:val="000000"/>
          <w:lang w:val="en-GB" w:bidi="en-US"/>
        </w:rPr>
        <w:t>surface</w:t>
      </w:r>
      <w:r w:rsidR="00321644">
        <w:rPr>
          <w:rFonts w:ascii="Times New Roman" w:hAnsi="Times New Roman"/>
          <w:color w:val="000000"/>
          <w:lang w:val="en-GB" w:bidi="en-US"/>
        </w:rPr>
        <w:t>-</w:t>
      </w:r>
      <w:r w:rsidRPr="006E1463">
        <w:rPr>
          <w:rFonts w:ascii="Times New Roman" w:hAnsi="Times New Roman"/>
          <w:color w:val="000000"/>
          <w:lang w:val="en-GB" w:bidi="en-US"/>
        </w:rPr>
        <w:t>active organic substances</w:t>
      </w:r>
      <w:r w:rsidR="00337C5A">
        <w:rPr>
          <w:rFonts w:ascii="Times New Roman" w:hAnsi="Times New Roman"/>
          <w:color w:val="000000"/>
          <w:lang w:val="en-GB" w:bidi="en-US"/>
        </w:rPr>
        <w:t xml:space="preserve"> (SAS)</w:t>
      </w:r>
      <w:r w:rsidRPr="006E1463">
        <w:rPr>
          <w:rFonts w:ascii="Times New Roman" w:hAnsi="Times New Roman"/>
          <w:color w:val="000000"/>
          <w:lang w:val="en-GB" w:bidi="en-US"/>
        </w:rPr>
        <w:t>; marine lipids</w:t>
      </w:r>
      <w:r w:rsidR="003D5295">
        <w:rPr>
          <w:rFonts w:ascii="Times New Roman" w:hAnsi="Times New Roman"/>
          <w:color w:val="000000"/>
          <w:lang w:val="en-GB" w:bidi="en-US"/>
        </w:rPr>
        <w:t>; POC</w:t>
      </w:r>
    </w:p>
    <w:p w14:paraId="43CF3A8A" w14:textId="77777777" w:rsidR="00FD0194" w:rsidRDefault="00FD0194" w:rsidP="00FD0194">
      <w:pPr>
        <w:pStyle w:val="NoSpacing"/>
        <w:spacing w:line="360" w:lineRule="auto"/>
        <w:rPr>
          <w:lang w:val="en-GB" w:bidi="en-US"/>
        </w:rPr>
      </w:pPr>
    </w:p>
    <w:p w14:paraId="00059422" w14:textId="77777777" w:rsidR="00056628" w:rsidRPr="00FD0194" w:rsidRDefault="00056628" w:rsidP="00FD0194">
      <w:pPr>
        <w:pStyle w:val="NoSpacing"/>
        <w:spacing w:line="360" w:lineRule="auto"/>
        <w:rPr>
          <w:lang w:val="en-GB" w:bidi="en-US"/>
        </w:rPr>
      </w:pPr>
    </w:p>
    <w:p w14:paraId="71108137" w14:textId="77777777" w:rsidR="00EC5C21" w:rsidRPr="006E1463" w:rsidRDefault="00EC5C21" w:rsidP="00FD0194">
      <w:pPr>
        <w:pStyle w:val="Heading2"/>
      </w:pPr>
      <w:r w:rsidRPr="006E1463">
        <w:lastRenderedPageBreak/>
        <w:t>1. Introduction</w:t>
      </w:r>
    </w:p>
    <w:p w14:paraId="213A02E9" w14:textId="77777777" w:rsidR="007A2C71" w:rsidRDefault="007A2C71" w:rsidP="00FD0194">
      <w:pPr>
        <w:spacing w:after="0" w:line="360" w:lineRule="auto"/>
        <w:rPr>
          <w:rFonts w:ascii="Times New Roman" w:hAnsi="Times New Roman"/>
          <w:color w:val="000000"/>
          <w:lang w:val="en-GB"/>
        </w:rPr>
      </w:pPr>
    </w:p>
    <w:p w14:paraId="498E6382" w14:textId="133D8C4F" w:rsidR="00C95D27" w:rsidRPr="002F5F65" w:rsidRDefault="00EC5C21" w:rsidP="00012D07">
      <w:pPr>
        <w:spacing w:after="0" w:line="360" w:lineRule="auto"/>
        <w:rPr>
          <w:rFonts w:ascii="Times New Roman" w:hAnsi="Times New Roman"/>
          <w:color w:val="000000"/>
          <w:lang w:val="en-GB"/>
        </w:rPr>
      </w:pPr>
      <w:r w:rsidRPr="006E1463">
        <w:rPr>
          <w:rFonts w:ascii="Times New Roman" w:hAnsi="Times New Roman"/>
          <w:color w:val="000000"/>
          <w:lang w:val="en-GB"/>
        </w:rPr>
        <w:t>The sea surface microlayer (SML) is an interface between the sea and the atmosphere that affects the processes of mass and energy exchange between the two compartments</w:t>
      </w:r>
      <w:r w:rsidR="00662012" w:rsidRPr="006E1463">
        <w:rPr>
          <w:rFonts w:ascii="Times New Roman" w:hAnsi="Times New Roman"/>
          <w:color w:val="000000"/>
          <w:lang w:val="en-GB"/>
        </w:rPr>
        <w:t xml:space="preserve"> </w:t>
      </w:r>
      <w:r w:rsidR="00A0678D" w:rsidRPr="006E1463">
        <w:rPr>
          <w:rFonts w:ascii="Times New Roman" w:hAnsi="Times New Roman"/>
          <w:noProof/>
          <w:color w:val="000000"/>
          <w:lang w:val="en-GB"/>
        </w:rPr>
        <w:t>(Cunliffe et al., 2013</w:t>
      </w:r>
      <w:r w:rsidR="002F5F65">
        <w:rPr>
          <w:rFonts w:ascii="Times New Roman" w:hAnsi="Times New Roman"/>
          <w:noProof/>
          <w:color w:val="000000"/>
          <w:lang w:val="en-GB"/>
        </w:rPr>
        <w:t>;</w:t>
      </w:r>
      <w:r w:rsidR="00F06CFE" w:rsidRPr="00F06CFE">
        <w:rPr>
          <w:rFonts w:ascii="Times New Roman" w:hAnsi="Times New Roman"/>
          <w:noProof/>
          <w:color w:val="000000"/>
          <w:lang w:val="en-GB"/>
        </w:rPr>
        <w:t xml:space="preserve"> </w:t>
      </w:r>
      <w:r w:rsidR="00F06CFE">
        <w:rPr>
          <w:rFonts w:ascii="Times New Roman" w:hAnsi="Times New Roman"/>
          <w:noProof/>
          <w:color w:val="000000"/>
          <w:lang w:val="en-GB"/>
        </w:rPr>
        <w:t>Wurl et al., 2017</w:t>
      </w:r>
      <w:r w:rsidR="00A0678D" w:rsidRPr="006E1463">
        <w:rPr>
          <w:rFonts w:ascii="Times New Roman" w:hAnsi="Times New Roman"/>
          <w:noProof/>
          <w:color w:val="000000"/>
          <w:lang w:val="en-GB"/>
        </w:rPr>
        <w:t>)</w:t>
      </w:r>
      <w:r w:rsidR="00B61DC0" w:rsidRPr="00B61DC0">
        <w:rPr>
          <w:rFonts w:ascii="Times New Roman" w:hAnsi="Times New Roman"/>
          <w:noProof/>
          <w:color w:val="000000"/>
          <w:lang w:val="en-GB"/>
        </w:rPr>
        <w:t xml:space="preserve"> </w:t>
      </w:r>
      <w:r w:rsidR="00B61DC0" w:rsidRPr="005D7418">
        <w:rPr>
          <w:rFonts w:ascii="Times New Roman" w:hAnsi="Times New Roman"/>
          <w:noProof/>
          <w:color w:val="000000"/>
          <w:lang w:val="en-GB"/>
        </w:rPr>
        <w:t>and thus affects the global climate</w:t>
      </w:r>
      <w:r w:rsidR="000839A5" w:rsidRPr="006E1463">
        <w:rPr>
          <w:rFonts w:ascii="Times New Roman" w:hAnsi="Times New Roman"/>
          <w:color w:val="000000"/>
          <w:lang w:val="en-GB"/>
        </w:rPr>
        <w:t xml:space="preserve">. </w:t>
      </w:r>
      <w:r w:rsidRPr="006E1463">
        <w:rPr>
          <w:rFonts w:ascii="Times New Roman" w:hAnsi="Times New Roman"/>
          <w:color w:val="000000"/>
          <w:lang w:val="en-GB"/>
        </w:rPr>
        <w:t>It is defined as the uppermost layer of the sea, up to 1000 µm thick, whose physical and biogeochemical properties differ from those of the underlying water</w:t>
      </w:r>
      <w:r w:rsidR="00BF5556" w:rsidRPr="006E1463">
        <w:rPr>
          <w:rFonts w:ascii="Times New Roman" w:hAnsi="Times New Roman"/>
          <w:color w:val="000000"/>
          <w:lang w:val="en-GB"/>
        </w:rPr>
        <w:t xml:space="preserve"> </w:t>
      </w:r>
      <w:r w:rsidR="00A0678D" w:rsidRPr="006E1463">
        <w:rPr>
          <w:rFonts w:ascii="Times New Roman" w:hAnsi="Times New Roman"/>
          <w:noProof/>
          <w:color w:val="000000"/>
          <w:lang w:val="en-GB"/>
        </w:rPr>
        <w:t>(</w:t>
      </w:r>
      <w:r w:rsidR="00BC3149">
        <w:rPr>
          <w:rFonts w:ascii="Times New Roman" w:hAnsi="Times New Roman"/>
          <w:noProof/>
          <w:color w:val="000000"/>
          <w:lang w:val="en-GB"/>
        </w:rPr>
        <w:t xml:space="preserve">Hunter, 1997; </w:t>
      </w:r>
      <w:r w:rsidR="00A0678D" w:rsidRPr="006E1463">
        <w:rPr>
          <w:rFonts w:ascii="Times New Roman" w:hAnsi="Times New Roman"/>
          <w:noProof/>
          <w:color w:val="000000"/>
          <w:lang w:val="en-GB"/>
        </w:rPr>
        <w:t>Zhang et al., 2003)</w:t>
      </w:r>
      <w:r w:rsidR="00583EFC" w:rsidRPr="006E1463">
        <w:rPr>
          <w:rFonts w:ascii="Times New Roman" w:hAnsi="Times New Roman"/>
          <w:color w:val="000000"/>
          <w:lang w:val="en-GB"/>
        </w:rPr>
        <w:t>.</w:t>
      </w:r>
      <w:r w:rsidR="00BF5556" w:rsidRPr="006E1463">
        <w:rPr>
          <w:rFonts w:ascii="Times New Roman" w:hAnsi="Times New Roman"/>
          <w:color w:val="000000"/>
          <w:lang w:val="en-GB"/>
        </w:rPr>
        <w:t xml:space="preserve"> </w:t>
      </w:r>
      <w:r w:rsidRPr="006E1463">
        <w:rPr>
          <w:rFonts w:ascii="Times New Roman" w:hAnsi="Times New Roman"/>
          <w:color w:val="000000"/>
          <w:lang w:val="en-GB"/>
        </w:rPr>
        <w:t xml:space="preserve">It can be described as a hydrated, gelatinous film in which </w:t>
      </w:r>
      <w:r w:rsidR="002F5F65">
        <w:rPr>
          <w:rFonts w:ascii="Times New Roman" w:hAnsi="Times New Roman"/>
          <w:color w:val="000000"/>
          <w:lang w:val="en-GB"/>
        </w:rPr>
        <w:t xml:space="preserve">in-situ produced </w:t>
      </w:r>
      <w:r w:rsidRPr="006E1463">
        <w:rPr>
          <w:rFonts w:ascii="Times New Roman" w:hAnsi="Times New Roman"/>
          <w:color w:val="000000"/>
          <w:lang w:val="en-GB"/>
        </w:rPr>
        <w:t xml:space="preserve">organic matter (OM) and microorganisms from the deeper layers accumulate along with atmospherically deposited material and pollutants </w:t>
      </w:r>
      <w:r w:rsidR="00583EFC" w:rsidRPr="006E1463">
        <w:rPr>
          <w:rFonts w:ascii="Times New Roman" w:hAnsi="Times New Roman"/>
          <w:noProof/>
          <w:color w:val="000000"/>
          <w:lang w:val="en-GB"/>
        </w:rPr>
        <w:t>(</w:t>
      </w:r>
      <w:r w:rsidR="00415797">
        <w:rPr>
          <w:rFonts w:ascii="Times New Roman" w:hAnsi="Times New Roman"/>
          <w:noProof/>
          <w:color w:val="000000"/>
          <w:lang w:val="en-GB"/>
        </w:rPr>
        <w:t>Gašparović et al, 1998</w:t>
      </w:r>
      <w:r w:rsidR="00B34A5F">
        <w:rPr>
          <w:rFonts w:ascii="Times New Roman" w:hAnsi="Times New Roman"/>
          <w:noProof/>
          <w:color w:val="000000"/>
          <w:lang w:val="en-GB"/>
        </w:rPr>
        <w:t xml:space="preserve">; </w:t>
      </w:r>
      <w:r w:rsidR="00583EFC" w:rsidRPr="006E1463">
        <w:rPr>
          <w:rFonts w:ascii="Times New Roman" w:hAnsi="Times New Roman"/>
          <w:noProof/>
          <w:color w:val="000000"/>
          <w:lang w:val="en-GB"/>
        </w:rPr>
        <w:t>Wurl and Obbard, 2004</w:t>
      </w:r>
      <w:r w:rsidR="00B34A5F">
        <w:rPr>
          <w:rFonts w:ascii="Times New Roman" w:hAnsi="Times New Roman"/>
          <w:noProof/>
          <w:color w:val="000000"/>
          <w:lang w:val="en-GB"/>
        </w:rPr>
        <w:t>;</w:t>
      </w:r>
      <w:r w:rsidR="00415797" w:rsidRPr="00415797">
        <w:rPr>
          <w:rFonts w:ascii="Times New Roman" w:hAnsi="Times New Roman"/>
          <w:noProof/>
          <w:color w:val="000000"/>
          <w:lang w:val="en-GB"/>
        </w:rPr>
        <w:t xml:space="preserve"> </w:t>
      </w:r>
      <w:r w:rsidR="00415797">
        <w:rPr>
          <w:rFonts w:ascii="Times New Roman" w:hAnsi="Times New Roman"/>
          <w:noProof/>
          <w:color w:val="000000"/>
          <w:lang w:val="en-GB"/>
        </w:rPr>
        <w:t xml:space="preserve">Wurl et al., 2017; Engel et al., 2017; </w:t>
      </w:r>
      <w:r w:rsidR="00415797" w:rsidRPr="006E1463">
        <w:rPr>
          <w:rFonts w:ascii="Times New Roman" w:hAnsi="Times New Roman"/>
          <w:noProof/>
          <w:color w:val="000000"/>
          <w:lang w:val="en-GB"/>
        </w:rPr>
        <w:t>Robinson et al., 2019</w:t>
      </w:r>
      <w:r w:rsidR="00415797">
        <w:rPr>
          <w:rFonts w:ascii="Times New Roman" w:hAnsi="Times New Roman"/>
          <w:noProof/>
          <w:color w:val="000000"/>
          <w:lang w:val="en-GB"/>
        </w:rPr>
        <w:t xml:space="preserve">; </w:t>
      </w:r>
      <w:r w:rsidR="00415797" w:rsidRPr="006E1463">
        <w:rPr>
          <w:rFonts w:ascii="Times New Roman" w:hAnsi="Times New Roman"/>
          <w:noProof/>
          <w:color w:val="000000"/>
          <w:lang w:val="en-GB"/>
        </w:rPr>
        <w:t>Penezić et al., 2021</w:t>
      </w:r>
      <w:r w:rsidR="00583EFC" w:rsidRPr="006E1463">
        <w:rPr>
          <w:rFonts w:ascii="Times New Roman" w:hAnsi="Times New Roman"/>
          <w:noProof/>
          <w:color w:val="000000"/>
          <w:lang w:val="en-GB"/>
        </w:rPr>
        <w:t>)</w:t>
      </w:r>
      <w:r w:rsidR="00A13336" w:rsidRPr="006E1463">
        <w:rPr>
          <w:rFonts w:ascii="Times New Roman" w:hAnsi="Times New Roman"/>
          <w:color w:val="000000"/>
          <w:lang w:val="en-GB"/>
        </w:rPr>
        <w:t>.</w:t>
      </w:r>
      <w:r w:rsidR="00270CA5" w:rsidRPr="006E1463">
        <w:rPr>
          <w:rFonts w:ascii="Times New Roman" w:hAnsi="Times New Roman"/>
          <w:color w:val="000000"/>
          <w:lang w:val="en-GB"/>
        </w:rPr>
        <w:t xml:space="preserve"> </w:t>
      </w:r>
      <w:r w:rsidR="00415797" w:rsidRPr="006E1463">
        <w:rPr>
          <w:rFonts w:ascii="Times New Roman" w:hAnsi="Times New Roman"/>
          <w:color w:val="000000"/>
          <w:lang w:val="en-GB"/>
        </w:rPr>
        <w:t xml:space="preserve">The formation, thickness and distribution of SML is strongly influenced by meteorological conditions </w:t>
      </w:r>
      <w:r w:rsidR="00415797">
        <w:rPr>
          <w:rFonts w:ascii="Times New Roman" w:hAnsi="Times New Roman"/>
          <w:color w:val="000000"/>
          <w:lang w:val="en-GB"/>
        </w:rPr>
        <w:t>including</w:t>
      </w:r>
      <w:r w:rsidR="00415797" w:rsidRPr="006E1463">
        <w:rPr>
          <w:rFonts w:ascii="Times New Roman" w:hAnsi="Times New Roman"/>
          <w:color w:val="000000"/>
          <w:lang w:val="en-GB"/>
        </w:rPr>
        <w:t xml:space="preserve"> wind speed </w:t>
      </w:r>
      <w:r w:rsidR="00415797" w:rsidRPr="006E1463">
        <w:rPr>
          <w:rFonts w:ascii="Times New Roman" w:hAnsi="Times New Roman"/>
          <w:noProof/>
          <w:color w:val="000000"/>
          <w:lang w:val="en-GB"/>
        </w:rPr>
        <w:t>(Falkowska, 1999; Liss and Duce, 1997</w:t>
      </w:r>
      <w:r w:rsidR="00415797">
        <w:rPr>
          <w:rFonts w:ascii="Times New Roman" w:hAnsi="Times New Roman"/>
          <w:noProof/>
          <w:color w:val="000000"/>
          <w:lang w:val="en-GB"/>
        </w:rPr>
        <w:t xml:space="preserve">; </w:t>
      </w:r>
      <w:r w:rsidR="00415797" w:rsidRPr="006E1463">
        <w:rPr>
          <w:rFonts w:ascii="Times New Roman" w:hAnsi="Times New Roman"/>
          <w:noProof/>
          <w:color w:val="000000"/>
          <w:lang w:val="en-GB"/>
        </w:rPr>
        <w:t>Stolle et al., 2020)</w:t>
      </w:r>
      <w:r w:rsidR="00415797" w:rsidRPr="006E1463">
        <w:rPr>
          <w:rFonts w:ascii="Times New Roman" w:hAnsi="Times New Roman"/>
          <w:color w:val="000000"/>
          <w:lang w:val="en-GB"/>
        </w:rPr>
        <w:t xml:space="preserve">. </w:t>
      </w:r>
      <w:bookmarkStart w:id="1" w:name="_Hlk100041330"/>
      <w:r w:rsidR="00415797" w:rsidRPr="0023579E">
        <w:rPr>
          <w:rFonts w:ascii="Times New Roman" w:hAnsi="Times New Roman"/>
          <w:color w:val="000000"/>
          <w:lang w:val="en-GB"/>
        </w:rPr>
        <w:t>However, it is known that SML recovers quickly after physical disruption (Dragićević and Pravdić, 1981; Williams, 1986), mainly through rising bubbles containing organic material adsorbed at the surface (Liss, 1975; Stefan and Szeri, 1999; Woolf, 2005; Wurl et al., 2011). Studies have shown that recovery of SML occurs in all the oceans at wind speeds above average oceanic conditions (Archer and Jacobson, 2005; Wurl et al., 2009; Sabbaghzadeh et al., 2017).</w:t>
      </w:r>
      <w:r w:rsidR="00415797">
        <w:rPr>
          <w:rFonts w:ascii="Times New Roman" w:hAnsi="Times New Roman"/>
          <w:color w:val="000000"/>
          <w:lang w:val="en-GB"/>
        </w:rPr>
        <w:t xml:space="preserve"> </w:t>
      </w:r>
      <w:r w:rsidR="0023579E" w:rsidRPr="0023579E">
        <w:rPr>
          <w:rFonts w:ascii="Times New Roman" w:hAnsi="Times New Roman"/>
          <w:color w:val="000000"/>
          <w:lang w:val="en-GB"/>
        </w:rPr>
        <w:t>Such self-sustainability even at higher sea states, caused by increased bubble fluxes acting as a continuous supply of surface-active material to the SML (Sabbaghzadeh et al., 2017), has strong implications for global air-sea CO</w:t>
      </w:r>
      <w:r w:rsidR="0023579E" w:rsidRPr="002F5F65">
        <w:rPr>
          <w:rFonts w:ascii="Times New Roman" w:hAnsi="Times New Roman"/>
          <w:color w:val="000000"/>
          <w:vertAlign w:val="subscript"/>
          <w:lang w:val="en-GB"/>
        </w:rPr>
        <w:t>2</w:t>
      </w:r>
      <w:r w:rsidR="0023579E" w:rsidRPr="0023579E">
        <w:rPr>
          <w:rFonts w:ascii="Times New Roman" w:hAnsi="Times New Roman"/>
          <w:color w:val="000000"/>
          <w:lang w:val="en-GB"/>
        </w:rPr>
        <w:t xml:space="preserve"> exchange. Indeed, the presence of surfactants, which are ubiquitous in the oceans, significantly affects the transport rate of gas across the water surface (Frew et al., 1990; Ribas-Ribas et al., 2017; Wurl et al., 2011; </w:t>
      </w:r>
      <w:r w:rsidR="00415797" w:rsidRPr="0023579E">
        <w:rPr>
          <w:rFonts w:ascii="Times New Roman" w:hAnsi="Times New Roman"/>
          <w:color w:val="000000"/>
          <w:lang w:val="en-GB"/>
        </w:rPr>
        <w:t xml:space="preserve">Broecker et al., 1978; Tsai et al., 2003; Mustaffa et al., 2020). Recent studies are beginning to quantify the link between </w:t>
      </w:r>
      <w:r w:rsidR="00415797">
        <w:rPr>
          <w:rFonts w:ascii="Times New Roman" w:hAnsi="Times New Roman"/>
          <w:color w:val="000000"/>
          <w:lang w:val="en-GB"/>
        </w:rPr>
        <w:t>surface</w:t>
      </w:r>
      <w:r w:rsidR="00F22094">
        <w:rPr>
          <w:rFonts w:ascii="Times New Roman" w:hAnsi="Times New Roman"/>
          <w:color w:val="000000"/>
          <w:lang w:val="en-GB"/>
        </w:rPr>
        <w:t>-</w:t>
      </w:r>
      <w:r w:rsidR="00415797">
        <w:rPr>
          <w:rFonts w:ascii="Times New Roman" w:hAnsi="Times New Roman"/>
          <w:color w:val="000000"/>
          <w:lang w:val="en-GB"/>
        </w:rPr>
        <w:t>active organic substances (SAS)</w:t>
      </w:r>
      <w:r w:rsidR="00415797" w:rsidRPr="0023579E">
        <w:rPr>
          <w:rFonts w:ascii="Times New Roman" w:hAnsi="Times New Roman"/>
          <w:color w:val="000000"/>
          <w:lang w:val="en-GB"/>
        </w:rPr>
        <w:t xml:space="preserve"> concentration in SML and gas transfer velocity kw (Pereira et al, 2016; Rickard et al., 2020)</w:t>
      </w:r>
      <w:r w:rsidR="00415797">
        <w:rPr>
          <w:rFonts w:ascii="Times New Roman" w:hAnsi="Times New Roman"/>
          <w:color w:val="000000"/>
          <w:lang w:val="en-GB"/>
        </w:rPr>
        <w:t>.</w:t>
      </w:r>
      <w:bookmarkEnd w:id="1"/>
    </w:p>
    <w:p w14:paraId="1423DEE7" w14:textId="6625D9E7" w:rsidR="003B6C83" w:rsidRPr="008112D6" w:rsidRDefault="00370DB6" w:rsidP="007A4EAA">
      <w:pPr>
        <w:spacing w:after="0" w:line="360" w:lineRule="auto"/>
        <w:rPr>
          <w:rFonts w:ascii="Times New Roman" w:hAnsi="Times New Roman"/>
          <w:color w:val="000000"/>
          <w:lang w:val="en-GB"/>
        </w:rPr>
      </w:pPr>
      <w:r>
        <w:rPr>
          <w:rFonts w:ascii="Times New Roman" w:hAnsi="Times New Roman"/>
          <w:color w:val="000000"/>
          <w:lang w:val="en-GB"/>
        </w:rPr>
        <w:t>The m</w:t>
      </w:r>
      <w:r w:rsidR="00EC5C21" w:rsidRPr="006E1463">
        <w:rPr>
          <w:rFonts w:ascii="Times New Roman" w:hAnsi="Times New Roman"/>
          <w:color w:val="000000"/>
          <w:lang w:val="en-GB"/>
        </w:rPr>
        <w:t xml:space="preserve">arine OM </w:t>
      </w:r>
      <w:r>
        <w:rPr>
          <w:rFonts w:ascii="Times New Roman" w:hAnsi="Times New Roman"/>
          <w:color w:val="000000"/>
          <w:lang w:val="en-GB"/>
        </w:rPr>
        <w:t>originates</w:t>
      </w:r>
      <w:r w:rsidRPr="006E1463">
        <w:rPr>
          <w:rFonts w:ascii="Times New Roman" w:hAnsi="Times New Roman"/>
          <w:color w:val="000000"/>
          <w:lang w:val="en-GB"/>
        </w:rPr>
        <w:t xml:space="preserve"> </w:t>
      </w:r>
      <w:r w:rsidR="00EC5C21" w:rsidRPr="006E1463">
        <w:rPr>
          <w:rFonts w:ascii="Times New Roman" w:hAnsi="Times New Roman"/>
          <w:color w:val="000000"/>
          <w:lang w:val="en-GB"/>
        </w:rPr>
        <w:t>mainly from phytoplankton activity, with additional contributions from terrestrial sources through riverine inputs</w:t>
      </w:r>
      <w:r w:rsidR="002C355C" w:rsidRPr="006E1463">
        <w:rPr>
          <w:rFonts w:ascii="Times New Roman" w:hAnsi="Times New Roman"/>
          <w:color w:val="000000"/>
          <w:lang w:val="en-GB"/>
        </w:rPr>
        <w:t xml:space="preserve"> </w:t>
      </w:r>
      <w:r w:rsidR="002C355C" w:rsidRPr="006E1463">
        <w:rPr>
          <w:rFonts w:ascii="Times New Roman" w:hAnsi="Times New Roman"/>
          <w:noProof/>
          <w:color w:val="000000"/>
          <w:lang w:val="en-GB"/>
        </w:rPr>
        <w:t>(Gašparović et al., 2011)</w:t>
      </w:r>
      <w:r w:rsidR="00270CA5" w:rsidRPr="006E1463">
        <w:rPr>
          <w:rFonts w:ascii="Times New Roman" w:hAnsi="Times New Roman"/>
          <w:color w:val="000000"/>
          <w:lang w:val="en-GB"/>
        </w:rPr>
        <w:t xml:space="preserve">. </w:t>
      </w:r>
      <w:r w:rsidR="00EC5C21" w:rsidRPr="006E1463">
        <w:rPr>
          <w:rFonts w:ascii="Times New Roman" w:hAnsi="Times New Roman"/>
          <w:color w:val="000000"/>
          <w:lang w:val="en-GB"/>
        </w:rPr>
        <w:t xml:space="preserve">In coastal waters, </w:t>
      </w:r>
      <w:r>
        <w:rPr>
          <w:rFonts w:ascii="Times New Roman" w:hAnsi="Times New Roman"/>
          <w:color w:val="000000"/>
          <w:lang w:val="en-GB"/>
        </w:rPr>
        <w:t>especial</w:t>
      </w:r>
      <w:r w:rsidRPr="006E1463">
        <w:rPr>
          <w:rFonts w:ascii="Times New Roman" w:hAnsi="Times New Roman"/>
          <w:color w:val="000000"/>
          <w:lang w:val="en-GB"/>
        </w:rPr>
        <w:t xml:space="preserve">ly </w:t>
      </w:r>
      <w:r w:rsidR="00EC5C21" w:rsidRPr="006E1463">
        <w:rPr>
          <w:rFonts w:ascii="Times New Roman" w:hAnsi="Times New Roman"/>
          <w:color w:val="000000"/>
          <w:lang w:val="en-GB"/>
        </w:rPr>
        <w:t>those under the influence of rivers, increased biological activity leads to increased OM production, with about 70% of dissolved</w:t>
      </w:r>
      <w:r w:rsidR="00DB6F04">
        <w:rPr>
          <w:rFonts w:ascii="Times New Roman" w:hAnsi="Times New Roman"/>
          <w:color w:val="000000"/>
          <w:lang w:val="en-GB"/>
        </w:rPr>
        <w:t xml:space="preserve"> OM being of terrestrial origin</w:t>
      </w:r>
      <w:r w:rsidR="00EC5C21" w:rsidRPr="006E1463">
        <w:rPr>
          <w:rFonts w:ascii="Times New Roman" w:hAnsi="Times New Roman"/>
          <w:color w:val="000000"/>
          <w:lang w:val="en-GB"/>
        </w:rPr>
        <w:t xml:space="preserve"> </w:t>
      </w:r>
      <w:r w:rsidR="003C54CD" w:rsidRPr="006E1463">
        <w:rPr>
          <w:rFonts w:ascii="Times New Roman" w:hAnsi="Times New Roman"/>
          <w:noProof/>
          <w:color w:val="000000"/>
          <w:lang w:val="en-GB"/>
        </w:rPr>
        <w:t>(Coble, 2007)</w:t>
      </w:r>
      <w:r w:rsidR="00B071B3" w:rsidRPr="006E1463">
        <w:rPr>
          <w:rFonts w:ascii="Times New Roman" w:hAnsi="Times New Roman"/>
          <w:color w:val="000000"/>
          <w:lang w:val="en-GB"/>
        </w:rPr>
        <w:t xml:space="preserve">. </w:t>
      </w:r>
      <w:r w:rsidR="00925137">
        <w:rPr>
          <w:rFonts w:ascii="Times New Roman" w:hAnsi="Times New Roman"/>
          <w:color w:val="000000"/>
          <w:lang w:val="en-GB"/>
        </w:rPr>
        <w:t>A</w:t>
      </w:r>
      <w:r w:rsidR="00EC5C21" w:rsidRPr="006E1463">
        <w:rPr>
          <w:rFonts w:ascii="Times New Roman" w:hAnsi="Times New Roman"/>
          <w:color w:val="000000"/>
          <w:lang w:val="en-GB"/>
        </w:rPr>
        <w:t xml:space="preserve"> significant </w:t>
      </w:r>
      <w:r>
        <w:rPr>
          <w:rFonts w:ascii="Times New Roman" w:hAnsi="Times New Roman"/>
          <w:color w:val="000000"/>
          <w:lang w:val="en-GB"/>
        </w:rPr>
        <w:t>portion</w:t>
      </w:r>
      <w:r w:rsidRPr="006E1463">
        <w:rPr>
          <w:rFonts w:ascii="Times New Roman" w:hAnsi="Times New Roman"/>
          <w:color w:val="000000"/>
          <w:lang w:val="en-GB"/>
        </w:rPr>
        <w:t xml:space="preserve"> </w:t>
      </w:r>
      <w:r w:rsidR="00EC5C21" w:rsidRPr="006E1463">
        <w:rPr>
          <w:rFonts w:ascii="Times New Roman" w:hAnsi="Times New Roman"/>
          <w:color w:val="000000"/>
          <w:lang w:val="en-GB"/>
        </w:rPr>
        <w:t>of marine OM</w:t>
      </w:r>
      <w:r w:rsidR="00925137">
        <w:rPr>
          <w:rFonts w:ascii="Times New Roman" w:hAnsi="Times New Roman"/>
          <w:color w:val="000000"/>
          <w:lang w:val="en-GB"/>
        </w:rPr>
        <w:t xml:space="preserve"> is presented by SAS, </w:t>
      </w:r>
      <w:r w:rsidR="00EC5C21" w:rsidRPr="006E1463">
        <w:rPr>
          <w:rFonts w:ascii="Times New Roman" w:hAnsi="Times New Roman"/>
          <w:color w:val="000000"/>
          <w:lang w:val="en-GB"/>
        </w:rPr>
        <w:t>consist</w:t>
      </w:r>
      <w:r w:rsidR="00925137">
        <w:rPr>
          <w:rFonts w:ascii="Times New Roman" w:hAnsi="Times New Roman"/>
          <w:color w:val="000000"/>
          <w:lang w:val="en-GB"/>
        </w:rPr>
        <w:t>ing</w:t>
      </w:r>
      <w:r w:rsidR="00EC5C21" w:rsidRPr="006E1463">
        <w:rPr>
          <w:rFonts w:ascii="Times New Roman" w:hAnsi="Times New Roman"/>
          <w:color w:val="000000"/>
          <w:lang w:val="en-GB"/>
        </w:rPr>
        <w:t xml:space="preserve"> of recalcitrant material, such as humic substances, or freshly produced biogenic material, namely carbohydrates, proteins, and lipids</w:t>
      </w:r>
      <w:r w:rsidR="003C54CD" w:rsidRPr="006E1463">
        <w:rPr>
          <w:rFonts w:ascii="Times New Roman" w:hAnsi="Times New Roman"/>
          <w:color w:val="000000"/>
          <w:lang w:val="en-GB"/>
        </w:rPr>
        <w:t xml:space="preserve"> </w:t>
      </w:r>
      <w:r w:rsidR="002C355C" w:rsidRPr="006E1463">
        <w:rPr>
          <w:rFonts w:ascii="Times New Roman" w:hAnsi="Times New Roman"/>
          <w:noProof/>
          <w:color w:val="000000"/>
          <w:lang w:val="en-GB"/>
        </w:rPr>
        <w:t>(Ćosović et al., 1985; Gašparović et al., 2011)</w:t>
      </w:r>
      <w:r w:rsidR="00776E6D" w:rsidRPr="006E1463">
        <w:rPr>
          <w:rFonts w:ascii="Times New Roman" w:hAnsi="Times New Roman"/>
          <w:color w:val="000000"/>
          <w:lang w:val="en-GB"/>
        </w:rPr>
        <w:t>.</w:t>
      </w:r>
      <w:r w:rsidR="00415797" w:rsidRPr="006E1463">
        <w:rPr>
          <w:rFonts w:ascii="Times New Roman" w:hAnsi="Times New Roman"/>
          <w:color w:val="000000"/>
          <w:lang w:val="en-GB"/>
        </w:rPr>
        <w:t xml:space="preserve"> </w:t>
      </w:r>
      <w:r w:rsidR="00415797" w:rsidRPr="009B10E8">
        <w:rPr>
          <w:rFonts w:ascii="Times New Roman" w:hAnsi="Times New Roman"/>
          <w:color w:val="000000"/>
          <w:lang w:val="en-GB"/>
        </w:rPr>
        <w:t>Lipid content in phytoplankton ranges from ≤1 to 46% of dry weight (Romankevich, 1986)</w:t>
      </w:r>
      <w:r w:rsidR="009B10E8" w:rsidRPr="009B10E8">
        <w:rPr>
          <w:rFonts w:ascii="Times New Roman" w:hAnsi="Times New Roman"/>
          <w:color w:val="000000"/>
          <w:lang w:val="en-GB"/>
        </w:rPr>
        <w:t xml:space="preserve">. Phytoplankton exudates, through direct release or zooplankton grazing, metabolic processes, and cell lysis, are the main source of marine lipids, which vary in composition depending on the phytoplankton community and environmental conditions (Novak et al., 2019). </w:t>
      </w:r>
    </w:p>
    <w:p w14:paraId="768C5B46" w14:textId="0C88B5A3" w:rsidR="00785ECE" w:rsidRDefault="003B6C83" w:rsidP="007A4EAA">
      <w:pPr>
        <w:spacing w:after="0" w:line="360" w:lineRule="auto"/>
        <w:rPr>
          <w:rFonts w:ascii="Times New Roman" w:hAnsi="Times New Roman"/>
          <w:noProof/>
          <w:color w:val="000000"/>
          <w:lang w:val="en-GB"/>
        </w:rPr>
      </w:pPr>
      <w:r w:rsidRPr="008112D6">
        <w:rPr>
          <w:rFonts w:ascii="Times New Roman" w:hAnsi="Times New Roman"/>
          <w:color w:val="000000"/>
          <w:lang w:val="en-GB"/>
        </w:rPr>
        <w:t>Lipids are important organic biomarkers used to determine OM sources due to their specific functions in different cell types are known (Parrish, 1988</w:t>
      </w:r>
      <w:r w:rsidR="008112D6">
        <w:rPr>
          <w:rFonts w:ascii="Times New Roman" w:hAnsi="Times New Roman"/>
          <w:color w:val="000000"/>
          <w:lang w:val="en-GB"/>
        </w:rPr>
        <w:t>, Parrish et al., 2000</w:t>
      </w:r>
      <w:r w:rsidRPr="003C0D23">
        <w:rPr>
          <w:rFonts w:ascii="Times New Roman" w:hAnsi="Times New Roman"/>
          <w:color w:val="000000"/>
          <w:lang w:val="en-GB"/>
        </w:rPr>
        <w:t>).</w:t>
      </w:r>
      <w:r w:rsidR="00137909" w:rsidRPr="003C0D23">
        <w:rPr>
          <w:rFonts w:ascii="Times New Roman" w:hAnsi="Times New Roman"/>
          <w:lang w:val="en-GB"/>
        </w:rPr>
        <w:t xml:space="preserve"> </w:t>
      </w:r>
      <w:r w:rsidR="0066779C" w:rsidRPr="003C0D23">
        <w:rPr>
          <w:rFonts w:ascii="Times New Roman" w:hAnsi="Times New Roman"/>
          <w:color w:val="000000" w:themeColor="text1"/>
          <w:lang w:val="en-GB"/>
        </w:rPr>
        <w:t>They</w:t>
      </w:r>
      <w:r w:rsidRPr="003C0D23">
        <w:rPr>
          <w:rFonts w:ascii="Times New Roman" w:hAnsi="Times New Roman"/>
          <w:color w:val="000000" w:themeColor="text1"/>
          <w:lang w:val="en-GB"/>
        </w:rPr>
        <w:t xml:space="preserve"> are less susceptible to </w:t>
      </w:r>
      <w:r w:rsidRPr="003C0D23">
        <w:rPr>
          <w:rFonts w:ascii="Times New Roman" w:hAnsi="Times New Roman"/>
          <w:color w:val="000000" w:themeColor="text1"/>
          <w:lang w:val="en-GB"/>
        </w:rPr>
        <w:lastRenderedPageBreak/>
        <w:t xml:space="preserve">degradation than carbohydrates or proteins. Harvey et al. (1995) found that under oxic conditions carbohydrates are recycled within 15 days, proteins within 41 days, and lipids within 77 days. Saturated lipids have been shown to be highly resistant to degradation. Gašparović et al. (2016; 2018) found an increase in saturated lipids of up to 30-fold from the surface to abyssal depths (4800 m) of the North Atlantic, while at the same time particulate organic carbon decreased by 90%. </w:t>
      </w:r>
      <w:r w:rsidR="00137909" w:rsidRPr="003C0D23">
        <w:rPr>
          <w:rFonts w:ascii="Times New Roman" w:hAnsi="Times New Roman"/>
          <w:color w:val="000000"/>
          <w:lang w:val="en-GB"/>
        </w:rPr>
        <w:t>Memb</w:t>
      </w:r>
      <w:r w:rsidR="00137909" w:rsidRPr="009B10E8">
        <w:rPr>
          <w:rFonts w:ascii="Times New Roman" w:hAnsi="Times New Roman"/>
          <w:color w:val="000000"/>
          <w:lang w:val="en-GB"/>
        </w:rPr>
        <w:t xml:space="preserve">rane lipids such as phospholipids and glycolipids, are indicators of living organisms, free fatty acids can indicate degradation processes, while the ratio between specific lipid classes can serve as an indicator of organisms' adaptation to changes in environmental conditions (Derieux et al., 1998; Gašparović et al., 2014; Goutx et al., 2003; Gerin and Goutx, 1994; Novak et al., 2019, Gašparović et al., 2016). Lipids are also an important factor in carbon sequestration in the ocean – their buoyancy contributes to their surface activity, facilitating both their accumulation at the sea surface and their adsorption to sinking particles, which transports them to deeper layers </w:t>
      </w:r>
      <w:r w:rsidR="00137909" w:rsidRPr="006E1463">
        <w:rPr>
          <w:rFonts w:ascii="Times New Roman" w:hAnsi="Times New Roman"/>
          <w:noProof/>
          <w:color w:val="000000"/>
          <w:lang w:val="en-GB"/>
        </w:rPr>
        <w:t>(Gašparović et al., 2016; Novak et al., 2019)</w:t>
      </w:r>
      <w:r w:rsidR="00137909">
        <w:rPr>
          <w:rFonts w:ascii="Times New Roman" w:hAnsi="Times New Roman"/>
          <w:noProof/>
          <w:color w:val="000000"/>
          <w:lang w:val="en-GB"/>
        </w:rPr>
        <w:t>.</w:t>
      </w:r>
      <w:r w:rsidR="00185847" w:rsidRPr="006E1463">
        <w:rPr>
          <w:rFonts w:ascii="Times New Roman" w:hAnsi="Times New Roman"/>
          <w:color w:val="000000"/>
          <w:lang w:val="en-GB"/>
        </w:rPr>
        <w:t>Some organic molecules, especially fulvic and humic acids, can absorb light due to their optically active parts</w:t>
      </w:r>
      <w:r w:rsidR="00DC070F">
        <w:rPr>
          <w:rFonts w:ascii="Times New Roman" w:hAnsi="Times New Roman"/>
          <w:color w:val="000000"/>
          <w:lang w:val="en-GB"/>
        </w:rPr>
        <w:t xml:space="preserve"> and are</w:t>
      </w:r>
      <w:r w:rsidR="00185847" w:rsidRPr="006E1463">
        <w:rPr>
          <w:rFonts w:ascii="Times New Roman" w:hAnsi="Times New Roman"/>
          <w:color w:val="000000"/>
          <w:lang w:val="en-GB"/>
        </w:rPr>
        <w:t xml:space="preserve"> referred to as chromophoric dissolved organic matter (CDOM), a class of molecules additionally includ</w:t>
      </w:r>
      <w:r w:rsidR="00DC070F">
        <w:rPr>
          <w:rFonts w:ascii="Times New Roman" w:hAnsi="Times New Roman"/>
          <w:color w:val="000000"/>
          <w:lang w:val="en-GB"/>
        </w:rPr>
        <w:t>ing</w:t>
      </w:r>
      <w:r w:rsidR="00185847" w:rsidRPr="006E1463">
        <w:rPr>
          <w:rFonts w:ascii="Times New Roman" w:hAnsi="Times New Roman"/>
          <w:color w:val="000000"/>
          <w:lang w:val="en-GB"/>
        </w:rPr>
        <w:t xml:space="preserve"> fluorescent organic matter (FDOM), which can emit part of the absorbed light as fluorescence</w:t>
      </w:r>
      <w:r w:rsidR="00294B33" w:rsidRPr="006E1463">
        <w:rPr>
          <w:rFonts w:ascii="Times New Roman" w:hAnsi="Times New Roman"/>
          <w:color w:val="000000"/>
          <w:lang w:val="en-GB"/>
        </w:rPr>
        <w:t xml:space="preserve"> </w:t>
      </w:r>
      <w:r w:rsidR="00D94850" w:rsidRPr="006E1463">
        <w:rPr>
          <w:rFonts w:ascii="Times New Roman" w:hAnsi="Times New Roman"/>
          <w:noProof/>
          <w:color w:val="000000"/>
          <w:lang w:val="en-GB"/>
        </w:rPr>
        <w:t>(Drozdowska et al., 2015; Marcinek et al., 2020)</w:t>
      </w:r>
      <w:r w:rsidR="00294B33" w:rsidRPr="006E1463">
        <w:rPr>
          <w:rFonts w:ascii="Times New Roman" w:hAnsi="Times New Roman"/>
          <w:color w:val="000000"/>
          <w:lang w:val="en-GB"/>
        </w:rPr>
        <w:t xml:space="preserve">. </w:t>
      </w:r>
      <w:bookmarkStart w:id="2" w:name="_Hlk98141006"/>
      <w:r w:rsidR="00137909">
        <w:rPr>
          <w:rFonts w:ascii="Times New Roman" w:hAnsi="Times New Roman"/>
          <w:color w:val="000000"/>
          <w:lang w:val="en-GB"/>
        </w:rPr>
        <w:t xml:space="preserve">As an important </w:t>
      </w:r>
      <w:r w:rsidR="00137909">
        <w:rPr>
          <w:rFonts w:ascii="Times New Roman" w:eastAsia="Calibri" w:hAnsi="Times New Roman"/>
          <w:color w:val="000000"/>
          <w:lang w:val="en-GB"/>
        </w:rPr>
        <w:t>optical constituent of seawater, CDOM adsorbs primarily in the ultraviolet to blue spectral region and can absorb up to 90% of solar radiation in the 400-500 nm spectral range in coastal waters, which can affect primary production (Arrigo and Brown, 1996; Belanger et al., 2008; Zhao et al., 2018).</w:t>
      </w:r>
      <w:bookmarkEnd w:id="2"/>
      <w:r w:rsidR="00137909">
        <w:rPr>
          <w:rFonts w:ascii="Times New Roman" w:eastAsia="Calibri" w:hAnsi="Times New Roman"/>
          <w:color w:val="000000"/>
          <w:lang w:val="en-GB"/>
        </w:rPr>
        <w:t xml:space="preserve"> </w:t>
      </w:r>
      <w:r w:rsidR="00185847" w:rsidRPr="006E1463">
        <w:rPr>
          <w:rFonts w:ascii="Times New Roman" w:hAnsi="Times New Roman"/>
          <w:color w:val="000000"/>
          <w:lang w:val="en-GB"/>
        </w:rPr>
        <w:t xml:space="preserve">Optical characterization methods of OM provide a rapid and reliable way to detect and identify dissolved organic matter (DOM) and </w:t>
      </w:r>
      <w:r w:rsidR="00861223">
        <w:rPr>
          <w:rFonts w:ascii="Times New Roman" w:hAnsi="Times New Roman"/>
          <w:color w:val="000000"/>
          <w:lang w:val="en-GB"/>
        </w:rPr>
        <w:t>additionally give</w:t>
      </w:r>
      <w:r w:rsidR="00185847" w:rsidRPr="006E1463">
        <w:rPr>
          <w:rFonts w:ascii="Times New Roman" w:hAnsi="Times New Roman"/>
          <w:color w:val="000000"/>
          <w:lang w:val="en-GB"/>
        </w:rPr>
        <w:t xml:space="preserve"> insight into DOM transformation processes</w:t>
      </w:r>
      <w:r w:rsidR="00294B33" w:rsidRPr="006E1463">
        <w:rPr>
          <w:rFonts w:ascii="Times New Roman" w:hAnsi="Times New Roman"/>
          <w:color w:val="000000"/>
          <w:lang w:val="en-GB"/>
        </w:rPr>
        <w:t xml:space="preserve"> </w:t>
      </w:r>
      <w:r w:rsidR="00A04CD9" w:rsidRPr="006E1463">
        <w:rPr>
          <w:rFonts w:ascii="Times New Roman" w:hAnsi="Times New Roman"/>
          <w:noProof/>
          <w:color w:val="000000"/>
          <w:lang w:val="en-GB"/>
        </w:rPr>
        <w:t>(Drozdowska et al., 2017; Stedmon et al., 2003)</w:t>
      </w:r>
      <w:r w:rsidR="00137909" w:rsidRPr="00137909">
        <w:rPr>
          <w:rFonts w:ascii="Times New Roman" w:hAnsi="Times New Roman"/>
          <w:noProof/>
          <w:color w:val="000000"/>
          <w:lang w:val="en-GB"/>
        </w:rPr>
        <w:t xml:space="preserve"> </w:t>
      </w:r>
      <w:r w:rsidR="00137909">
        <w:rPr>
          <w:rFonts w:ascii="Times New Roman" w:hAnsi="Times New Roman"/>
          <w:noProof/>
          <w:color w:val="000000"/>
          <w:lang w:val="en-GB"/>
        </w:rPr>
        <w:t>such as DOM removal through photodegradation or microbial activities (Lei et al., 2020)</w:t>
      </w:r>
      <w:r w:rsidR="00D73079">
        <w:rPr>
          <w:rFonts w:ascii="Times New Roman" w:hAnsi="Times New Roman"/>
          <w:noProof/>
          <w:color w:val="000000"/>
          <w:lang w:val="en-GB"/>
        </w:rPr>
        <w:t xml:space="preserve">. </w:t>
      </w:r>
      <w:r w:rsidR="00185847" w:rsidRPr="006E1463">
        <w:rPr>
          <w:rFonts w:ascii="Times New Roman" w:hAnsi="Times New Roman"/>
          <w:color w:val="000000"/>
          <w:lang w:val="en-GB"/>
        </w:rPr>
        <w:t>This is particularly important for coastal areas with intense riverine inputs</w:t>
      </w:r>
      <w:r w:rsidR="000F523A">
        <w:rPr>
          <w:rFonts w:ascii="Times New Roman" w:hAnsi="Times New Roman"/>
          <w:color w:val="000000"/>
          <w:lang w:val="en-GB"/>
        </w:rPr>
        <w:t xml:space="preserve"> and</w:t>
      </w:r>
      <w:r w:rsidR="00137909" w:rsidRPr="00137909">
        <w:rPr>
          <w:rFonts w:ascii="Times New Roman" w:hAnsi="Times New Roman"/>
          <w:color w:val="000000"/>
          <w:lang w:val="en-GB"/>
        </w:rPr>
        <w:t xml:space="preserve"> </w:t>
      </w:r>
      <w:r w:rsidR="00137909">
        <w:rPr>
          <w:rFonts w:ascii="Times New Roman" w:hAnsi="Times New Roman"/>
          <w:color w:val="000000"/>
          <w:lang w:val="en-GB"/>
        </w:rPr>
        <w:t>high primary production</w:t>
      </w:r>
      <w:r w:rsidR="00185847" w:rsidRPr="006E1463">
        <w:rPr>
          <w:rFonts w:ascii="Times New Roman" w:hAnsi="Times New Roman"/>
          <w:color w:val="000000"/>
          <w:lang w:val="en-GB"/>
        </w:rPr>
        <w:t>, where optical characterization can help distinguish between DOM of marine and terrestrial origin</w:t>
      </w:r>
      <w:r w:rsidR="00E32BE8" w:rsidRPr="006E1463">
        <w:rPr>
          <w:rFonts w:ascii="Times New Roman" w:hAnsi="Times New Roman"/>
          <w:color w:val="000000"/>
          <w:lang w:val="en-GB"/>
        </w:rPr>
        <w:t xml:space="preserve"> </w:t>
      </w:r>
      <w:r w:rsidR="00175CEB" w:rsidRPr="006E1463">
        <w:rPr>
          <w:rFonts w:ascii="Times New Roman" w:hAnsi="Times New Roman"/>
          <w:noProof/>
          <w:color w:val="000000"/>
          <w:lang w:val="en-GB"/>
        </w:rPr>
        <w:t>(Coble, 1996; Drozdowska, 2007; Marcinek et al., 2020)</w:t>
      </w:r>
      <w:r w:rsidR="00166454">
        <w:rPr>
          <w:rFonts w:ascii="Times New Roman" w:hAnsi="Times New Roman"/>
          <w:noProof/>
          <w:color w:val="000000"/>
          <w:lang w:val="en-GB"/>
        </w:rPr>
        <w:t>.</w:t>
      </w:r>
      <w:r w:rsidR="00CA50CA">
        <w:rPr>
          <w:rFonts w:ascii="Times New Roman" w:hAnsi="Times New Roman"/>
          <w:noProof/>
          <w:color w:val="000000"/>
          <w:lang w:val="en-GB"/>
        </w:rPr>
        <w:t xml:space="preserve"> </w:t>
      </w:r>
      <w:r w:rsidR="00137909" w:rsidRPr="00480D03">
        <w:rPr>
          <w:rFonts w:ascii="Times New Roman" w:hAnsi="Times New Roman"/>
          <w:color w:val="000000"/>
          <w:lang w:val="en-GB"/>
        </w:rPr>
        <w:t>B</w:t>
      </w:r>
      <w:r w:rsidR="00137909" w:rsidRPr="00480D03">
        <w:rPr>
          <w:rFonts w:ascii="Times New Roman" w:eastAsia="Calibri" w:hAnsi="Times New Roman"/>
          <w:color w:val="000000"/>
          <w:lang w:val="en-GB"/>
        </w:rPr>
        <w:t xml:space="preserve">iotic and abiotic OM processing at the air – sea interface </w:t>
      </w:r>
      <w:r w:rsidR="00137909">
        <w:rPr>
          <w:rFonts w:ascii="Times New Roman" w:eastAsia="Calibri" w:hAnsi="Times New Roman"/>
          <w:color w:val="000000"/>
          <w:lang w:val="en-GB"/>
        </w:rPr>
        <w:t>impacts the ocean carbon cycle (Johannessen et al., 200</w:t>
      </w:r>
      <w:r w:rsidR="00094A79">
        <w:rPr>
          <w:rFonts w:ascii="Times New Roman" w:eastAsia="Calibri" w:hAnsi="Times New Roman"/>
          <w:color w:val="000000"/>
          <w:lang w:val="en-GB"/>
        </w:rPr>
        <w:t>1</w:t>
      </w:r>
      <w:r w:rsidR="00137909">
        <w:rPr>
          <w:rFonts w:ascii="Times New Roman" w:eastAsia="Calibri" w:hAnsi="Times New Roman"/>
          <w:color w:val="000000"/>
          <w:lang w:val="en-GB"/>
        </w:rPr>
        <w:t xml:space="preserve">) and </w:t>
      </w:r>
      <w:r w:rsidR="00137909" w:rsidRPr="00480D03">
        <w:rPr>
          <w:rFonts w:ascii="Times New Roman" w:eastAsia="Calibri" w:hAnsi="Times New Roman"/>
          <w:color w:val="000000"/>
          <w:lang w:val="en-GB"/>
        </w:rPr>
        <w:t>lead to the formation of volatile organic compounds (VOC)</w:t>
      </w:r>
      <w:r w:rsidR="00137909">
        <w:rPr>
          <w:rFonts w:ascii="Times New Roman" w:eastAsia="Calibri" w:hAnsi="Times New Roman"/>
          <w:color w:val="000000"/>
          <w:lang w:val="en-GB"/>
        </w:rPr>
        <w:t>, which are</w:t>
      </w:r>
      <w:r w:rsidR="00137909" w:rsidRPr="00480D03">
        <w:rPr>
          <w:rFonts w:ascii="Times New Roman" w:eastAsia="Calibri" w:hAnsi="Times New Roman"/>
          <w:color w:val="000000"/>
          <w:lang w:val="en-GB"/>
        </w:rPr>
        <w:t xml:space="preserve"> potential precursors for secondary organic aerosols (SOA) that strongly i</w:t>
      </w:r>
      <w:r w:rsidR="00137909">
        <w:rPr>
          <w:rFonts w:ascii="Times New Roman" w:eastAsia="Calibri" w:hAnsi="Times New Roman"/>
          <w:color w:val="000000"/>
          <w:lang w:val="en-GB"/>
        </w:rPr>
        <w:t>nfluence</w:t>
      </w:r>
      <w:r w:rsidR="00137909" w:rsidRPr="00480D03">
        <w:rPr>
          <w:rFonts w:ascii="Times New Roman" w:eastAsia="Calibri" w:hAnsi="Times New Roman"/>
          <w:color w:val="000000"/>
          <w:lang w:val="en-GB"/>
        </w:rPr>
        <w:t xml:space="preserve"> cloud formation and contribute to Earth’s solar radiation balance (Mayer et al., 2020; Bruggema</w:t>
      </w:r>
      <w:r w:rsidR="00016395">
        <w:rPr>
          <w:rFonts w:ascii="Times New Roman" w:eastAsia="Calibri" w:hAnsi="Times New Roman"/>
          <w:color w:val="000000"/>
          <w:lang w:val="en-GB"/>
        </w:rPr>
        <w:t>n</w:t>
      </w:r>
      <w:r w:rsidR="00137909" w:rsidRPr="00480D03">
        <w:rPr>
          <w:rFonts w:ascii="Times New Roman" w:eastAsia="Calibri" w:hAnsi="Times New Roman"/>
          <w:color w:val="000000"/>
          <w:lang w:val="en-GB"/>
        </w:rPr>
        <w:t>n et al., 2018).</w:t>
      </w:r>
      <w:r w:rsidR="007A6A5F" w:rsidRPr="007A6A5F">
        <w:rPr>
          <w:rFonts w:ascii="Times New Roman" w:eastAsia="Calibri" w:hAnsi="Times New Roman"/>
          <w:color w:val="000000"/>
          <w:lang w:val="en-GB"/>
        </w:rPr>
        <w:t xml:space="preserve"> </w:t>
      </w:r>
      <w:bookmarkStart w:id="3" w:name="_Hlk99989291"/>
      <w:r w:rsidR="007A6A5F" w:rsidRPr="007A6A5F">
        <w:rPr>
          <w:rFonts w:ascii="Times New Roman" w:eastAsia="Calibri" w:hAnsi="Times New Roman"/>
          <w:color w:val="000000"/>
          <w:lang w:val="en-GB"/>
        </w:rPr>
        <w:t>The mentioned processes, such as air – water gas exchange, carbon sequestration, VOC formation and others,</w:t>
      </w:r>
      <w:r w:rsidR="0006200D">
        <w:rPr>
          <w:rFonts w:ascii="Times New Roman" w:eastAsia="Calibri" w:hAnsi="Times New Roman"/>
          <w:color w:val="000000"/>
          <w:lang w:val="en-GB"/>
        </w:rPr>
        <w:t xml:space="preserve"> are of global importance, and</w:t>
      </w:r>
      <w:r w:rsidR="007A6A5F" w:rsidRPr="007A6A5F">
        <w:rPr>
          <w:rFonts w:ascii="Times New Roman" w:eastAsia="Calibri" w:hAnsi="Times New Roman"/>
          <w:color w:val="000000"/>
          <w:lang w:val="en-GB"/>
        </w:rPr>
        <w:t xml:space="preserve"> are all affected by OM distribution and processing, with different OM classes playing their own important roles in exchange of energy and matter between the sea and the atmosphere.</w:t>
      </w:r>
      <w:bookmarkEnd w:id="3"/>
      <w:r w:rsidR="00185847" w:rsidRPr="006E1463">
        <w:rPr>
          <w:rFonts w:ascii="Times New Roman" w:hAnsi="Times New Roman"/>
          <w:color w:val="000000"/>
          <w:lang w:val="en-GB"/>
        </w:rPr>
        <w:t xml:space="preserve"> </w:t>
      </w:r>
      <w:bookmarkStart w:id="4" w:name="_Hlk99989169"/>
      <w:r w:rsidR="00185847" w:rsidRPr="006E1463">
        <w:rPr>
          <w:rFonts w:ascii="Times New Roman" w:hAnsi="Times New Roman"/>
          <w:color w:val="000000"/>
          <w:lang w:val="en-GB"/>
        </w:rPr>
        <w:t xml:space="preserve">Therefore, characterization of the marine OM, especially considering the air-sea interface, is essential to deepen our understanding of the </w:t>
      </w:r>
      <w:r w:rsidR="00594A38">
        <w:rPr>
          <w:rFonts w:ascii="Times New Roman" w:hAnsi="Times New Roman"/>
          <w:color w:val="000000"/>
          <w:lang w:val="en-GB"/>
        </w:rPr>
        <w:t>feedbacks</w:t>
      </w:r>
      <w:r w:rsidR="00594A38" w:rsidRPr="006E1463">
        <w:rPr>
          <w:rFonts w:ascii="Times New Roman" w:hAnsi="Times New Roman"/>
          <w:color w:val="000000"/>
          <w:lang w:val="en-GB"/>
        </w:rPr>
        <w:t xml:space="preserve"> </w:t>
      </w:r>
      <w:r w:rsidR="00185847" w:rsidRPr="006E1463">
        <w:rPr>
          <w:rFonts w:ascii="Times New Roman" w:hAnsi="Times New Roman"/>
          <w:color w:val="000000"/>
          <w:lang w:val="en-GB"/>
        </w:rPr>
        <w:t>between these two largest environmental niches.</w:t>
      </w:r>
      <w:bookmarkEnd w:id="4"/>
    </w:p>
    <w:p w14:paraId="01967F99" w14:textId="77777777" w:rsidR="00137909" w:rsidRPr="006E1463" w:rsidRDefault="00137909" w:rsidP="00795CEC">
      <w:pPr>
        <w:spacing w:after="0" w:line="360" w:lineRule="auto"/>
        <w:ind w:firstLine="708"/>
        <w:rPr>
          <w:rFonts w:ascii="Times New Roman" w:hAnsi="Times New Roman"/>
          <w:color w:val="000000"/>
          <w:lang w:val="en-GB"/>
        </w:rPr>
      </w:pPr>
      <w:r w:rsidRPr="006E1463">
        <w:rPr>
          <w:rFonts w:ascii="Times New Roman" w:hAnsi="Times New Roman"/>
          <w:color w:val="000000"/>
          <w:lang w:val="en-GB"/>
        </w:rPr>
        <w:lastRenderedPageBreak/>
        <w:t xml:space="preserve">In this study, we </w:t>
      </w:r>
      <w:r>
        <w:rPr>
          <w:rFonts w:ascii="Times New Roman" w:hAnsi="Times New Roman"/>
          <w:color w:val="000000"/>
          <w:lang w:val="en-GB"/>
        </w:rPr>
        <w:t>primarily focused on investigating</w:t>
      </w:r>
      <w:r w:rsidRPr="006E1463">
        <w:rPr>
          <w:rFonts w:ascii="Times New Roman" w:hAnsi="Times New Roman"/>
          <w:color w:val="000000"/>
          <w:lang w:val="en-GB"/>
        </w:rPr>
        <w:t xml:space="preserve"> the </w:t>
      </w:r>
      <w:r>
        <w:rPr>
          <w:rFonts w:ascii="Times New Roman" w:hAnsi="Times New Roman"/>
          <w:color w:val="000000"/>
          <w:lang w:val="en-GB"/>
        </w:rPr>
        <w:t>links between different organic matter classes within the</w:t>
      </w:r>
      <w:r w:rsidRPr="006E1463">
        <w:rPr>
          <w:rFonts w:ascii="Times New Roman" w:hAnsi="Times New Roman"/>
          <w:color w:val="000000"/>
          <w:lang w:val="en-GB"/>
        </w:rPr>
        <w:t xml:space="preserve"> SML and </w:t>
      </w:r>
      <w:r>
        <w:rPr>
          <w:rFonts w:ascii="Times New Roman" w:hAnsi="Times New Roman"/>
          <w:color w:val="000000"/>
          <w:lang w:val="en-GB"/>
        </w:rPr>
        <w:t xml:space="preserve">the underlying water (ULW) at 1 m depth, in the Gulf of Gdansk, a coastal </w:t>
      </w:r>
      <w:r w:rsidRPr="006E1463">
        <w:rPr>
          <w:rFonts w:ascii="Times New Roman" w:hAnsi="Times New Roman"/>
          <w:color w:val="000000"/>
          <w:lang w:val="en-GB"/>
        </w:rPr>
        <w:t xml:space="preserve">area </w:t>
      </w:r>
      <w:r>
        <w:rPr>
          <w:rFonts w:ascii="Times New Roman" w:hAnsi="Times New Roman"/>
          <w:color w:val="000000"/>
          <w:lang w:val="en-GB"/>
        </w:rPr>
        <w:t xml:space="preserve">in the southern part of the Baltic Sea, influenced by the Vistula River. </w:t>
      </w:r>
      <w:bookmarkStart w:id="5" w:name="_Hlk100041707"/>
      <w:bookmarkStart w:id="6" w:name="_Hlk100044500"/>
      <w:r w:rsidRPr="00F470A5">
        <w:rPr>
          <w:rFonts w:ascii="Times New Roman" w:hAnsi="Times New Roman"/>
          <w:color w:val="000000"/>
          <w:lang w:val="en-GB"/>
        </w:rPr>
        <w:t>This study is an extension of the work of Drozdowska et al (2017), which compared the spectroscopic and fluorescence properties of SML and ULW samples during three different field campaigns (in April 2015, October 2015, and September 2016) collected at the same transect. During the October 2015 campaign, in addition to CDOM and FDOM analysis, additional characterization of OM in the SML and ULW was performed, namely SAS, particulate organic carbon (POC), and particulate lipids and their classes, with the aim of further exploring the specific links between different OM groups and properties, in addition to considering the influence of wind, an important driver of the physical and biogeochemical properties of SML</w:t>
      </w:r>
      <w:r>
        <w:rPr>
          <w:rFonts w:ascii="Times New Roman" w:hAnsi="Times New Roman"/>
          <w:noProof/>
          <w:color w:val="000000"/>
          <w:lang w:val="en-GB"/>
        </w:rPr>
        <w:t>.</w:t>
      </w:r>
      <w:bookmarkEnd w:id="5"/>
      <w:r>
        <w:rPr>
          <w:rFonts w:ascii="Times New Roman" w:hAnsi="Times New Roman"/>
          <w:noProof/>
          <w:color w:val="000000"/>
          <w:lang w:val="en-GB"/>
        </w:rPr>
        <w:t xml:space="preserve"> </w:t>
      </w:r>
      <w:bookmarkEnd w:id="6"/>
      <w:r>
        <w:rPr>
          <w:rFonts w:ascii="Times New Roman" w:hAnsi="Times New Roman"/>
          <w:noProof/>
          <w:color w:val="000000"/>
          <w:lang w:val="en-GB"/>
        </w:rPr>
        <w:t>T</w:t>
      </w:r>
      <w:r w:rsidRPr="00C32597">
        <w:rPr>
          <w:rFonts w:ascii="Times New Roman" w:hAnsi="Times New Roman"/>
          <w:noProof/>
          <w:color w:val="000000"/>
          <w:lang w:val="en-GB"/>
        </w:rPr>
        <w:t>hus, the objectives of this study were i) to investigate the properties and spatial distribution of different types of OM in the SML and ULW in a transect in the</w:t>
      </w:r>
      <w:r>
        <w:rPr>
          <w:rFonts w:ascii="Times New Roman" w:hAnsi="Times New Roman"/>
          <w:noProof/>
          <w:color w:val="000000"/>
          <w:lang w:val="en-GB"/>
        </w:rPr>
        <w:t xml:space="preserve"> </w:t>
      </w:r>
      <w:r w:rsidRPr="006E1463">
        <w:rPr>
          <w:rFonts w:ascii="Times New Roman" w:hAnsi="Times New Roman"/>
          <w:color w:val="000000"/>
          <w:lang w:val="en-GB"/>
        </w:rPr>
        <w:t>Gulf of Gdansk encompassing the Vistula River plume</w:t>
      </w:r>
      <w:r>
        <w:rPr>
          <w:rFonts w:ascii="Times New Roman" w:hAnsi="Times New Roman"/>
          <w:color w:val="000000"/>
          <w:lang w:val="en-GB"/>
        </w:rPr>
        <w:t>,</w:t>
      </w:r>
      <w:r w:rsidRPr="006E1463">
        <w:rPr>
          <w:rFonts w:ascii="Times New Roman" w:hAnsi="Times New Roman"/>
          <w:color w:val="000000"/>
          <w:lang w:val="en-GB"/>
        </w:rPr>
        <w:t xml:space="preserve"> ii) </w:t>
      </w:r>
      <w:r>
        <w:rPr>
          <w:rFonts w:ascii="Times New Roman" w:hAnsi="Times New Roman"/>
          <w:color w:val="000000"/>
          <w:lang w:val="en-GB"/>
        </w:rPr>
        <w:t xml:space="preserve">to </w:t>
      </w:r>
      <w:r w:rsidRPr="006E1463">
        <w:rPr>
          <w:rFonts w:ascii="Times New Roman" w:hAnsi="Times New Roman"/>
          <w:color w:val="000000"/>
          <w:lang w:val="en-GB"/>
        </w:rPr>
        <w:t>identify sources of OM</w:t>
      </w:r>
      <w:r>
        <w:rPr>
          <w:rFonts w:ascii="Times New Roman" w:hAnsi="Times New Roman"/>
          <w:color w:val="000000"/>
          <w:lang w:val="en-GB"/>
        </w:rPr>
        <w:t>,</w:t>
      </w:r>
      <w:r w:rsidRPr="006E1463">
        <w:rPr>
          <w:rFonts w:ascii="Times New Roman" w:hAnsi="Times New Roman"/>
          <w:color w:val="000000"/>
          <w:lang w:val="en-GB"/>
        </w:rPr>
        <w:t xml:space="preserve"> </w:t>
      </w:r>
      <w:r w:rsidRPr="00C32597">
        <w:rPr>
          <w:rFonts w:ascii="Times New Roman" w:hAnsi="Times New Roman"/>
          <w:color w:val="000000"/>
          <w:lang w:val="en-GB"/>
        </w:rPr>
        <w:t xml:space="preserve">iii) to identify processes responsible for the distribution of OM and to evaluate the influence of winds on the establishment of SML, and iv) to investigate the relationships between the </w:t>
      </w:r>
      <w:r>
        <w:rPr>
          <w:rFonts w:ascii="Times New Roman" w:hAnsi="Times New Roman"/>
          <w:color w:val="000000"/>
          <w:lang w:val="en-GB"/>
        </w:rPr>
        <w:t xml:space="preserve">OM </w:t>
      </w:r>
      <w:r w:rsidRPr="00C32597">
        <w:rPr>
          <w:rFonts w:ascii="Times New Roman" w:hAnsi="Times New Roman"/>
          <w:color w:val="000000"/>
          <w:lang w:val="en-GB"/>
        </w:rPr>
        <w:t xml:space="preserve">optical properties and </w:t>
      </w:r>
      <w:r>
        <w:rPr>
          <w:rFonts w:ascii="Times New Roman" w:hAnsi="Times New Roman"/>
          <w:color w:val="000000"/>
          <w:lang w:val="en-GB"/>
        </w:rPr>
        <w:t xml:space="preserve">OM </w:t>
      </w:r>
      <w:r w:rsidRPr="00C32597">
        <w:rPr>
          <w:rFonts w:ascii="Times New Roman" w:hAnsi="Times New Roman"/>
          <w:color w:val="000000"/>
          <w:lang w:val="en-GB"/>
        </w:rPr>
        <w:t>surface activity</w:t>
      </w:r>
      <w:r w:rsidRPr="006E1463">
        <w:rPr>
          <w:rFonts w:ascii="Times New Roman" w:hAnsi="Times New Roman"/>
          <w:color w:val="000000"/>
          <w:lang w:val="en-GB"/>
        </w:rPr>
        <w:t>.</w:t>
      </w:r>
    </w:p>
    <w:p w14:paraId="05A9CB1B" w14:textId="77777777" w:rsidR="00185847" w:rsidRPr="006E1463" w:rsidRDefault="00185847" w:rsidP="00D72BE1">
      <w:pPr>
        <w:spacing w:after="0" w:line="360" w:lineRule="auto"/>
        <w:rPr>
          <w:rFonts w:ascii="Times New Roman" w:hAnsi="Times New Roman"/>
          <w:color w:val="000000"/>
          <w:lang w:val="en-GB"/>
        </w:rPr>
      </w:pPr>
    </w:p>
    <w:p w14:paraId="5DE178F7" w14:textId="77777777" w:rsidR="00185847" w:rsidRPr="006E1463" w:rsidRDefault="00185847" w:rsidP="00D72BE1">
      <w:pPr>
        <w:pStyle w:val="Heading2"/>
      </w:pPr>
      <w:r w:rsidRPr="006E1463">
        <w:t>2. Materials and methods</w:t>
      </w:r>
    </w:p>
    <w:p w14:paraId="2DEA7CDF" w14:textId="77777777" w:rsidR="00185847" w:rsidRDefault="00185847" w:rsidP="00D72BE1">
      <w:pPr>
        <w:pStyle w:val="Heading3"/>
        <w:jc w:val="left"/>
      </w:pPr>
      <w:r w:rsidRPr="0086002C">
        <w:t xml:space="preserve">2.1. Study area </w:t>
      </w:r>
    </w:p>
    <w:p w14:paraId="17C54923" w14:textId="77777777" w:rsidR="004029B2" w:rsidRPr="004029B2" w:rsidRDefault="004029B2" w:rsidP="004029B2">
      <w:pPr>
        <w:rPr>
          <w:lang w:val="en-GB"/>
        </w:rPr>
      </w:pPr>
    </w:p>
    <w:p w14:paraId="06937A31" w14:textId="77777777" w:rsidR="00137909" w:rsidRPr="006E1463" w:rsidRDefault="00137909" w:rsidP="00137909">
      <w:pPr>
        <w:spacing w:line="360" w:lineRule="auto"/>
        <w:rPr>
          <w:rFonts w:ascii="Times New Roman" w:hAnsi="Times New Roman"/>
          <w:color w:val="000000"/>
          <w:lang w:val="en-GB"/>
        </w:rPr>
      </w:pPr>
      <w:r>
        <w:rPr>
          <w:rFonts w:ascii="Times New Roman" w:hAnsi="Times New Roman"/>
          <w:color w:val="000000"/>
          <w:lang w:val="en-GB"/>
        </w:rPr>
        <w:t xml:space="preserve">The study area included a transect in the southern Baltic Sea, </w:t>
      </w:r>
      <w:r w:rsidRPr="006E1463">
        <w:rPr>
          <w:rFonts w:ascii="Times New Roman" w:hAnsi="Times New Roman"/>
          <w:color w:val="000000"/>
          <w:lang w:val="en-GB"/>
        </w:rPr>
        <w:t xml:space="preserve">more </w:t>
      </w:r>
      <w:r w:rsidRPr="00F10CB3">
        <w:rPr>
          <w:rFonts w:ascii="Times New Roman" w:hAnsi="Times New Roman"/>
          <w:color w:val="000000"/>
          <w:lang w:val="en-GB"/>
        </w:rPr>
        <w:t>specifically in the</w:t>
      </w:r>
      <w:r w:rsidRPr="006E1463">
        <w:rPr>
          <w:rFonts w:ascii="Times New Roman" w:hAnsi="Times New Roman"/>
          <w:color w:val="000000"/>
          <w:lang w:val="en-GB"/>
        </w:rPr>
        <w:t xml:space="preserve"> Gulf of Gdansk, starting at the Vistula River mouth and extending about 47 km toward the open sea (Figure 1, Table S1).</w:t>
      </w:r>
      <w:r>
        <w:rPr>
          <w:rFonts w:ascii="Times New Roman" w:hAnsi="Times New Roman"/>
          <w:color w:val="000000"/>
          <w:lang w:val="en-GB"/>
        </w:rPr>
        <w:t xml:space="preserve"> The brackish </w:t>
      </w:r>
      <w:r w:rsidRPr="006E1463">
        <w:rPr>
          <w:rFonts w:ascii="Times New Roman" w:hAnsi="Times New Roman"/>
          <w:color w:val="000000"/>
          <w:lang w:val="en-GB"/>
        </w:rPr>
        <w:t xml:space="preserve">Baltic Sea is </w:t>
      </w:r>
      <w:r>
        <w:rPr>
          <w:rFonts w:ascii="Times New Roman" w:hAnsi="Times New Roman"/>
          <w:color w:val="000000"/>
          <w:lang w:val="en-GB"/>
        </w:rPr>
        <w:t>characterised by a high water residence time due to poor exchange with the North Sea through the Danish Straits (</w:t>
      </w:r>
      <w:r w:rsidRPr="006E1463">
        <w:rPr>
          <w:rFonts w:ascii="Times New Roman" w:hAnsi="Times New Roman"/>
          <w:noProof/>
          <w:color w:val="000000"/>
          <w:lang w:val="en-GB"/>
        </w:rPr>
        <w:t>Szymczak-Żyła et al., 2019</w:t>
      </w:r>
      <w:r>
        <w:rPr>
          <w:rFonts w:ascii="Times New Roman" w:hAnsi="Times New Roman"/>
          <w:noProof/>
          <w:color w:val="000000"/>
          <w:lang w:val="en-GB"/>
        </w:rPr>
        <w:t>)</w:t>
      </w:r>
      <w:r>
        <w:rPr>
          <w:rFonts w:ascii="Times New Roman" w:hAnsi="Times New Roman"/>
          <w:color w:val="000000"/>
          <w:lang w:val="en-GB"/>
        </w:rPr>
        <w:t xml:space="preserve">. This and its large catchment area make it vulnerable to eutrophication, anoxia, and the impacts of pollutants </w:t>
      </w:r>
      <w:r w:rsidRPr="006E1463">
        <w:rPr>
          <w:rFonts w:ascii="Times New Roman" w:hAnsi="Times New Roman"/>
          <w:noProof/>
          <w:color w:val="000000"/>
          <w:lang w:val="en-GB"/>
        </w:rPr>
        <w:t>(Pȩdziński and Witak, 2019</w:t>
      </w:r>
      <w:r>
        <w:rPr>
          <w:rFonts w:ascii="Times New Roman" w:hAnsi="Times New Roman"/>
          <w:noProof/>
          <w:color w:val="000000"/>
          <w:lang w:val="en-GB"/>
        </w:rPr>
        <w:t xml:space="preserve">, </w:t>
      </w:r>
      <w:r w:rsidRPr="006E1463">
        <w:rPr>
          <w:rFonts w:ascii="Times New Roman" w:hAnsi="Times New Roman"/>
          <w:noProof/>
          <w:color w:val="000000"/>
          <w:lang w:val="en-GB"/>
        </w:rPr>
        <w:t>Szymczak-Żyła et al., 2019)</w:t>
      </w:r>
      <w:r w:rsidRPr="006E1463">
        <w:rPr>
          <w:rFonts w:ascii="Times New Roman" w:hAnsi="Times New Roman"/>
          <w:color w:val="000000"/>
          <w:lang w:val="en-GB"/>
        </w:rPr>
        <w:t xml:space="preserve">. </w:t>
      </w:r>
      <w:r>
        <w:rPr>
          <w:rFonts w:ascii="Times New Roman" w:hAnsi="Times New Roman"/>
          <w:color w:val="000000"/>
          <w:lang w:val="en-GB"/>
        </w:rPr>
        <w:t>B</w:t>
      </w:r>
      <w:r w:rsidRPr="006E1463">
        <w:rPr>
          <w:rFonts w:ascii="Times New Roman" w:hAnsi="Times New Roman"/>
          <w:color w:val="000000"/>
          <w:lang w:val="en-GB"/>
        </w:rPr>
        <w:t>etween the early and late 20</w:t>
      </w:r>
      <w:r w:rsidRPr="006E1463">
        <w:rPr>
          <w:rFonts w:ascii="Times New Roman" w:hAnsi="Times New Roman"/>
          <w:color w:val="000000"/>
          <w:vertAlign w:val="superscript"/>
          <w:lang w:val="en-GB"/>
        </w:rPr>
        <w:t>th</w:t>
      </w:r>
      <w:r w:rsidRPr="006E1463">
        <w:rPr>
          <w:rFonts w:ascii="Times New Roman" w:hAnsi="Times New Roman"/>
          <w:color w:val="000000"/>
          <w:lang w:val="en-GB"/>
        </w:rPr>
        <w:t xml:space="preserve"> century </w:t>
      </w:r>
      <w:r>
        <w:rPr>
          <w:rFonts w:ascii="Times New Roman" w:hAnsi="Times New Roman"/>
          <w:color w:val="000000"/>
          <w:lang w:val="en-GB"/>
        </w:rPr>
        <w:t>intensive inputs</w:t>
      </w:r>
      <w:r w:rsidRPr="006E1463">
        <w:rPr>
          <w:rFonts w:ascii="Times New Roman" w:hAnsi="Times New Roman"/>
          <w:color w:val="000000"/>
          <w:lang w:val="en-GB"/>
        </w:rPr>
        <w:t xml:space="preserve"> of nitrogen and phosphorus increased fourfold and eightfold, respectively </w:t>
      </w:r>
      <w:r w:rsidRPr="006E1463">
        <w:rPr>
          <w:rFonts w:ascii="Times New Roman" w:hAnsi="Times New Roman"/>
          <w:noProof/>
          <w:color w:val="000000"/>
          <w:lang w:val="en-GB"/>
        </w:rPr>
        <w:t>(Glasby and Szefer, 1998; Larsson et al., 1985)</w:t>
      </w:r>
      <w:r>
        <w:rPr>
          <w:rFonts w:ascii="Times New Roman" w:hAnsi="Times New Roman"/>
          <w:noProof/>
          <w:color w:val="000000"/>
          <w:lang w:val="en-GB"/>
        </w:rPr>
        <w:t>,</w:t>
      </w:r>
      <w:r w:rsidRPr="006E1463">
        <w:rPr>
          <w:rFonts w:ascii="Times New Roman" w:hAnsi="Times New Roman"/>
          <w:color w:val="000000"/>
          <w:lang w:val="en-GB"/>
        </w:rPr>
        <w:t xml:space="preserve"> promot</w:t>
      </w:r>
      <w:r>
        <w:rPr>
          <w:rFonts w:ascii="Times New Roman" w:hAnsi="Times New Roman"/>
          <w:color w:val="000000"/>
          <w:lang w:val="en-GB"/>
        </w:rPr>
        <w:t>ing</w:t>
      </w:r>
      <w:r w:rsidRPr="006E1463">
        <w:rPr>
          <w:rFonts w:ascii="Times New Roman" w:hAnsi="Times New Roman"/>
          <w:color w:val="000000"/>
          <w:lang w:val="en-GB"/>
        </w:rPr>
        <w:t xml:space="preserve"> eutrophication, reduc</w:t>
      </w:r>
      <w:r>
        <w:rPr>
          <w:rFonts w:ascii="Times New Roman" w:hAnsi="Times New Roman"/>
          <w:color w:val="000000"/>
          <w:lang w:val="en-GB"/>
        </w:rPr>
        <w:t>ing</w:t>
      </w:r>
      <w:r w:rsidRPr="006E1463">
        <w:rPr>
          <w:rFonts w:ascii="Times New Roman" w:hAnsi="Times New Roman"/>
          <w:color w:val="000000"/>
          <w:lang w:val="en-GB"/>
        </w:rPr>
        <w:t xml:space="preserve"> water transparency</w:t>
      </w:r>
      <w:r>
        <w:rPr>
          <w:rFonts w:ascii="Times New Roman" w:hAnsi="Times New Roman"/>
          <w:color w:val="000000"/>
          <w:lang w:val="en-GB"/>
        </w:rPr>
        <w:t>,</w:t>
      </w:r>
      <w:r w:rsidRPr="006E1463">
        <w:rPr>
          <w:rFonts w:ascii="Times New Roman" w:hAnsi="Times New Roman"/>
          <w:color w:val="000000"/>
          <w:lang w:val="en-GB"/>
        </w:rPr>
        <w:t xml:space="preserve"> and </w:t>
      </w:r>
      <w:r>
        <w:rPr>
          <w:rFonts w:ascii="Times New Roman" w:hAnsi="Times New Roman"/>
          <w:color w:val="000000"/>
          <w:lang w:val="en-GB"/>
        </w:rPr>
        <w:t>causing</w:t>
      </w:r>
      <w:r w:rsidRPr="006E1463">
        <w:rPr>
          <w:rFonts w:ascii="Times New Roman" w:hAnsi="Times New Roman"/>
          <w:color w:val="000000"/>
          <w:lang w:val="en-GB"/>
        </w:rPr>
        <w:t xml:space="preserve"> a shift from macrophyte- to phytoplankton-dominated systems in some areas of the Baltic Sea (Andren, 1999). </w:t>
      </w:r>
      <w:r>
        <w:rPr>
          <w:rFonts w:ascii="Times New Roman" w:hAnsi="Times New Roman"/>
          <w:color w:val="000000"/>
          <w:lang w:val="en-GB"/>
        </w:rPr>
        <w:t xml:space="preserve">The </w:t>
      </w:r>
      <w:r w:rsidRPr="006E1463">
        <w:rPr>
          <w:rFonts w:ascii="Times New Roman" w:hAnsi="Times New Roman"/>
          <w:color w:val="000000"/>
          <w:lang w:val="en-GB"/>
        </w:rPr>
        <w:t>Vistula</w:t>
      </w:r>
      <w:r>
        <w:rPr>
          <w:rFonts w:ascii="Times New Roman" w:hAnsi="Times New Roman"/>
          <w:color w:val="000000"/>
          <w:lang w:val="en-GB"/>
        </w:rPr>
        <w:t xml:space="preserve"> River, the </w:t>
      </w:r>
      <w:r w:rsidRPr="006E1463">
        <w:rPr>
          <w:rFonts w:ascii="Times New Roman" w:hAnsi="Times New Roman"/>
          <w:color w:val="000000"/>
          <w:lang w:val="en-GB"/>
        </w:rPr>
        <w:t>longest</w:t>
      </w:r>
      <w:r>
        <w:rPr>
          <w:rFonts w:ascii="Times New Roman" w:hAnsi="Times New Roman"/>
          <w:color w:val="000000"/>
          <w:lang w:val="en-GB"/>
        </w:rPr>
        <w:t xml:space="preserve"> river</w:t>
      </w:r>
      <w:r w:rsidRPr="006E1463">
        <w:rPr>
          <w:rFonts w:ascii="Times New Roman" w:hAnsi="Times New Roman"/>
          <w:color w:val="000000"/>
          <w:lang w:val="en-GB"/>
        </w:rPr>
        <w:t xml:space="preserve"> in the Baltic Sea catchment, with a length of 1047 km and an average flow of 1080 m</w:t>
      </w:r>
      <w:r w:rsidRPr="006E1463">
        <w:rPr>
          <w:rFonts w:ascii="Times New Roman" w:hAnsi="Times New Roman"/>
          <w:color w:val="000000"/>
          <w:vertAlign w:val="superscript"/>
          <w:lang w:val="en-GB"/>
        </w:rPr>
        <w:t>3</w:t>
      </w:r>
      <w:r w:rsidRPr="006E1463">
        <w:rPr>
          <w:rFonts w:ascii="Times New Roman" w:hAnsi="Times New Roman"/>
          <w:color w:val="000000"/>
          <w:lang w:val="en-GB"/>
        </w:rPr>
        <w:t>s</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w:t>
      </w:r>
      <w:r w:rsidRPr="006E1463">
        <w:rPr>
          <w:rFonts w:ascii="Times New Roman" w:hAnsi="Times New Roman"/>
          <w:noProof/>
          <w:color w:val="000000"/>
          <w:lang w:val="en-GB"/>
        </w:rPr>
        <w:t>(Buszewski et al., 2005)</w:t>
      </w:r>
      <w:r>
        <w:rPr>
          <w:rFonts w:ascii="Times New Roman" w:hAnsi="Times New Roman"/>
          <w:noProof/>
          <w:color w:val="000000"/>
          <w:lang w:val="en-GB"/>
        </w:rPr>
        <w:t>,</w:t>
      </w:r>
      <w:r w:rsidRPr="006E1463">
        <w:rPr>
          <w:rFonts w:ascii="Times New Roman" w:hAnsi="Times New Roman"/>
          <w:color w:val="000000"/>
          <w:lang w:val="en-GB"/>
        </w:rPr>
        <w:t xml:space="preserve"> </w:t>
      </w:r>
      <w:r>
        <w:rPr>
          <w:rFonts w:ascii="Times New Roman" w:hAnsi="Times New Roman"/>
          <w:color w:val="000000"/>
          <w:lang w:val="en-GB"/>
        </w:rPr>
        <w:t>brings</w:t>
      </w:r>
      <w:r w:rsidRPr="006E1463">
        <w:rPr>
          <w:rFonts w:ascii="Times New Roman" w:hAnsi="Times New Roman"/>
          <w:color w:val="000000"/>
          <w:lang w:val="en-GB"/>
        </w:rPr>
        <w:t xml:space="preserve"> the largest amounts of total nitrogen and phosphorus (about 65 and 60%, respectively) </w:t>
      </w:r>
      <w:r w:rsidRPr="006E1463">
        <w:rPr>
          <w:rFonts w:ascii="Times New Roman" w:hAnsi="Times New Roman"/>
          <w:noProof/>
          <w:color w:val="000000"/>
          <w:lang w:val="en-GB"/>
        </w:rPr>
        <w:t>(HELCOM, 2018)</w:t>
      </w:r>
      <w:r>
        <w:rPr>
          <w:rFonts w:ascii="Times New Roman" w:hAnsi="Times New Roman"/>
          <w:color w:val="000000"/>
          <w:lang w:val="en-GB"/>
        </w:rPr>
        <w:t xml:space="preserve"> and, despite</w:t>
      </w:r>
      <w:r w:rsidRPr="006E1463">
        <w:rPr>
          <w:rFonts w:ascii="Times New Roman" w:hAnsi="Times New Roman"/>
          <w:color w:val="000000"/>
          <w:lang w:val="en-GB"/>
        </w:rPr>
        <w:t xml:space="preserve"> recent</w:t>
      </w:r>
      <w:r>
        <w:rPr>
          <w:rFonts w:ascii="Times New Roman" w:hAnsi="Times New Roman"/>
          <w:color w:val="000000"/>
          <w:lang w:val="en-GB"/>
        </w:rPr>
        <w:t xml:space="preserve"> reductions in nutrient inputs </w:t>
      </w:r>
      <w:r w:rsidRPr="006E1463">
        <w:rPr>
          <w:rFonts w:ascii="Times New Roman" w:hAnsi="Times New Roman"/>
          <w:noProof/>
          <w:color w:val="000000"/>
          <w:lang w:val="en-GB"/>
        </w:rPr>
        <w:t>(Pastuszak et al., 2012</w:t>
      </w:r>
      <w:r>
        <w:rPr>
          <w:rFonts w:ascii="Times New Roman" w:hAnsi="Times New Roman"/>
          <w:noProof/>
          <w:color w:val="000000"/>
          <w:lang w:val="en-GB"/>
        </w:rPr>
        <w:t>, HELCOM, 2018</w:t>
      </w:r>
      <w:r w:rsidRPr="006E1463">
        <w:rPr>
          <w:rFonts w:ascii="Times New Roman" w:hAnsi="Times New Roman"/>
          <w:noProof/>
          <w:color w:val="000000"/>
          <w:lang w:val="en-GB"/>
        </w:rPr>
        <w:t>)</w:t>
      </w:r>
      <w:r>
        <w:rPr>
          <w:rFonts w:ascii="Times New Roman" w:hAnsi="Times New Roman"/>
          <w:noProof/>
          <w:color w:val="000000"/>
          <w:lang w:val="en-GB"/>
        </w:rPr>
        <w:t>,</w:t>
      </w:r>
      <w:r w:rsidRPr="006E1463">
        <w:rPr>
          <w:rFonts w:ascii="Times New Roman" w:hAnsi="Times New Roman"/>
          <w:color w:val="000000"/>
          <w:lang w:val="en-GB"/>
        </w:rPr>
        <w:t xml:space="preserve"> contribu</w:t>
      </w:r>
      <w:r>
        <w:rPr>
          <w:rFonts w:ascii="Times New Roman" w:hAnsi="Times New Roman"/>
          <w:color w:val="000000"/>
          <w:lang w:val="en-GB"/>
        </w:rPr>
        <w:t>tes</w:t>
      </w:r>
      <w:r w:rsidRPr="006E1463">
        <w:rPr>
          <w:rFonts w:ascii="Times New Roman" w:hAnsi="Times New Roman"/>
          <w:color w:val="000000"/>
          <w:lang w:val="en-GB"/>
        </w:rPr>
        <w:t xml:space="preserve"> to</w:t>
      </w:r>
      <w:r>
        <w:rPr>
          <w:rFonts w:ascii="Times New Roman" w:hAnsi="Times New Roman"/>
          <w:color w:val="000000"/>
          <w:lang w:val="en-GB"/>
        </w:rPr>
        <w:t xml:space="preserve"> </w:t>
      </w:r>
      <w:r w:rsidRPr="006E1463">
        <w:rPr>
          <w:rFonts w:ascii="Times New Roman" w:hAnsi="Times New Roman"/>
          <w:color w:val="000000"/>
          <w:lang w:val="en-GB"/>
        </w:rPr>
        <w:t>eutrophication</w:t>
      </w:r>
      <w:r>
        <w:rPr>
          <w:rFonts w:ascii="Times New Roman" w:hAnsi="Times New Roman"/>
          <w:color w:val="000000"/>
          <w:lang w:val="en-GB"/>
        </w:rPr>
        <w:t>, especially in the Gulf of Gdansk area. The Gulf of Gdansk</w:t>
      </w:r>
      <w:r w:rsidRPr="006E1463">
        <w:rPr>
          <w:rFonts w:ascii="Times New Roman" w:hAnsi="Times New Roman"/>
          <w:color w:val="000000"/>
          <w:lang w:val="en-GB"/>
        </w:rPr>
        <w:t xml:space="preserve"> </w:t>
      </w:r>
      <w:r>
        <w:rPr>
          <w:rFonts w:ascii="Times New Roman" w:hAnsi="Times New Roman"/>
          <w:color w:val="000000"/>
          <w:lang w:val="en-GB"/>
        </w:rPr>
        <w:t>is a</w:t>
      </w:r>
      <w:r w:rsidRPr="006E1463">
        <w:rPr>
          <w:rFonts w:ascii="Times New Roman" w:hAnsi="Times New Roman"/>
          <w:color w:val="000000"/>
          <w:lang w:val="en-GB"/>
        </w:rPr>
        <w:t xml:space="preserve"> highly eutrophic area with large-scale growth of filamentous brown algae, extensive summer blooms of cyanobacteria, and high Chl </w:t>
      </w:r>
      <w:r w:rsidRPr="006E1463">
        <w:rPr>
          <w:rFonts w:ascii="Times New Roman" w:hAnsi="Times New Roman"/>
          <w:i/>
          <w:color w:val="000000"/>
          <w:lang w:val="en-GB"/>
        </w:rPr>
        <w:t>a</w:t>
      </w:r>
      <w:r w:rsidRPr="006E1463">
        <w:rPr>
          <w:rFonts w:ascii="Times New Roman" w:hAnsi="Times New Roman"/>
          <w:color w:val="000000"/>
          <w:lang w:val="en-GB"/>
        </w:rPr>
        <w:t xml:space="preserve"> concentrations </w:t>
      </w:r>
      <w:r w:rsidRPr="006E1463">
        <w:rPr>
          <w:rFonts w:ascii="Times New Roman" w:hAnsi="Times New Roman"/>
          <w:noProof/>
          <w:color w:val="000000"/>
          <w:lang w:val="en-GB"/>
        </w:rPr>
        <w:t>(Kruk-Dowgiallo, 1996; Mazur-Marzec et al., 2006)</w:t>
      </w:r>
      <w:r>
        <w:rPr>
          <w:rFonts w:ascii="Times New Roman" w:hAnsi="Times New Roman"/>
          <w:noProof/>
          <w:color w:val="000000"/>
          <w:lang w:val="en-GB"/>
        </w:rPr>
        <w:t xml:space="preserve">. </w:t>
      </w:r>
      <w:r>
        <w:rPr>
          <w:rFonts w:ascii="Times New Roman" w:hAnsi="Times New Roman"/>
          <w:color w:val="000000"/>
          <w:lang w:val="en-GB"/>
        </w:rPr>
        <w:t xml:space="preserve">Due to </w:t>
      </w:r>
      <w:r w:rsidRPr="00A63AF5">
        <w:rPr>
          <w:rFonts w:ascii="Times New Roman" w:hAnsi="Times New Roman"/>
          <w:color w:val="000000"/>
          <w:lang w:val="en-GB"/>
        </w:rPr>
        <w:t>the considerable input</w:t>
      </w:r>
      <w:r>
        <w:rPr>
          <w:rFonts w:ascii="Times New Roman" w:hAnsi="Times New Roman"/>
          <w:color w:val="000000"/>
          <w:lang w:val="en-GB"/>
        </w:rPr>
        <w:t xml:space="preserve"> of</w:t>
      </w:r>
      <w:r w:rsidRPr="006E1463">
        <w:rPr>
          <w:rFonts w:ascii="Times New Roman" w:hAnsi="Times New Roman"/>
          <w:color w:val="000000"/>
          <w:lang w:val="en-GB"/>
        </w:rPr>
        <w:t xml:space="preserve"> terrestrial OM</w:t>
      </w:r>
      <w:r>
        <w:rPr>
          <w:rFonts w:ascii="Times New Roman" w:hAnsi="Times New Roman"/>
          <w:color w:val="000000"/>
          <w:lang w:val="en-GB"/>
        </w:rPr>
        <w:t xml:space="preserve">, </w:t>
      </w:r>
      <w:r>
        <w:rPr>
          <w:rFonts w:ascii="Times New Roman" w:hAnsi="Times New Roman"/>
          <w:color w:val="000000"/>
          <w:lang w:val="en-GB"/>
        </w:rPr>
        <w:lastRenderedPageBreak/>
        <w:t>which affects</w:t>
      </w:r>
      <w:r w:rsidRPr="006E1463">
        <w:rPr>
          <w:rFonts w:ascii="Times New Roman" w:hAnsi="Times New Roman"/>
          <w:color w:val="000000"/>
          <w:lang w:val="en-GB"/>
        </w:rPr>
        <w:t xml:space="preserve"> </w:t>
      </w:r>
      <w:r>
        <w:rPr>
          <w:rFonts w:ascii="Times New Roman" w:hAnsi="Times New Roman"/>
          <w:color w:val="000000"/>
          <w:lang w:val="en-GB"/>
        </w:rPr>
        <w:t xml:space="preserve">its optical and </w:t>
      </w:r>
      <w:r w:rsidRPr="006E1463">
        <w:rPr>
          <w:rFonts w:ascii="Times New Roman" w:hAnsi="Times New Roman"/>
          <w:color w:val="000000"/>
          <w:lang w:val="en-GB"/>
        </w:rPr>
        <w:t xml:space="preserve">biological </w:t>
      </w:r>
      <w:r>
        <w:rPr>
          <w:rFonts w:ascii="Times New Roman" w:hAnsi="Times New Roman"/>
          <w:color w:val="000000"/>
          <w:lang w:val="en-GB"/>
        </w:rPr>
        <w:t>properties (Kow</w:t>
      </w:r>
      <w:r w:rsidR="002B23C8">
        <w:rPr>
          <w:rFonts w:ascii="Times New Roman" w:hAnsi="Times New Roman"/>
          <w:color w:val="000000"/>
          <w:lang w:val="en-GB"/>
        </w:rPr>
        <w:t>a</w:t>
      </w:r>
      <w:r>
        <w:rPr>
          <w:rFonts w:ascii="Times New Roman" w:hAnsi="Times New Roman"/>
          <w:color w:val="000000"/>
          <w:lang w:val="en-GB"/>
        </w:rPr>
        <w:t xml:space="preserve">lczuk et al., 2006), the Gulf of Gdansk has also been </w:t>
      </w:r>
      <w:r w:rsidRPr="006E1463">
        <w:rPr>
          <w:rFonts w:ascii="Times New Roman" w:hAnsi="Times New Roman"/>
          <w:color w:val="000000"/>
          <w:lang w:val="en-GB"/>
        </w:rPr>
        <w:t xml:space="preserve">recognized as a sink for particulate matter of both autochthonous and allochthonous origin </w:t>
      </w:r>
      <w:r w:rsidRPr="006E1463">
        <w:rPr>
          <w:rFonts w:ascii="Times New Roman" w:hAnsi="Times New Roman"/>
          <w:noProof/>
          <w:color w:val="000000"/>
          <w:lang w:val="en-GB"/>
        </w:rPr>
        <w:t>(Drozdowska et al., 2002; Drozdowska and Fateyeva, 2013; Maksymowska et al., 2000; Piskozub et al., 1998)</w:t>
      </w:r>
      <w:r w:rsidRPr="006E1463">
        <w:rPr>
          <w:rFonts w:ascii="Times New Roman" w:hAnsi="Times New Roman"/>
          <w:color w:val="000000"/>
          <w:lang w:val="en-GB"/>
        </w:rPr>
        <w:t>.</w:t>
      </w:r>
      <w:r>
        <w:rPr>
          <w:rFonts w:ascii="Times New Roman" w:hAnsi="Times New Roman"/>
          <w:color w:val="000000"/>
          <w:lang w:val="en-GB"/>
        </w:rPr>
        <w:t xml:space="preserve"> The dynamic conditions of this coastal area make it particularly interesting as a study site for the characterisation of different OM classes and their interactions.</w:t>
      </w:r>
    </w:p>
    <w:p w14:paraId="7C2BDAF8" w14:textId="77777777" w:rsidR="00FE5FBD" w:rsidRPr="00A502B4" w:rsidRDefault="00FE5FBD"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2.1.1. Sampling and sample treatment</w:t>
      </w:r>
    </w:p>
    <w:p w14:paraId="397C5FAB" w14:textId="77777777" w:rsidR="00FE5FBD" w:rsidRPr="006E1463" w:rsidRDefault="00FE5FBD" w:rsidP="00D72BE1">
      <w:pPr>
        <w:spacing w:after="0" w:line="360" w:lineRule="auto"/>
        <w:rPr>
          <w:rFonts w:ascii="Times New Roman" w:hAnsi="Times New Roman"/>
          <w:color w:val="000000"/>
          <w:lang w:val="en-GB"/>
        </w:rPr>
      </w:pPr>
    </w:p>
    <w:p w14:paraId="736EFB75" w14:textId="1834F6FE" w:rsidR="00F80EDD" w:rsidRDefault="00656E83" w:rsidP="00D72BE1">
      <w:pPr>
        <w:spacing w:after="0" w:line="360" w:lineRule="auto"/>
        <w:rPr>
          <w:rFonts w:ascii="Times New Roman" w:hAnsi="Times New Roman"/>
          <w:color w:val="000000"/>
          <w:lang w:val="en-GB"/>
        </w:rPr>
      </w:pPr>
      <w:bookmarkStart w:id="7" w:name="_Hlk100040661"/>
      <w:r>
        <w:rPr>
          <w:rFonts w:ascii="Times New Roman" w:hAnsi="Times New Roman"/>
          <w:color w:val="000000"/>
          <w:lang w:val="en-GB"/>
        </w:rPr>
        <w:t xml:space="preserve">Sampling </w:t>
      </w:r>
      <w:r w:rsidR="0011217B" w:rsidRPr="006E1463">
        <w:rPr>
          <w:rFonts w:ascii="Times New Roman" w:hAnsi="Times New Roman"/>
          <w:color w:val="000000"/>
          <w:lang w:val="en-GB"/>
        </w:rPr>
        <w:t>was conducted</w:t>
      </w:r>
      <w:r>
        <w:rPr>
          <w:rFonts w:ascii="Times New Roman" w:hAnsi="Times New Roman"/>
          <w:color w:val="000000"/>
          <w:lang w:val="en-GB"/>
        </w:rPr>
        <w:t xml:space="preserve"> at nine stations</w:t>
      </w:r>
      <w:r w:rsidR="008A1E64">
        <w:rPr>
          <w:rFonts w:ascii="Times New Roman" w:hAnsi="Times New Roman"/>
          <w:color w:val="000000"/>
          <w:lang w:val="en-GB"/>
        </w:rPr>
        <w:t xml:space="preserve"> (Figure 1)</w:t>
      </w:r>
      <w:r w:rsidR="0011217B" w:rsidRPr="006E1463">
        <w:rPr>
          <w:rFonts w:ascii="Times New Roman" w:hAnsi="Times New Roman"/>
          <w:color w:val="000000"/>
          <w:lang w:val="en-GB"/>
        </w:rPr>
        <w:t xml:space="preserve"> </w:t>
      </w:r>
      <w:r>
        <w:rPr>
          <w:rFonts w:ascii="Times New Roman" w:hAnsi="Times New Roman"/>
          <w:color w:val="000000"/>
          <w:lang w:val="en-GB"/>
        </w:rPr>
        <w:t>between October 15</w:t>
      </w:r>
      <w:r w:rsidRPr="00656E83">
        <w:rPr>
          <w:rFonts w:ascii="Times New Roman" w:hAnsi="Times New Roman"/>
          <w:color w:val="000000"/>
          <w:vertAlign w:val="superscript"/>
          <w:lang w:val="en-GB"/>
        </w:rPr>
        <w:t>th</w:t>
      </w:r>
      <w:r>
        <w:rPr>
          <w:rFonts w:ascii="Times New Roman" w:hAnsi="Times New Roman"/>
          <w:color w:val="000000"/>
          <w:lang w:val="en-GB"/>
        </w:rPr>
        <w:t xml:space="preserve"> and 16</w:t>
      </w:r>
      <w:r w:rsidRPr="00656E83">
        <w:rPr>
          <w:rFonts w:ascii="Times New Roman" w:hAnsi="Times New Roman"/>
          <w:color w:val="000000"/>
          <w:vertAlign w:val="superscript"/>
          <w:lang w:val="en-GB"/>
        </w:rPr>
        <w:t>th</w:t>
      </w:r>
      <w:r w:rsidR="0011217B" w:rsidRPr="006E1463">
        <w:rPr>
          <w:rFonts w:ascii="Times New Roman" w:hAnsi="Times New Roman"/>
          <w:color w:val="000000"/>
          <w:lang w:val="en-GB"/>
        </w:rPr>
        <w:t xml:space="preserve">, 2015. </w:t>
      </w:r>
      <w:r w:rsidR="008A1E64">
        <w:rPr>
          <w:rFonts w:ascii="Times New Roman" w:hAnsi="Times New Roman"/>
          <w:color w:val="000000"/>
          <w:lang w:val="en-GB"/>
        </w:rPr>
        <w:t>The exact locations of the stations, indicted by W1 – W9, are given in</w:t>
      </w:r>
      <w:r w:rsidR="008A1E64" w:rsidRPr="006E1463">
        <w:rPr>
          <w:rFonts w:ascii="Times New Roman" w:hAnsi="Times New Roman"/>
          <w:color w:val="000000"/>
          <w:lang w:val="en-GB"/>
        </w:rPr>
        <w:t xml:space="preserve"> Table S1.</w:t>
      </w:r>
      <w:r w:rsidR="008A1E64">
        <w:rPr>
          <w:rFonts w:ascii="Times New Roman" w:hAnsi="Times New Roman"/>
          <w:color w:val="000000"/>
          <w:lang w:val="en-GB"/>
        </w:rPr>
        <w:t xml:space="preserve"> </w:t>
      </w:r>
      <w:r w:rsidR="0011217B" w:rsidRPr="006E1463">
        <w:rPr>
          <w:rFonts w:ascii="Times New Roman" w:hAnsi="Times New Roman"/>
          <w:color w:val="000000"/>
          <w:lang w:val="en-GB"/>
        </w:rPr>
        <w:t xml:space="preserve">The ULW samples were collected </w:t>
      </w:r>
      <w:r>
        <w:rPr>
          <w:rFonts w:ascii="Times New Roman" w:hAnsi="Times New Roman"/>
          <w:color w:val="000000"/>
          <w:lang w:val="en-GB"/>
        </w:rPr>
        <w:t xml:space="preserve">from a depth of 1 m, </w:t>
      </w:r>
      <w:r w:rsidR="0011217B" w:rsidRPr="006E1463">
        <w:rPr>
          <w:rFonts w:ascii="Times New Roman" w:hAnsi="Times New Roman"/>
          <w:color w:val="000000"/>
          <w:lang w:val="en-GB"/>
        </w:rPr>
        <w:t xml:space="preserve">using a </w:t>
      </w:r>
      <w:r w:rsidR="005A5745">
        <w:rPr>
          <w:rFonts w:ascii="Times New Roman" w:hAnsi="Times New Roman"/>
          <w:color w:val="000000"/>
          <w:lang w:val="en-GB"/>
        </w:rPr>
        <w:t>10</w:t>
      </w:r>
      <w:r>
        <w:rPr>
          <w:rFonts w:ascii="Times New Roman" w:hAnsi="Times New Roman"/>
          <w:color w:val="000000"/>
          <w:lang w:val="en-GB"/>
        </w:rPr>
        <w:t xml:space="preserve"> L </w:t>
      </w:r>
      <w:r w:rsidR="0011217B" w:rsidRPr="006E1463">
        <w:rPr>
          <w:rFonts w:ascii="Times New Roman" w:hAnsi="Times New Roman"/>
          <w:color w:val="000000"/>
          <w:lang w:val="en-GB"/>
        </w:rPr>
        <w:t xml:space="preserve">Niskin water sampler, while the SML samples were collected using a 50 x 50 cm stainless steel Garret net, </w:t>
      </w:r>
      <w:r w:rsidR="0011217B" w:rsidRPr="003C0D23">
        <w:rPr>
          <w:rFonts w:ascii="Times New Roman" w:hAnsi="Times New Roman"/>
          <w:color w:val="000000"/>
          <w:lang w:val="en-GB"/>
        </w:rPr>
        <w:t>mesh size 18</w:t>
      </w:r>
      <w:r w:rsidR="0076081A" w:rsidRPr="003C0D23">
        <w:rPr>
          <w:rFonts w:ascii="Times New Roman" w:hAnsi="Times New Roman"/>
          <w:color w:val="000000"/>
          <w:lang w:val="en-GB"/>
        </w:rPr>
        <w:t xml:space="preserve"> (a wire thickness 0.36 mm and the mesh eye size 1 mm)</w:t>
      </w:r>
      <w:r w:rsidR="0011217B" w:rsidRPr="003C0D23">
        <w:rPr>
          <w:rFonts w:ascii="Times New Roman" w:hAnsi="Times New Roman"/>
          <w:color w:val="000000"/>
          <w:lang w:val="en-GB"/>
        </w:rPr>
        <w:t>, which approximates the thickness of the collected SML to 500 µm.</w:t>
      </w:r>
      <w:bookmarkEnd w:id="7"/>
      <w:r w:rsidR="0011217B" w:rsidRPr="003C0D23">
        <w:rPr>
          <w:rFonts w:ascii="Times New Roman" w:hAnsi="Times New Roman"/>
          <w:color w:val="000000"/>
          <w:lang w:val="en-GB"/>
        </w:rPr>
        <w:t xml:space="preserve"> The SML sampling procedure is described in detail in</w:t>
      </w:r>
      <w:r w:rsidR="0022219F" w:rsidRPr="003C0D23">
        <w:rPr>
          <w:rFonts w:ascii="Times New Roman" w:hAnsi="Times New Roman"/>
          <w:color w:val="000000"/>
          <w:lang w:val="en-GB"/>
        </w:rPr>
        <w:t xml:space="preserve"> </w:t>
      </w:r>
      <w:r w:rsidR="0022219F" w:rsidRPr="003C0D23">
        <w:rPr>
          <w:rFonts w:ascii="Times New Roman" w:hAnsi="Times New Roman"/>
          <w:noProof/>
          <w:color w:val="000000"/>
          <w:lang w:val="en-GB"/>
        </w:rPr>
        <w:t xml:space="preserve">Drozdowska et al. </w:t>
      </w:r>
      <w:r w:rsidR="00012D07" w:rsidRPr="003C0D23">
        <w:rPr>
          <w:rFonts w:ascii="Times New Roman" w:hAnsi="Times New Roman"/>
          <w:noProof/>
          <w:color w:val="000000"/>
          <w:lang w:val="en-GB"/>
        </w:rPr>
        <w:t>(</w:t>
      </w:r>
      <w:r w:rsidR="0022219F" w:rsidRPr="003C0D23">
        <w:rPr>
          <w:rFonts w:ascii="Times New Roman" w:hAnsi="Times New Roman"/>
          <w:noProof/>
          <w:color w:val="000000"/>
          <w:lang w:val="en-GB"/>
        </w:rPr>
        <w:t>2017</w:t>
      </w:r>
      <w:r w:rsidR="00012D07" w:rsidRPr="003C0D23">
        <w:rPr>
          <w:rFonts w:ascii="Times New Roman" w:hAnsi="Times New Roman"/>
          <w:noProof/>
          <w:color w:val="000000"/>
          <w:lang w:val="en-GB"/>
        </w:rPr>
        <w:t>)</w:t>
      </w:r>
      <w:r w:rsidR="00F56B73" w:rsidRPr="003C0D23">
        <w:rPr>
          <w:rFonts w:ascii="Times New Roman" w:hAnsi="Times New Roman"/>
          <w:noProof/>
          <w:color w:val="000000"/>
          <w:lang w:val="en-GB"/>
        </w:rPr>
        <w:t xml:space="preserve"> and in the Supplementary Information (Figure S1)</w:t>
      </w:r>
      <w:r w:rsidR="0022219F" w:rsidRPr="003C0D23">
        <w:rPr>
          <w:rFonts w:ascii="Times New Roman" w:hAnsi="Times New Roman"/>
          <w:color w:val="000000"/>
          <w:lang w:val="en-GB"/>
        </w:rPr>
        <w:t xml:space="preserve">. </w:t>
      </w:r>
      <w:r w:rsidR="0011217B" w:rsidRPr="003C0D23">
        <w:rPr>
          <w:rFonts w:ascii="Times New Roman" w:hAnsi="Times New Roman"/>
          <w:color w:val="000000"/>
          <w:lang w:val="en-GB"/>
        </w:rPr>
        <w:t xml:space="preserve">Briefly, samples were collected </w:t>
      </w:r>
      <w:r w:rsidR="00752896" w:rsidRPr="003C0D23">
        <w:rPr>
          <w:rFonts w:ascii="Times New Roman" w:hAnsi="Times New Roman"/>
          <w:color w:val="000000"/>
          <w:lang w:val="en-GB"/>
        </w:rPr>
        <w:t xml:space="preserve">from on board </w:t>
      </w:r>
      <w:r w:rsidR="0011217B" w:rsidRPr="003C0D23">
        <w:rPr>
          <w:rFonts w:ascii="Times New Roman" w:hAnsi="Times New Roman"/>
          <w:color w:val="000000"/>
          <w:lang w:val="en-GB"/>
        </w:rPr>
        <w:t>the R/V Oceania, by vertically immersing the screen and waiting for the microlayer to stabilize before carefully lifting</w:t>
      </w:r>
      <w:r w:rsidR="0011217B" w:rsidRPr="006E1463">
        <w:rPr>
          <w:rFonts w:ascii="Times New Roman" w:hAnsi="Times New Roman"/>
          <w:color w:val="000000"/>
          <w:lang w:val="en-GB"/>
        </w:rPr>
        <w:t xml:space="preserve"> the screen horizontally through the water surface at a speed of approximately 5 – 6 cm s</w:t>
      </w:r>
      <w:r w:rsidR="0011217B" w:rsidRPr="006E1463">
        <w:rPr>
          <w:rFonts w:ascii="Times New Roman" w:hAnsi="Times New Roman"/>
          <w:color w:val="000000"/>
          <w:vertAlign w:val="superscript"/>
          <w:lang w:val="en-GB"/>
        </w:rPr>
        <w:t>-1</w:t>
      </w:r>
      <w:r w:rsidR="0011217B" w:rsidRPr="006E1463">
        <w:rPr>
          <w:rFonts w:ascii="Times New Roman" w:hAnsi="Times New Roman"/>
          <w:color w:val="000000"/>
          <w:lang w:val="en-GB"/>
        </w:rPr>
        <w:t xml:space="preserve">. </w:t>
      </w:r>
      <w:bookmarkStart w:id="8" w:name="_Hlk100041597"/>
      <w:r w:rsidR="00FF6DA7" w:rsidRPr="00FF6DA7">
        <w:rPr>
          <w:rFonts w:ascii="Times New Roman" w:hAnsi="Times New Roman"/>
          <w:color w:val="000000"/>
          <w:lang w:val="en-GB"/>
        </w:rPr>
        <w:t xml:space="preserve">In windy conditions, it is necessary to </w:t>
      </w:r>
      <w:r w:rsidR="00E4260B">
        <w:rPr>
          <w:rFonts w:ascii="Times New Roman" w:hAnsi="Times New Roman"/>
          <w:color w:val="000000"/>
          <w:lang w:val="en-GB"/>
        </w:rPr>
        <w:t>hold</w:t>
      </w:r>
      <w:r w:rsidR="00FF6DA7" w:rsidRPr="00FF6DA7">
        <w:rPr>
          <w:rFonts w:ascii="Times New Roman" w:hAnsi="Times New Roman"/>
          <w:color w:val="000000"/>
          <w:lang w:val="en-GB"/>
        </w:rPr>
        <w:t xml:space="preserve"> the ship bow to wind, so </w:t>
      </w:r>
      <w:r w:rsidR="00E4260B">
        <w:rPr>
          <w:rFonts w:ascii="Times New Roman" w:hAnsi="Times New Roman"/>
          <w:color w:val="000000"/>
          <w:lang w:val="en-GB"/>
        </w:rPr>
        <w:t xml:space="preserve">that </w:t>
      </w:r>
      <w:r w:rsidR="00FF6DA7" w:rsidRPr="00FF6DA7">
        <w:rPr>
          <w:rFonts w:ascii="Times New Roman" w:hAnsi="Times New Roman"/>
          <w:color w:val="000000"/>
          <w:lang w:val="en-GB"/>
        </w:rPr>
        <w:t xml:space="preserve">the screw - astern and about 1 m below the water surface - is idling, i.e. spinning slowly, but this does not disturb the stability of the surface water amidships. Exceptionally, during water sampling on this cruise, in high wind conditions, the ship was oriented with its head to the wind to minimize disturbance of the wind field and potential contamination from the ship, while samples were collected from the bow (Sabbaghzadeh et al., 2017; Salter et al., 2011). The shape of the hull of r/y Oceania, tapering downwards, allows the surface water to be reached by the Garret Screen from a distance of </w:t>
      </w:r>
      <w:r w:rsidR="0060264E">
        <w:rPr>
          <w:rFonts w:ascii="Times New Roman" w:hAnsi="Times New Roman"/>
          <w:color w:val="000000"/>
          <w:lang w:val="en-GB"/>
        </w:rPr>
        <w:t>approximately</w:t>
      </w:r>
      <w:r w:rsidR="00FF6DA7" w:rsidRPr="00FF6DA7">
        <w:rPr>
          <w:rFonts w:ascii="Times New Roman" w:hAnsi="Times New Roman"/>
          <w:color w:val="000000"/>
          <w:lang w:val="en-GB"/>
        </w:rPr>
        <w:t xml:space="preserve"> 1 – 3 m from the ship's side, </w:t>
      </w:r>
      <w:r w:rsidR="0060264E">
        <w:rPr>
          <w:rFonts w:ascii="Times New Roman" w:hAnsi="Times New Roman"/>
          <w:color w:val="000000"/>
          <w:lang w:val="en-GB"/>
        </w:rPr>
        <w:t>further</w:t>
      </w:r>
      <w:r w:rsidR="00FF6DA7" w:rsidRPr="00FF6DA7">
        <w:rPr>
          <w:rFonts w:ascii="Times New Roman" w:hAnsi="Times New Roman"/>
          <w:color w:val="000000"/>
          <w:lang w:val="en-GB"/>
        </w:rPr>
        <w:t xml:space="preserve"> minimizing potential contamination.</w:t>
      </w:r>
      <w:bookmarkEnd w:id="8"/>
      <w:r w:rsidR="00752896">
        <w:rPr>
          <w:rFonts w:ascii="Times New Roman" w:hAnsi="Times New Roman"/>
          <w:color w:val="000000"/>
          <w:lang w:val="en-GB"/>
        </w:rPr>
        <w:t xml:space="preserve"> </w:t>
      </w:r>
      <w:r w:rsidR="0011217B" w:rsidRPr="006E1463">
        <w:rPr>
          <w:rFonts w:ascii="Times New Roman" w:hAnsi="Times New Roman"/>
          <w:color w:val="000000"/>
          <w:lang w:val="en-GB"/>
        </w:rPr>
        <w:t>The sample</w:t>
      </w:r>
      <w:r w:rsidR="00E90B1C">
        <w:rPr>
          <w:rFonts w:ascii="Times New Roman" w:hAnsi="Times New Roman"/>
          <w:color w:val="000000"/>
          <w:lang w:val="en-GB"/>
        </w:rPr>
        <w:t>s</w:t>
      </w:r>
      <w:r w:rsidR="0011217B" w:rsidRPr="006E1463">
        <w:rPr>
          <w:rFonts w:ascii="Times New Roman" w:hAnsi="Times New Roman"/>
          <w:color w:val="000000"/>
          <w:lang w:val="en-GB"/>
        </w:rPr>
        <w:t xml:space="preserve"> w</w:t>
      </w:r>
      <w:r w:rsidR="00E90B1C">
        <w:rPr>
          <w:rFonts w:ascii="Times New Roman" w:hAnsi="Times New Roman"/>
          <w:color w:val="000000"/>
          <w:lang w:val="en-GB"/>
        </w:rPr>
        <w:t>ere</w:t>
      </w:r>
      <w:r w:rsidR="0011217B" w:rsidRPr="006E1463">
        <w:rPr>
          <w:rFonts w:ascii="Times New Roman" w:hAnsi="Times New Roman"/>
          <w:color w:val="000000"/>
          <w:lang w:val="en-GB"/>
        </w:rPr>
        <w:t xml:space="preserve"> poured into polyethylene bottles through a special slit in the screen frame. Aliquots of the collected samples were used for the determination of SAS, which were determined on board immediately after sampling and without filtration. Aliquots collected for absorbance and fluorescence measurements were placed unfiltered in dark containers and stored at 4 °C until measurement within 48 h of sampling. Aliquots for particulate lipid measurements were first filtered through a metal mesh with a pore size of 200 µm to avoid sampling organisms larger than phytoplankton and large organic particles. Samples were then filt</w:t>
      </w:r>
      <w:r w:rsidR="009B08F4">
        <w:rPr>
          <w:rFonts w:ascii="Times New Roman" w:hAnsi="Times New Roman"/>
          <w:color w:val="000000"/>
          <w:lang w:val="en-GB"/>
        </w:rPr>
        <w:t>ered</w:t>
      </w:r>
      <w:r w:rsidR="0011217B" w:rsidRPr="006E1463">
        <w:rPr>
          <w:rFonts w:ascii="Times New Roman" w:hAnsi="Times New Roman"/>
          <w:color w:val="000000"/>
          <w:lang w:val="en-GB"/>
        </w:rPr>
        <w:t xml:space="preserve"> through glass </w:t>
      </w:r>
      <w:r w:rsidR="00821CEB" w:rsidRPr="006E1463">
        <w:rPr>
          <w:rFonts w:ascii="Times New Roman" w:hAnsi="Times New Roman"/>
          <w:color w:val="000000"/>
          <w:lang w:val="en-GB"/>
        </w:rPr>
        <w:t>fib</w:t>
      </w:r>
      <w:r w:rsidR="00821CEB">
        <w:rPr>
          <w:rFonts w:ascii="Times New Roman" w:hAnsi="Times New Roman"/>
          <w:color w:val="000000"/>
          <w:lang w:val="en-GB"/>
        </w:rPr>
        <w:t>re</w:t>
      </w:r>
      <w:r w:rsidR="0011217B" w:rsidRPr="006E1463">
        <w:rPr>
          <w:rFonts w:ascii="Times New Roman" w:hAnsi="Times New Roman"/>
          <w:color w:val="000000"/>
          <w:lang w:val="en-GB"/>
        </w:rPr>
        <w:t xml:space="preserve"> filters with </w:t>
      </w:r>
      <w:r w:rsidR="000C6600">
        <w:rPr>
          <w:rFonts w:ascii="Times New Roman" w:hAnsi="Times New Roman"/>
          <w:color w:val="000000"/>
          <w:lang w:val="en-GB"/>
        </w:rPr>
        <w:t xml:space="preserve">a </w:t>
      </w:r>
      <w:r w:rsidR="000C6600" w:rsidRPr="006E1463">
        <w:rPr>
          <w:rFonts w:ascii="Times New Roman" w:hAnsi="Times New Roman"/>
          <w:color w:val="000000"/>
          <w:lang w:val="en-GB"/>
        </w:rPr>
        <w:t xml:space="preserve">pore size </w:t>
      </w:r>
      <w:r w:rsidR="000C6600">
        <w:rPr>
          <w:rFonts w:ascii="Times New Roman" w:hAnsi="Times New Roman"/>
          <w:color w:val="000000"/>
          <w:lang w:val="en-GB"/>
        </w:rPr>
        <w:t xml:space="preserve">of </w:t>
      </w:r>
      <w:r w:rsidR="0011217B" w:rsidRPr="006E1463">
        <w:rPr>
          <w:rFonts w:ascii="Times New Roman" w:hAnsi="Times New Roman"/>
          <w:color w:val="000000"/>
          <w:lang w:val="en-GB"/>
        </w:rPr>
        <w:t xml:space="preserve">0.7 µm (GF/F Whatman, </w:t>
      </w:r>
      <w:r w:rsidR="00821CEB" w:rsidRPr="00821CEB">
        <w:rPr>
          <w:rFonts w:ascii="Times New Roman" w:hAnsi="Times New Roman"/>
          <w:color w:val="000000"/>
          <w:lang w:val="en-GB"/>
        </w:rPr>
        <w:t>Buckinghamshire</w:t>
      </w:r>
      <w:r w:rsidR="00821CEB">
        <w:rPr>
          <w:rFonts w:ascii="Times New Roman" w:hAnsi="Times New Roman"/>
          <w:color w:val="000000"/>
          <w:lang w:val="en-GB"/>
        </w:rPr>
        <w:t>,</w:t>
      </w:r>
      <w:r w:rsidR="00821CEB" w:rsidRPr="00821CEB">
        <w:rPr>
          <w:rFonts w:ascii="Times New Roman" w:hAnsi="Times New Roman"/>
          <w:color w:val="000000"/>
          <w:lang w:val="en-GB"/>
        </w:rPr>
        <w:t xml:space="preserve"> </w:t>
      </w:r>
      <w:r w:rsidR="0011217B" w:rsidRPr="006E1463">
        <w:rPr>
          <w:rFonts w:ascii="Times New Roman" w:hAnsi="Times New Roman"/>
          <w:color w:val="000000"/>
          <w:lang w:val="en-GB"/>
        </w:rPr>
        <w:t>UK)</w:t>
      </w:r>
      <w:r w:rsidR="000C6600">
        <w:rPr>
          <w:rFonts w:ascii="Times New Roman" w:hAnsi="Times New Roman"/>
          <w:color w:val="000000"/>
          <w:lang w:val="en-GB"/>
        </w:rPr>
        <w:t>. The</w:t>
      </w:r>
      <w:r w:rsidR="0011217B" w:rsidRPr="006E1463">
        <w:rPr>
          <w:rFonts w:ascii="Times New Roman" w:hAnsi="Times New Roman"/>
          <w:color w:val="000000"/>
          <w:lang w:val="en-GB"/>
        </w:rPr>
        <w:t xml:space="preserve"> filters were </w:t>
      </w:r>
      <w:r w:rsidR="000C6600">
        <w:rPr>
          <w:rFonts w:ascii="Times New Roman" w:hAnsi="Times New Roman"/>
          <w:color w:val="000000"/>
          <w:lang w:val="en-GB"/>
        </w:rPr>
        <w:t xml:space="preserve">then </w:t>
      </w:r>
      <w:r w:rsidR="0011217B" w:rsidRPr="006E1463">
        <w:rPr>
          <w:rFonts w:ascii="Times New Roman" w:hAnsi="Times New Roman"/>
          <w:color w:val="000000"/>
          <w:lang w:val="en-GB"/>
        </w:rPr>
        <w:t>placed in cryotubes</w:t>
      </w:r>
      <w:r w:rsidR="000C6600">
        <w:rPr>
          <w:rFonts w:ascii="Times New Roman" w:hAnsi="Times New Roman"/>
          <w:color w:val="000000"/>
          <w:lang w:val="en-GB"/>
        </w:rPr>
        <w:t>,</w:t>
      </w:r>
      <w:r w:rsidR="0011217B" w:rsidRPr="006E1463">
        <w:rPr>
          <w:rFonts w:ascii="Times New Roman" w:hAnsi="Times New Roman"/>
          <w:color w:val="000000"/>
          <w:lang w:val="en-GB"/>
        </w:rPr>
        <w:t xml:space="preserve"> frozen in liquid nitrogen and stored at -20 °C until analysis. Prior to use, the filters were pre-burned at 450 °C for 4 hours to remove possible organic contaminants. The same filter types and storage procedure were used </w:t>
      </w:r>
      <w:r w:rsidR="000C6600">
        <w:rPr>
          <w:rFonts w:ascii="Times New Roman" w:hAnsi="Times New Roman"/>
          <w:color w:val="000000"/>
          <w:lang w:val="en-GB"/>
        </w:rPr>
        <w:t>to collect the</w:t>
      </w:r>
      <w:r w:rsidR="0011217B" w:rsidRPr="006E1463">
        <w:rPr>
          <w:rFonts w:ascii="Times New Roman" w:hAnsi="Times New Roman"/>
          <w:color w:val="000000"/>
          <w:lang w:val="en-GB"/>
        </w:rPr>
        <w:t xml:space="preserve"> POC samples. All glassware used for filtration was washed with chromicsulfuric acid and rinsed with ultrapure water (Merck Millipore, </w:t>
      </w:r>
      <w:r w:rsidR="006A7307">
        <w:rPr>
          <w:rFonts w:ascii="Times New Roman" w:hAnsi="Times New Roman"/>
          <w:color w:val="000000"/>
          <w:lang w:val="en-GB"/>
        </w:rPr>
        <w:lastRenderedPageBreak/>
        <w:t xml:space="preserve">Burlington, </w:t>
      </w:r>
      <w:r w:rsidR="00A116F5" w:rsidRPr="006E1463">
        <w:rPr>
          <w:rFonts w:ascii="Times New Roman" w:hAnsi="Times New Roman"/>
          <w:color w:val="000000"/>
          <w:lang w:val="en-GB"/>
        </w:rPr>
        <w:t>Massachusetts</w:t>
      </w:r>
      <w:r w:rsidR="0011217B" w:rsidRPr="006E1463">
        <w:rPr>
          <w:rFonts w:ascii="Times New Roman" w:hAnsi="Times New Roman"/>
          <w:color w:val="000000"/>
          <w:lang w:val="en-GB"/>
        </w:rPr>
        <w:t xml:space="preserve">, USA) to avoid organic contaminants. Salinity and </w:t>
      </w:r>
      <w:r w:rsidR="006F44B3">
        <w:rPr>
          <w:rFonts w:ascii="Times New Roman" w:hAnsi="Times New Roman"/>
          <w:color w:val="000000"/>
          <w:lang w:val="en-GB"/>
        </w:rPr>
        <w:t xml:space="preserve">sea surface </w:t>
      </w:r>
      <w:r w:rsidR="0011217B" w:rsidRPr="006E1463">
        <w:rPr>
          <w:rFonts w:ascii="Times New Roman" w:hAnsi="Times New Roman"/>
          <w:color w:val="000000"/>
          <w:lang w:val="en-GB"/>
        </w:rPr>
        <w:t xml:space="preserve">temperature were measured during sampling </w:t>
      </w:r>
      <w:r w:rsidR="00A26EBC">
        <w:rPr>
          <w:rFonts w:ascii="Times New Roman" w:hAnsi="Times New Roman"/>
          <w:color w:val="000000"/>
          <w:lang w:val="en-GB"/>
        </w:rPr>
        <w:t xml:space="preserve">at a depth of 0.6 – 0.9 m, </w:t>
      </w:r>
      <w:r w:rsidR="0011217B" w:rsidRPr="006E1463">
        <w:rPr>
          <w:rFonts w:ascii="Times New Roman" w:hAnsi="Times New Roman"/>
          <w:color w:val="000000"/>
          <w:lang w:val="en-GB"/>
        </w:rPr>
        <w:t xml:space="preserve">using a CTD probe (SeaBird SBE 49, </w:t>
      </w:r>
      <w:r w:rsidR="00684036" w:rsidRPr="00652379">
        <w:rPr>
          <w:rFonts w:ascii="Times New Roman" w:hAnsi="Times New Roman"/>
          <w:color w:val="000000"/>
          <w:lang w:val="en-GB"/>
        </w:rPr>
        <w:t>Bellevue, Washington, USA</w:t>
      </w:r>
      <w:r w:rsidR="0011217B" w:rsidRPr="006E1463">
        <w:rPr>
          <w:rFonts w:ascii="Times New Roman" w:hAnsi="Times New Roman"/>
          <w:color w:val="000000"/>
          <w:lang w:val="en-GB"/>
        </w:rPr>
        <w:t>).</w:t>
      </w:r>
    </w:p>
    <w:p w14:paraId="03B1BDA1" w14:textId="77777777" w:rsidR="009374D7" w:rsidRPr="009374D7" w:rsidRDefault="009374D7" w:rsidP="009374D7">
      <w:pPr>
        <w:pStyle w:val="NoSpacing"/>
        <w:rPr>
          <w:lang w:val="en-GB" w:bidi="en-US"/>
        </w:rPr>
      </w:pPr>
    </w:p>
    <w:p w14:paraId="54C4825C" w14:textId="77777777" w:rsidR="00F80EDD" w:rsidRPr="006E1463" w:rsidRDefault="009374D7" w:rsidP="00A502B4">
      <w:pPr>
        <w:spacing w:after="0" w:line="360" w:lineRule="auto"/>
        <w:rPr>
          <w:rFonts w:ascii="Times New Roman" w:hAnsi="Times New Roman"/>
          <w:color w:val="000000"/>
          <w:lang w:val="en-GB"/>
        </w:rPr>
      </w:pPr>
      <w:r w:rsidRPr="006E1463">
        <w:rPr>
          <w:rFonts w:ascii="Times New Roman" w:hAnsi="Times New Roman"/>
          <w:noProof/>
          <w:color w:val="000000"/>
          <w:lang w:val="hr-HR" w:eastAsia="hr-HR" w:bidi="ar-SA"/>
        </w:rPr>
        <w:drawing>
          <wp:inline distT="0" distB="0" distL="0" distR="0" wp14:anchorId="5BEADDCD" wp14:editId="5C4BF8E8">
            <wp:extent cx="3418840" cy="2774950"/>
            <wp:effectExtent l="0" t="0" r="0" b="0"/>
            <wp:docPr id="49" name="Picture 1" descr="D:\Baltik lap\Towards finishing\Baltik m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ltik lap\Towards finishing\Baltik ms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8840" cy="2774950"/>
                    </a:xfrm>
                    <a:prstGeom prst="rect">
                      <a:avLst/>
                    </a:prstGeom>
                    <a:noFill/>
                    <a:ln>
                      <a:noFill/>
                    </a:ln>
                  </pic:spPr>
                </pic:pic>
              </a:graphicData>
            </a:graphic>
          </wp:inline>
        </w:drawing>
      </w:r>
    </w:p>
    <w:p w14:paraId="4F921A59" w14:textId="77777777" w:rsidR="003C0D2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t>Figure 1.</w:t>
      </w:r>
      <w:r w:rsidRPr="006E1463">
        <w:rPr>
          <w:rFonts w:ascii="Times New Roman" w:hAnsi="Times New Roman"/>
          <w:color w:val="000000"/>
          <w:lang w:val="en-GB"/>
        </w:rPr>
        <w:t xml:space="preserve"> Sampling stations</w:t>
      </w:r>
      <w:r>
        <w:rPr>
          <w:rFonts w:ascii="Times New Roman" w:hAnsi="Times New Roman"/>
          <w:color w:val="000000"/>
          <w:lang w:val="en-GB"/>
        </w:rPr>
        <w:t xml:space="preserve"> (W1 – W9)</w:t>
      </w:r>
      <w:r w:rsidRPr="006E1463">
        <w:rPr>
          <w:rFonts w:ascii="Times New Roman" w:hAnsi="Times New Roman"/>
          <w:color w:val="000000"/>
          <w:lang w:val="en-GB"/>
        </w:rPr>
        <w:t xml:space="preserve"> in the Gulf of Gdansk, the southern Baltic Sea. </w:t>
      </w:r>
      <w:r w:rsidRPr="00FF5CC2">
        <w:rPr>
          <w:rFonts w:ascii="Times New Roman" w:hAnsi="Times New Roman"/>
          <w:color w:val="000000"/>
          <w:lang w:val="en-GB"/>
        </w:rPr>
        <w:t xml:space="preserve">Map made </w:t>
      </w:r>
      <w:r>
        <w:rPr>
          <w:rFonts w:ascii="Times New Roman" w:hAnsi="Times New Roman"/>
          <w:color w:val="000000"/>
          <w:lang w:val="en-GB"/>
        </w:rPr>
        <w:t>with</w:t>
      </w:r>
      <w:r w:rsidRPr="00FF5CC2">
        <w:rPr>
          <w:rFonts w:ascii="Times New Roman" w:hAnsi="Times New Roman"/>
          <w:color w:val="000000"/>
          <w:lang w:val="en-GB"/>
        </w:rPr>
        <w:t xml:space="preserve"> QGIS (QGIS Development Team 2018; </w:t>
      </w:r>
      <w:r w:rsidRPr="008C5052">
        <w:rPr>
          <w:rFonts w:ascii="Times New Roman" w:hAnsi="Times New Roman"/>
          <w:lang w:val="en-GB"/>
        </w:rPr>
        <w:t>http://qgis.osgeo.org</w:t>
      </w:r>
      <w:r>
        <w:rPr>
          <w:rFonts w:ascii="Times New Roman" w:hAnsi="Times New Roman"/>
          <w:color w:val="000000"/>
          <w:lang w:val="en-GB"/>
        </w:rPr>
        <w:t>, accessed on November 12th, 2021</w:t>
      </w:r>
      <w:r w:rsidRPr="00FF5CC2">
        <w:rPr>
          <w:rFonts w:ascii="Times New Roman" w:hAnsi="Times New Roman"/>
          <w:color w:val="000000"/>
          <w:lang w:val="en-GB"/>
        </w:rPr>
        <w:t>).</w:t>
      </w:r>
    </w:p>
    <w:p w14:paraId="0773CDF0" w14:textId="77777777" w:rsidR="00DF5CC1" w:rsidRPr="00DF5CC1" w:rsidRDefault="00DF5CC1" w:rsidP="00A502B4">
      <w:pPr>
        <w:pStyle w:val="NoSpacing"/>
        <w:spacing w:line="360" w:lineRule="auto"/>
        <w:rPr>
          <w:lang w:val="en-GB" w:bidi="en-US"/>
        </w:rPr>
      </w:pPr>
    </w:p>
    <w:p w14:paraId="00B03307" w14:textId="77777777" w:rsidR="00DF5CC1" w:rsidRPr="00A502B4" w:rsidRDefault="00DF5CC1"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2.1.2. Statistical analysis</w:t>
      </w:r>
    </w:p>
    <w:p w14:paraId="02A247EC" w14:textId="77777777" w:rsidR="00A06BEE" w:rsidRPr="002C65DF" w:rsidRDefault="00A06BEE" w:rsidP="00A502B4">
      <w:pPr>
        <w:spacing w:after="0" w:line="360" w:lineRule="auto"/>
        <w:rPr>
          <w:rFonts w:ascii="Times New Roman" w:hAnsi="Times New Roman"/>
          <w:color w:val="000000"/>
          <w:lang w:val="en-GB"/>
        </w:rPr>
      </w:pPr>
    </w:p>
    <w:p w14:paraId="19406E47" w14:textId="61E6FD43" w:rsidR="00DF5CC1" w:rsidRDefault="00DF5CC1" w:rsidP="00CB11FF">
      <w:pPr>
        <w:pStyle w:val="NoSpacing"/>
        <w:spacing w:line="360" w:lineRule="auto"/>
        <w:rPr>
          <w:rFonts w:ascii="Times New Roman" w:hAnsi="Times New Roman"/>
          <w:color w:val="000000"/>
          <w:lang w:val="en-GB"/>
        </w:rPr>
      </w:pPr>
      <w:r w:rsidRPr="002C65DF">
        <w:rPr>
          <w:rFonts w:ascii="Times New Roman" w:hAnsi="Times New Roman"/>
          <w:color w:val="000000"/>
          <w:lang w:val="en-GB"/>
        </w:rPr>
        <w:t xml:space="preserve">Pearson’s correlation coefficient matrix was used to test correlations between different parameters, while </w:t>
      </w:r>
      <w:r w:rsidR="007B34A9" w:rsidRPr="002C65DF">
        <w:rPr>
          <w:rFonts w:ascii="Times New Roman" w:hAnsi="Times New Roman"/>
          <w:color w:val="000000"/>
          <w:lang w:val="en-GB"/>
        </w:rPr>
        <w:t>t</w:t>
      </w:r>
      <w:r w:rsidR="00A06BEE" w:rsidRPr="002C65DF">
        <w:rPr>
          <w:rFonts w:ascii="Times New Roman" w:hAnsi="Times New Roman"/>
          <w:color w:val="000000"/>
          <w:lang w:val="en-GB"/>
        </w:rPr>
        <w:t>wo</w:t>
      </w:r>
      <w:r w:rsidR="006B3531">
        <w:rPr>
          <w:rFonts w:ascii="Times New Roman" w:hAnsi="Times New Roman"/>
          <w:color w:val="000000"/>
          <w:lang w:val="en-GB"/>
        </w:rPr>
        <w:t>-</w:t>
      </w:r>
      <w:r w:rsidR="00A06BEE" w:rsidRPr="006B3531">
        <w:rPr>
          <w:rFonts w:ascii="Times New Roman" w:hAnsi="Times New Roman"/>
          <w:color w:val="000000"/>
          <w:lang w:val="en-GB"/>
        </w:rPr>
        <w:t>sample t-t</w:t>
      </w:r>
      <w:r w:rsidRPr="006B3531">
        <w:rPr>
          <w:rFonts w:ascii="Times New Roman" w:hAnsi="Times New Roman"/>
          <w:color w:val="000000"/>
          <w:lang w:val="en-GB"/>
        </w:rPr>
        <w:t>est w</w:t>
      </w:r>
      <w:r w:rsidR="007B34A9" w:rsidRPr="006B3531">
        <w:rPr>
          <w:rFonts w:ascii="Times New Roman" w:hAnsi="Times New Roman"/>
          <w:color w:val="000000"/>
          <w:lang w:val="en-GB"/>
        </w:rPr>
        <w:t>as</w:t>
      </w:r>
      <w:r w:rsidRPr="006B3531">
        <w:rPr>
          <w:rFonts w:ascii="Times New Roman" w:hAnsi="Times New Roman"/>
          <w:color w:val="000000"/>
          <w:lang w:val="en-GB"/>
        </w:rPr>
        <w:t xml:space="preserve"> used to test for significant differences between datasets</w:t>
      </w:r>
      <w:r w:rsidR="007B34A9" w:rsidRPr="006B3531">
        <w:rPr>
          <w:rFonts w:ascii="Times New Roman" w:hAnsi="Times New Roman"/>
          <w:color w:val="000000"/>
          <w:lang w:val="en-GB"/>
        </w:rPr>
        <w:t xml:space="preserve"> means</w:t>
      </w:r>
      <w:r w:rsidRPr="006B3531">
        <w:rPr>
          <w:rFonts w:ascii="Times New Roman" w:hAnsi="Times New Roman"/>
          <w:color w:val="000000"/>
          <w:lang w:val="en-GB"/>
        </w:rPr>
        <w:t>.</w:t>
      </w:r>
      <w:r w:rsidR="00A06BEE" w:rsidRPr="006B3531">
        <w:rPr>
          <w:rFonts w:ascii="Times New Roman" w:hAnsi="Times New Roman"/>
          <w:color w:val="000000"/>
          <w:lang w:val="en-GB"/>
        </w:rPr>
        <w:t xml:space="preserve"> Statistical analysis was done in </w:t>
      </w:r>
      <w:r w:rsidR="002C65DF" w:rsidRPr="008060FF">
        <w:rPr>
          <w:rFonts w:ascii="Times New Roman" w:eastAsia="AdvTimes" w:hAnsi="Times New Roman"/>
        </w:rPr>
        <w:t>Origin 7</w:t>
      </w:r>
      <w:r w:rsidR="002C65DF">
        <w:rPr>
          <w:rFonts w:ascii="Times New Roman" w:eastAsia="AdvTimes" w:hAnsi="Times New Roman"/>
        </w:rPr>
        <w:t xml:space="preserve"> (</w:t>
      </w:r>
      <w:r w:rsidR="002C65DF" w:rsidRPr="008060FF">
        <w:rPr>
          <w:rFonts w:ascii="Times New Roman" w:eastAsia="AdvTimes" w:hAnsi="Times New Roman"/>
        </w:rPr>
        <w:t>Origin Lab</w:t>
      </w:r>
      <w:r w:rsidR="002C65DF">
        <w:rPr>
          <w:rFonts w:ascii="Times New Roman" w:eastAsia="AdvTimes" w:hAnsi="Times New Roman"/>
        </w:rPr>
        <w:t>,</w:t>
      </w:r>
      <w:r w:rsidR="002C65DF" w:rsidRPr="00CB5173" w:rsidDel="00BA429B">
        <w:rPr>
          <w:rFonts w:ascii="Times New Roman" w:hAnsi="Times New Roman"/>
          <w:color w:val="000000"/>
          <w:lang w:val="en-GB"/>
        </w:rPr>
        <w:t xml:space="preserve"> </w:t>
      </w:r>
      <w:r w:rsidR="002C65DF">
        <w:rPr>
          <w:rFonts w:ascii="Times New Roman" w:hAnsi="Times New Roman"/>
          <w:color w:val="000000"/>
          <w:lang w:val="en-GB"/>
        </w:rPr>
        <w:t>USA).</w:t>
      </w:r>
    </w:p>
    <w:p w14:paraId="758EDBF0" w14:textId="77777777" w:rsidR="004A6D35" w:rsidRPr="00DF5CC1" w:rsidRDefault="004A6D35" w:rsidP="00CB11FF">
      <w:pPr>
        <w:pStyle w:val="NoSpacing"/>
        <w:spacing w:line="360" w:lineRule="auto"/>
        <w:rPr>
          <w:lang w:val="en-US" w:bidi="en-US"/>
        </w:rPr>
      </w:pPr>
    </w:p>
    <w:p w14:paraId="57D36B3D" w14:textId="77777777" w:rsidR="0011217B" w:rsidRDefault="0011217B" w:rsidP="00CB11FF">
      <w:pPr>
        <w:pStyle w:val="Heading3"/>
        <w:jc w:val="left"/>
      </w:pPr>
      <w:r w:rsidRPr="0086002C">
        <w:t>2.2. Organic matter analysis</w:t>
      </w:r>
    </w:p>
    <w:p w14:paraId="18489D51" w14:textId="77777777" w:rsidR="0011217B" w:rsidRPr="00A502B4" w:rsidRDefault="0011217B"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2.2.1. Particulate organic carbon analysis</w:t>
      </w:r>
    </w:p>
    <w:p w14:paraId="34C7F70E" w14:textId="77777777" w:rsidR="0011217B" w:rsidRPr="006E1463" w:rsidRDefault="0011217B" w:rsidP="00D72BE1">
      <w:pPr>
        <w:spacing w:after="0" w:line="360" w:lineRule="auto"/>
        <w:rPr>
          <w:rFonts w:ascii="Times New Roman" w:hAnsi="Times New Roman"/>
          <w:color w:val="000000"/>
          <w:lang w:val="en-GB"/>
        </w:rPr>
      </w:pPr>
    </w:p>
    <w:p w14:paraId="765DAAA0" w14:textId="77777777" w:rsidR="0011217B" w:rsidRPr="006E1463" w:rsidRDefault="0011217B" w:rsidP="00016C74">
      <w:pPr>
        <w:spacing w:after="0" w:line="360" w:lineRule="auto"/>
        <w:rPr>
          <w:rFonts w:ascii="Times New Roman" w:hAnsi="Times New Roman"/>
          <w:color w:val="000000"/>
          <w:lang w:val="en-GB"/>
        </w:rPr>
      </w:pPr>
      <w:r w:rsidRPr="006E1463">
        <w:rPr>
          <w:rFonts w:ascii="Times New Roman" w:hAnsi="Times New Roman"/>
          <w:color w:val="000000"/>
          <w:lang w:val="en-GB"/>
        </w:rPr>
        <w:t>POC was determined using a</w:t>
      </w:r>
      <w:r w:rsidR="00AA27DE">
        <w:rPr>
          <w:rFonts w:ascii="Times New Roman" w:hAnsi="Times New Roman"/>
          <w:color w:val="000000"/>
          <w:lang w:val="en-GB"/>
        </w:rPr>
        <w:t>n</w:t>
      </w:r>
      <w:r w:rsidRPr="006E1463">
        <w:rPr>
          <w:rFonts w:ascii="Times New Roman" w:hAnsi="Times New Roman"/>
          <w:color w:val="000000"/>
          <w:lang w:val="en-GB"/>
        </w:rPr>
        <w:t xml:space="preserve"> </w:t>
      </w:r>
      <w:r w:rsidR="00AA27DE" w:rsidRPr="006E1463">
        <w:rPr>
          <w:rFonts w:ascii="Times New Roman" w:hAnsi="Times New Roman"/>
          <w:color w:val="000000"/>
          <w:lang w:val="en-GB"/>
        </w:rPr>
        <w:t xml:space="preserve">SSM-5000A </w:t>
      </w:r>
      <w:r w:rsidRPr="006E1463">
        <w:rPr>
          <w:rFonts w:ascii="Times New Roman" w:hAnsi="Times New Roman"/>
          <w:color w:val="000000"/>
          <w:lang w:val="en-GB"/>
        </w:rPr>
        <w:t xml:space="preserve">solid sample module, connected to a TOC-VCPH (Shimadzu, Japan) carbon analyser calibrated with glucose. </w:t>
      </w:r>
      <w:r w:rsidR="00AA27DE">
        <w:rPr>
          <w:rFonts w:ascii="Times New Roman" w:hAnsi="Times New Roman"/>
          <w:color w:val="000000"/>
          <w:lang w:val="en-GB"/>
        </w:rPr>
        <w:t>S</w:t>
      </w:r>
      <w:r w:rsidRPr="006E1463">
        <w:rPr>
          <w:rFonts w:ascii="Times New Roman" w:hAnsi="Times New Roman"/>
          <w:color w:val="000000"/>
          <w:lang w:val="en-GB"/>
        </w:rPr>
        <w:t>amples were acidified with 2 mol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HCl, to remove the inorganic carbonate fraction, folded</w:t>
      </w:r>
      <w:r w:rsidR="00AA27DE">
        <w:rPr>
          <w:rFonts w:ascii="Times New Roman" w:hAnsi="Times New Roman"/>
          <w:color w:val="000000"/>
          <w:lang w:val="en-GB"/>
        </w:rPr>
        <w:t>,</w:t>
      </w:r>
      <w:r w:rsidRPr="006E1463">
        <w:rPr>
          <w:rFonts w:ascii="Times New Roman" w:hAnsi="Times New Roman"/>
          <w:color w:val="000000"/>
          <w:lang w:val="en-GB"/>
        </w:rPr>
        <w:t xml:space="preserve"> and </w:t>
      </w:r>
      <w:r w:rsidR="00AA27DE">
        <w:rPr>
          <w:rFonts w:ascii="Times New Roman" w:hAnsi="Times New Roman"/>
          <w:color w:val="000000"/>
          <w:lang w:val="en-GB"/>
        </w:rPr>
        <w:t>placed in</w:t>
      </w:r>
      <w:r w:rsidRPr="006E1463">
        <w:rPr>
          <w:rFonts w:ascii="Times New Roman" w:hAnsi="Times New Roman"/>
          <w:color w:val="000000"/>
          <w:lang w:val="en-GB"/>
        </w:rPr>
        <w:t xml:space="preserve"> alumina ceramic sample boats, </w:t>
      </w:r>
      <w:r w:rsidR="00AA27DE" w:rsidRPr="006E1463">
        <w:rPr>
          <w:rFonts w:ascii="Times New Roman" w:hAnsi="Times New Roman"/>
          <w:color w:val="000000"/>
          <w:lang w:val="en-GB"/>
        </w:rPr>
        <w:t>follow</w:t>
      </w:r>
      <w:r w:rsidR="00AA27DE">
        <w:rPr>
          <w:rFonts w:ascii="Times New Roman" w:hAnsi="Times New Roman"/>
          <w:color w:val="000000"/>
          <w:lang w:val="en-GB"/>
        </w:rPr>
        <w:t>ed by</w:t>
      </w:r>
      <w:r w:rsidR="00AA27DE" w:rsidRPr="006E1463">
        <w:rPr>
          <w:rFonts w:ascii="Times New Roman" w:hAnsi="Times New Roman"/>
          <w:color w:val="000000"/>
          <w:lang w:val="en-GB"/>
        </w:rPr>
        <w:t xml:space="preserve"> </w:t>
      </w:r>
      <w:r w:rsidRPr="006E1463">
        <w:rPr>
          <w:rFonts w:ascii="Times New Roman" w:hAnsi="Times New Roman"/>
          <w:color w:val="000000"/>
          <w:lang w:val="en-GB"/>
        </w:rPr>
        <w:t>drying at 50 °C</w:t>
      </w:r>
      <w:r w:rsidR="00012D07">
        <w:rPr>
          <w:rFonts w:ascii="Times New Roman" w:hAnsi="Times New Roman"/>
          <w:color w:val="000000"/>
          <w:lang w:val="en-GB"/>
        </w:rPr>
        <w:t xml:space="preserve"> </w:t>
      </w:r>
      <w:r w:rsidR="00AA27DE" w:rsidRPr="006E1463">
        <w:rPr>
          <w:rFonts w:ascii="Times New Roman" w:hAnsi="Times New Roman"/>
          <w:color w:val="000000"/>
          <w:lang w:val="en-GB"/>
        </w:rPr>
        <w:t xml:space="preserve">for 12 hours </w:t>
      </w:r>
      <w:r w:rsidR="00012D07">
        <w:rPr>
          <w:rFonts w:ascii="Times New Roman" w:hAnsi="Times New Roman"/>
          <w:color w:val="000000"/>
          <w:lang w:val="en-GB"/>
        </w:rPr>
        <w:t>(Ryba and Burgess, 2002; Giani et al., 2005)</w:t>
      </w:r>
      <w:r w:rsidRPr="006E1463">
        <w:rPr>
          <w:rFonts w:ascii="Times New Roman" w:hAnsi="Times New Roman"/>
          <w:color w:val="000000"/>
          <w:lang w:val="en-GB"/>
        </w:rPr>
        <w:t xml:space="preserve">. The samples were then burned at 900 °C in a </w:t>
      </w:r>
      <w:r w:rsidR="00AA27DE">
        <w:rPr>
          <w:rFonts w:ascii="Times New Roman" w:hAnsi="Times New Roman"/>
          <w:color w:val="000000"/>
          <w:lang w:val="en-GB"/>
        </w:rPr>
        <w:t>stream</w:t>
      </w:r>
      <w:r w:rsidR="00AA27DE" w:rsidRPr="006E1463">
        <w:rPr>
          <w:rFonts w:ascii="Times New Roman" w:hAnsi="Times New Roman"/>
          <w:color w:val="000000"/>
          <w:lang w:val="en-GB"/>
        </w:rPr>
        <w:t xml:space="preserve"> </w:t>
      </w:r>
      <w:r w:rsidRPr="006E1463">
        <w:rPr>
          <w:rFonts w:ascii="Times New Roman" w:hAnsi="Times New Roman"/>
          <w:color w:val="000000"/>
          <w:lang w:val="en-GB"/>
        </w:rPr>
        <w:t>of oxygen. The produced CO</w:t>
      </w:r>
      <w:r w:rsidRPr="006E1463">
        <w:rPr>
          <w:rFonts w:ascii="Times New Roman" w:hAnsi="Times New Roman"/>
          <w:color w:val="000000"/>
          <w:vertAlign w:val="subscript"/>
          <w:lang w:val="en-GB"/>
        </w:rPr>
        <w:t>2</w:t>
      </w:r>
      <w:r w:rsidRPr="006E1463">
        <w:rPr>
          <w:rFonts w:ascii="Times New Roman" w:hAnsi="Times New Roman"/>
          <w:color w:val="000000"/>
          <w:lang w:val="en-GB"/>
        </w:rPr>
        <w:t xml:space="preserve"> is detected </w:t>
      </w:r>
      <w:r w:rsidR="00AA27DE">
        <w:rPr>
          <w:rFonts w:ascii="Times New Roman" w:hAnsi="Times New Roman"/>
          <w:color w:val="000000"/>
          <w:lang w:val="en-GB"/>
        </w:rPr>
        <w:t>using</w:t>
      </w:r>
      <w:r w:rsidR="00AA27DE" w:rsidRPr="006E1463">
        <w:rPr>
          <w:rFonts w:ascii="Times New Roman" w:hAnsi="Times New Roman"/>
          <w:color w:val="000000"/>
          <w:lang w:val="en-GB"/>
        </w:rPr>
        <w:t xml:space="preserve"> </w:t>
      </w:r>
      <w:r w:rsidRPr="006E1463">
        <w:rPr>
          <w:rFonts w:ascii="Times New Roman" w:hAnsi="Times New Roman"/>
          <w:color w:val="000000"/>
          <w:lang w:val="en-GB"/>
        </w:rPr>
        <w:t>a non-dispersive infrared (NDIR) detector</w:t>
      </w:r>
      <w:r w:rsidR="00AA27DE">
        <w:rPr>
          <w:rFonts w:ascii="Times New Roman" w:hAnsi="Times New Roman"/>
          <w:color w:val="000000"/>
          <w:lang w:val="en-GB"/>
        </w:rPr>
        <w:t>.</w:t>
      </w:r>
      <w:r w:rsidRPr="006E1463">
        <w:rPr>
          <w:rFonts w:ascii="Times New Roman" w:hAnsi="Times New Roman"/>
          <w:color w:val="000000"/>
          <w:lang w:val="en-GB"/>
        </w:rPr>
        <w:t xml:space="preserve"> POC concentrations were corrected </w:t>
      </w:r>
      <w:r w:rsidR="00AA27DE" w:rsidRPr="00AA27DE">
        <w:rPr>
          <w:rFonts w:ascii="Times New Roman" w:hAnsi="Times New Roman"/>
          <w:color w:val="000000"/>
          <w:lang w:val="en-GB"/>
        </w:rPr>
        <w:t xml:space="preserve">using measurements </w:t>
      </w:r>
      <w:r w:rsidR="002C65DF">
        <w:rPr>
          <w:rFonts w:ascii="Times New Roman" w:hAnsi="Times New Roman"/>
          <w:color w:val="000000"/>
          <w:lang w:val="en-GB"/>
        </w:rPr>
        <w:t>of</w:t>
      </w:r>
      <w:r w:rsidRPr="006E1463">
        <w:rPr>
          <w:rFonts w:ascii="Times New Roman" w:hAnsi="Times New Roman"/>
          <w:color w:val="000000"/>
          <w:lang w:val="en-GB"/>
        </w:rPr>
        <w:t xml:space="preserve"> blank filter</w:t>
      </w:r>
      <w:r w:rsidR="00AA27DE">
        <w:rPr>
          <w:rFonts w:ascii="Times New Roman" w:hAnsi="Times New Roman"/>
          <w:color w:val="000000"/>
          <w:lang w:val="en-GB"/>
        </w:rPr>
        <w:t>s</w:t>
      </w:r>
      <w:r w:rsidRPr="006E1463">
        <w:rPr>
          <w:rFonts w:ascii="Times New Roman" w:hAnsi="Times New Roman"/>
          <w:color w:val="000000"/>
          <w:lang w:val="en-GB"/>
        </w:rPr>
        <w:t xml:space="preserve">, which </w:t>
      </w:r>
      <w:r w:rsidR="00AA27DE" w:rsidRPr="00AA27DE">
        <w:rPr>
          <w:rFonts w:ascii="Times New Roman" w:hAnsi="Times New Roman"/>
          <w:color w:val="000000"/>
          <w:lang w:val="en-GB"/>
        </w:rPr>
        <w:t>were subjected to</w:t>
      </w:r>
      <w:r w:rsidRPr="006E1463">
        <w:rPr>
          <w:rFonts w:ascii="Times New Roman" w:hAnsi="Times New Roman"/>
          <w:color w:val="000000"/>
          <w:lang w:val="en-GB"/>
        </w:rPr>
        <w:t xml:space="preserve"> the same procedure as the samples.</w:t>
      </w:r>
      <w:r w:rsidR="00016C74" w:rsidRPr="00016C74">
        <w:rPr>
          <w:rFonts w:ascii="Times New Roman" w:hAnsi="Times New Roman"/>
          <w:color w:val="000000"/>
          <w:lang w:val="en-GB"/>
        </w:rPr>
        <w:t xml:space="preserve"> </w:t>
      </w:r>
      <w:r w:rsidR="00016C74" w:rsidRPr="006E1463">
        <w:rPr>
          <w:rFonts w:ascii="Times New Roman" w:hAnsi="Times New Roman"/>
          <w:color w:val="000000"/>
          <w:lang w:val="en-GB"/>
        </w:rPr>
        <w:t xml:space="preserve">The value obtained by the average </w:t>
      </w:r>
      <w:r w:rsidR="00016C74" w:rsidRPr="006E1463">
        <w:rPr>
          <w:rFonts w:ascii="Times New Roman" w:hAnsi="Times New Roman"/>
          <w:color w:val="000000"/>
          <w:lang w:val="en-GB"/>
        </w:rPr>
        <w:lastRenderedPageBreak/>
        <w:t xml:space="preserve">filter blank, which includes the instrument blank, is 5 </w:t>
      </w:r>
      <w:r w:rsidR="00016C74">
        <w:rPr>
          <w:rFonts w:ascii="Times New Roman" w:hAnsi="Times New Roman"/>
          <w:color w:val="000000"/>
          <w:lang w:val="en-GB"/>
        </w:rPr>
        <w:t>µ</w:t>
      </w:r>
      <w:r w:rsidR="00016C74" w:rsidRPr="006E1463">
        <w:rPr>
          <w:rFonts w:ascii="Times New Roman" w:hAnsi="Times New Roman"/>
          <w:color w:val="000000"/>
          <w:lang w:val="en-GB"/>
        </w:rPr>
        <w:t>g C L</w:t>
      </w:r>
      <w:r w:rsidR="00016C74" w:rsidRPr="006E1463">
        <w:rPr>
          <w:rFonts w:ascii="Times New Roman" w:hAnsi="Times New Roman"/>
          <w:color w:val="000000"/>
          <w:vertAlign w:val="superscript"/>
          <w:lang w:val="en-GB"/>
        </w:rPr>
        <w:t>-1</w:t>
      </w:r>
      <w:r w:rsidR="00016C74">
        <w:rPr>
          <w:rFonts w:ascii="Times New Roman" w:hAnsi="Times New Roman"/>
          <w:color w:val="000000"/>
          <w:vertAlign w:val="superscript"/>
          <w:lang w:val="en-GB"/>
        </w:rPr>
        <w:t xml:space="preserve"> </w:t>
      </w:r>
      <w:r w:rsidRPr="006E1463">
        <w:rPr>
          <w:rFonts w:ascii="Times New Roman" w:hAnsi="Times New Roman"/>
          <w:color w:val="000000"/>
          <w:lang w:val="en-GB"/>
        </w:rPr>
        <w:t xml:space="preserve"> </w:t>
      </w:r>
      <w:r w:rsidR="008010E0">
        <w:rPr>
          <w:rFonts w:ascii="Times New Roman" w:hAnsi="Times New Roman"/>
          <w:color w:val="000000"/>
          <w:lang w:val="en-GB"/>
        </w:rPr>
        <w:t>The calibration was made with glucose standards in the range between 0 and 200 µg organic carbon</w:t>
      </w:r>
      <w:r w:rsidR="00016C74">
        <w:rPr>
          <w:rFonts w:ascii="Times New Roman" w:hAnsi="Times New Roman"/>
          <w:color w:val="000000"/>
          <w:lang w:val="en-GB"/>
        </w:rPr>
        <w:t xml:space="preserve">, </w:t>
      </w:r>
      <w:r w:rsidR="00B35FC7">
        <w:rPr>
          <w:rFonts w:ascii="Times New Roman" w:hAnsi="Times New Roman"/>
          <w:color w:val="000000"/>
          <w:lang w:val="en-GB"/>
        </w:rPr>
        <w:t>giving the</w:t>
      </w:r>
      <w:r w:rsidR="00016C74">
        <w:rPr>
          <w:rFonts w:ascii="Times New Roman" w:hAnsi="Times New Roman"/>
          <w:color w:val="000000"/>
          <w:lang w:val="en-GB"/>
        </w:rPr>
        <w:t xml:space="preserve"> reproducibility of</w:t>
      </w:r>
      <w:r w:rsidR="00B35FC7">
        <w:rPr>
          <w:rFonts w:ascii="Times New Roman" w:hAnsi="Times New Roman"/>
          <w:color w:val="000000"/>
          <w:lang w:val="en-GB"/>
        </w:rPr>
        <w:t xml:space="preserve"> the method of</w:t>
      </w:r>
      <w:r w:rsidR="00016C74">
        <w:rPr>
          <w:rFonts w:ascii="Times New Roman" w:hAnsi="Times New Roman"/>
          <w:color w:val="000000"/>
          <w:lang w:val="en-GB"/>
        </w:rPr>
        <w:t xml:space="preserve"> 3% and a limit of detection </w:t>
      </w:r>
      <w:r w:rsidR="00B35FC7">
        <w:rPr>
          <w:rFonts w:ascii="Times New Roman" w:hAnsi="Times New Roman"/>
          <w:color w:val="000000"/>
          <w:lang w:val="en-GB"/>
        </w:rPr>
        <w:t>of</w:t>
      </w:r>
      <w:r w:rsidR="00016C74">
        <w:rPr>
          <w:rFonts w:ascii="Times New Roman" w:hAnsi="Times New Roman"/>
          <w:color w:val="000000"/>
          <w:lang w:val="en-GB"/>
        </w:rPr>
        <w:t xml:space="preserve"> </w:t>
      </w:r>
      <w:r w:rsidR="00631267">
        <w:rPr>
          <w:rFonts w:ascii="Times New Roman" w:hAnsi="Times New Roman"/>
          <w:color w:val="000000"/>
          <w:lang w:val="en-GB"/>
        </w:rPr>
        <w:t>7</w:t>
      </w:r>
      <w:r w:rsidR="00016C74">
        <w:rPr>
          <w:rFonts w:ascii="Times New Roman" w:hAnsi="Times New Roman"/>
          <w:color w:val="000000"/>
          <w:lang w:val="en-GB"/>
        </w:rPr>
        <w:t xml:space="preserve"> </w:t>
      </w:r>
      <w:r w:rsidR="004029B2">
        <w:rPr>
          <w:rFonts w:ascii="Times New Roman" w:hAnsi="Times New Roman"/>
          <w:color w:val="000000"/>
          <w:lang w:val="en-GB"/>
        </w:rPr>
        <w:t>µ</w:t>
      </w:r>
      <w:r w:rsidR="00016C74">
        <w:rPr>
          <w:rFonts w:ascii="Times New Roman" w:hAnsi="Times New Roman"/>
          <w:color w:val="000000"/>
          <w:lang w:val="en-GB"/>
        </w:rPr>
        <w:t>g</w:t>
      </w:r>
      <w:r w:rsidR="0055729C">
        <w:rPr>
          <w:rFonts w:ascii="Times New Roman" w:hAnsi="Times New Roman"/>
          <w:color w:val="000000"/>
          <w:lang w:val="en-GB"/>
        </w:rPr>
        <w:t xml:space="preserve"> </w:t>
      </w:r>
      <w:r w:rsidR="0055729C" w:rsidRPr="006E1463">
        <w:rPr>
          <w:rFonts w:ascii="Times New Roman" w:hAnsi="Times New Roman"/>
          <w:color w:val="000000"/>
          <w:lang w:val="en-GB"/>
        </w:rPr>
        <w:t>C L</w:t>
      </w:r>
      <w:r w:rsidR="0055729C" w:rsidRPr="006E1463">
        <w:rPr>
          <w:rFonts w:ascii="Times New Roman" w:hAnsi="Times New Roman"/>
          <w:color w:val="000000"/>
          <w:vertAlign w:val="superscript"/>
          <w:lang w:val="en-GB"/>
        </w:rPr>
        <w:t>-1</w:t>
      </w:r>
      <w:r w:rsidR="0055729C">
        <w:rPr>
          <w:rFonts w:ascii="Times New Roman" w:hAnsi="Times New Roman"/>
          <w:color w:val="000000"/>
          <w:lang w:val="en-GB"/>
        </w:rPr>
        <w:t>.</w:t>
      </w:r>
      <w:r w:rsidR="00016C74">
        <w:rPr>
          <w:rFonts w:ascii="Times New Roman" w:hAnsi="Times New Roman"/>
          <w:color w:val="000000"/>
          <w:lang w:val="en-GB"/>
        </w:rPr>
        <w:t xml:space="preserve"> </w:t>
      </w:r>
    </w:p>
    <w:p w14:paraId="0267B477" w14:textId="77777777" w:rsidR="000033A9" w:rsidRPr="006E1463" w:rsidRDefault="000033A9" w:rsidP="00D72BE1">
      <w:pPr>
        <w:spacing w:after="0" w:line="360" w:lineRule="auto"/>
        <w:rPr>
          <w:rFonts w:ascii="Times New Roman" w:hAnsi="Times New Roman"/>
          <w:color w:val="000000"/>
          <w:lang w:val="en-GB"/>
        </w:rPr>
      </w:pPr>
    </w:p>
    <w:p w14:paraId="5F82E1EA" w14:textId="77777777" w:rsidR="0011217B" w:rsidRPr="00A502B4" w:rsidRDefault="0011217B"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2.2.2. Chromophoric and fluorescent organic matter analysis</w:t>
      </w:r>
    </w:p>
    <w:p w14:paraId="3B21C00D" w14:textId="77777777" w:rsidR="0011217B" w:rsidRPr="006E1463" w:rsidRDefault="0011217B" w:rsidP="00D72BE1">
      <w:pPr>
        <w:spacing w:after="0" w:line="360" w:lineRule="auto"/>
        <w:rPr>
          <w:rFonts w:ascii="Times New Roman" w:hAnsi="Times New Roman"/>
          <w:color w:val="000000"/>
          <w:lang w:val="en-GB"/>
        </w:rPr>
      </w:pPr>
      <w:r w:rsidRPr="006E1463">
        <w:rPr>
          <w:rFonts w:ascii="Times New Roman" w:hAnsi="Times New Roman"/>
          <w:color w:val="000000"/>
          <w:lang w:val="en-GB"/>
        </w:rPr>
        <w:t xml:space="preserve"> </w:t>
      </w:r>
    </w:p>
    <w:p w14:paraId="18D18EBD" w14:textId="77777777" w:rsidR="00E66C80" w:rsidRPr="006E1463" w:rsidRDefault="00631267" w:rsidP="00D72BE1">
      <w:pPr>
        <w:autoSpaceDE w:val="0"/>
        <w:autoSpaceDN w:val="0"/>
        <w:adjustRightInd w:val="0"/>
        <w:spacing w:after="0" w:line="360" w:lineRule="auto"/>
        <w:rPr>
          <w:rFonts w:ascii="Times New Roman" w:hAnsi="Times New Roman"/>
          <w:color w:val="000000"/>
          <w:lang w:val="en-GB"/>
        </w:rPr>
      </w:pPr>
      <w:bookmarkStart w:id="9" w:name="_Hlk100041785"/>
      <w:bookmarkStart w:id="10" w:name="_Hlk100044546"/>
      <w:r>
        <w:rPr>
          <w:rFonts w:ascii="Times New Roman" w:hAnsi="Times New Roman"/>
          <w:color w:val="000000"/>
          <w:lang w:val="en-GB"/>
        </w:rPr>
        <w:t>T</w:t>
      </w:r>
      <w:r w:rsidRPr="00FA3354">
        <w:rPr>
          <w:rFonts w:ascii="Times New Roman" w:hAnsi="Times New Roman"/>
          <w:color w:val="000000"/>
          <w:lang w:val="en-GB"/>
        </w:rPr>
        <w:t>he results of chromophoric and fluorescent analysis of organic matter have already been published in the study by Drozdowska et al. (2017), where more details on the analytical procedures can be found,</w:t>
      </w:r>
      <w:r>
        <w:rPr>
          <w:rFonts w:ascii="Times New Roman" w:hAnsi="Times New Roman"/>
          <w:color w:val="000000"/>
          <w:lang w:val="en-GB"/>
        </w:rPr>
        <w:t xml:space="preserve"> </w:t>
      </w:r>
      <w:r w:rsidRPr="00FA3354">
        <w:rPr>
          <w:rFonts w:ascii="Times New Roman" w:hAnsi="Times New Roman"/>
          <w:color w:val="000000"/>
          <w:lang w:val="en-GB"/>
        </w:rPr>
        <w:t>but are also briefly presented here</w:t>
      </w:r>
      <w:r w:rsidRPr="00A641CC">
        <w:rPr>
          <w:rFonts w:ascii="Times New Roman" w:hAnsi="Times New Roman"/>
          <w:color w:val="000000"/>
          <w:lang w:val="en-GB"/>
        </w:rPr>
        <w:t>.</w:t>
      </w:r>
      <w:bookmarkEnd w:id="9"/>
      <w:r w:rsidRPr="00A641CC">
        <w:rPr>
          <w:rFonts w:ascii="Times New Roman" w:hAnsi="Times New Roman"/>
          <w:color w:val="000000"/>
          <w:lang w:val="en-GB"/>
        </w:rPr>
        <w:t xml:space="preserve"> </w:t>
      </w:r>
      <w:bookmarkEnd w:id="10"/>
      <w:r w:rsidR="0011217B" w:rsidRPr="006E1463">
        <w:rPr>
          <w:rFonts w:ascii="Times New Roman" w:hAnsi="Times New Roman"/>
          <w:color w:val="000000"/>
          <w:lang w:val="en-GB"/>
        </w:rPr>
        <w:t>Samples collected for CDOM and FDOM analysis were not filtered</w:t>
      </w:r>
      <w:r>
        <w:rPr>
          <w:rFonts w:ascii="Times New Roman" w:hAnsi="Times New Roman"/>
          <w:color w:val="000000"/>
          <w:lang w:val="en-GB"/>
        </w:rPr>
        <w:t>,</w:t>
      </w:r>
      <w:r w:rsidR="0011217B" w:rsidRPr="006E1463">
        <w:rPr>
          <w:rFonts w:ascii="Times New Roman" w:hAnsi="Times New Roman"/>
          <w:color w:val="000000"/>
          <w:lang w:val="en-GB"/>
        </w:rPr>
        <w:t xml:space="preserve"> to characterise the total OM and to maintain consistency with SAS determination, as it is assumed that filtration removes a significant </w:t>
      </w:r>
      <w:r w:rsidR="00C00623">
        <w:rPr>
          <w:rFonts w:ascii="Times New Roman" w:hAnsi="Times New Roman"/>
          <w:color w:val="000000"/>
          <w:lang w:val="en-GB"/>
        </w:rPr>
        <w:t>amount</w:t>
      </w:r>
      <w:r w:rsidR="00C00623" w:rsidRPr="006E1463">
        <w:rPr>
          <w:rFonts w:ascii="Times New Roman" w:hAnsi="Times New Roman"/>
          <w:color w:val="000000"/>
          <w:lang w:val="en-GB"/>
        </w:rPr>
        <w:t xml:space="preserve"> </w:t>
      </w:r>
      <w:r w:rsidR="0011217B" w:rsidRPr="006E1463">
        <w:rPr>
          <w:rFonts w:ascii="Times New Roman" w:hAnsi="Times New Roman"/>
          <w:color w:val="000000"/>
          <w:lang w:val="en-GB"/>
        </w:rPr>
        <w:t>of surfactants</w:t>
      </w:r>
      <w:r w:rsidR="00E340D5" w:rsidRPr="006E1463">
        <w:rPr>
          <w:rFonts w:ascii="Times New Roman" w:hAnsi="Times New Roman"/>
          <w:color w:val="000000"/>
          <w:lang w:val="en-GB"/>
        </w:rPr>
        <w:t xml:space="preserve"> </w:t>
      </w:r>
      <w:r w:rsidR="00E340D5" w:rsidRPr="006E1463">
        <w:rPr>
          <w:rFonts w:ascii="Times New Roman" w:hAnsi="Times New Roman"/>
          <w:noProof/>
          <w:color w:val="000000"/>
          <w:lang w:val="en-GB"/>
        </w:rPr>
        <w:t>(Schneider-Zapp et al., 2013)</w:t>
      </w:r>
      <w:r w:rsidR="000A68C4" w:rsidRPr="006E1463">
        <w:rPr>
          <w:rFonts w:ascii="Times New Roman" w:hAnsi="Times New Roman"/>
          <w:color w:val="000000"/>
          <w:lang w:val="en-GB"/>
        </w:rPr>
        <w:t xml:space="preserve">. </w:t>
      </w:r>
      <w:r w:rsidR="0011217B" w:rsidRPr="006E1463">
        <w:rPr>
          <w:rFonts w:ascii="Times New Roman" w:hAnsi="Times New Roman"/>
          <w:color w:val="000000"/>
          <w:lang w:val="en-GB"/>
        </w:rPr>
        <w:t xml:space="preserve">In previous studies, we observed that the differences between filtered and non-filtered samples were in the short UV and far VIS </w:t>
      </w:r>
      <w:r w:rsidRPr="006E1463">
        <w:rPr>
          <w:rFonts w:ascii="Times New Roman" w:hAnsi="Times New Roman"/>
          <w:color w:val="000000"/>
          <w:lang w:val="en-GB"/>
        </w:rPr>
        <w:t>range</w:t>
      </w:r>
      <w:r>
        <w:rPr>
          <w:rFonts w:ascii="Times New Roman" w:hAnsi="Times New Roman"/>
          <w:color w:val="000000"/>
          <w:lang w:val="en-GB"/>
        </w:rPr>
        <w:t>s,</w:t>
      </w:r>
      <w:r w:rsidRPr="006E1463">
        <w:rPr>
          <w:rFonts w:ascii="Times New Roman" w:hAnsi="Times New Roman"/>
          <w:color w:val="000000"/>
          <w:lang w:val="en-GB"/>
        </w:rPr>
        <w:t xml:space="preserve"> but</w:t>
      </w:r>
      <w:r w:rsidR="0011217B" w:rsidRPr="006E1463">
        <w:rPr>
          <w:rFonts w:ascii="Times New Roman" w:hAnsi="Times New Roman"/>
          <w:color w:val="000000"/>
          <w:lang w:val="en-GB"/>
        </w:rPr>
        <w:t xml:space="preserve"> did not cause significant changes in the absorption indices, as these were based on the relative differences between the values of a</w:t>
      </w:r>
      <w:r w:rsidR="0011217B" w:rsidRPr="006E1463">
        <w:rPr>
          <w:rFonts w:ascii="Times New Roman" w:hAnsi="Times New Roman"/>
          <w:color w:val="000000"/>
          <w:vertAlign w:val="subscript"/>
          <w:lang w:val="en-GB"/>
        </w:rPr>
        <w:t>CDOM</w:t>
      </w:r>
      <w:r w:rsidR="0011217B" w:rsidRPr="006E1463">
        <w:rPr>
          <w:rFonts w:ascii="Times New Roman" w:hAnsi="Times New Roman"/>
          <w:color w:val="000000"/>
          <w:lang w:val="en-GB"/>
        </w:rPr>
        <w:t xml:space="preserve"> (λ) determined between the two affected ranges</w:t>
      </w:r>
      <w:r w:rsidR="00E340D5" w:rsidRPr="006E1463">
        <w:rPr>
          <w:rFonts w:ascii="Times New Roman" w:hAnsi="Times New Roman"/>
          <w:color w:val="000000"/>
          <w:lang w:val="en-GB"/>
        </w:rPr>
        <w:t xml:space="preserve"> </w:t>
      </w:r>
      <w:r w:rsidR="00901F9B" w:rsidRPr="006E1463">
        <w:rPr>
          <w:rFonts w:ascii="Times New Roman" w:hAnsi="Times New Roman"/>
          <w:noProof/>
          <w:color w:val="000000"/>
          <w:lang w:val="en-GB"/>
        </w:rPr>
        <w:t>(Drozdowska et al., 2017)</w:t>
      </w:r>
      <w:r w:rsidR="00E66C80" w:rsidRPr="006E1463">
        <w:rPr>
          <w:rFonts w:ascii="Times New Roman" w:hAnsi="Times New Roman"/>
          <w:color w:val="000000"/>
          <w:lang w:val="en-GB"/>
        </w:rPr>
        <w:t xml:space="preserve">. </w:t>
      </w:r>
      <w:r w:rsidR="0011217B" w:rsidRPr="006E1463">
        <w:rPr>
          <w:rFonts w:ascii="Times New Roman" w:hAnsi="Times New Roman"/>
          <w:color w:val="000000"/>
          <w:lang w:val="en-GB"/>
        </w:rPr>
        <w:t xml:space="preserve">Moreover, filtration affects the fluorescence spectral bands only for the protein-type T component, with the differences being the same for SML and ULW </w:t>
      </w:r>
      <w:r w:rsidR="00281F84" w:rsidRPr="006E1463">
        <w:rPr>
          <w:rFonts w:ascii="Times New Roman" w:hAnsi="Times New Roman"/>
          <w:noProof/>
          <w:color w:val="000000"/>
          <w:lang w:val="en-GB"/>
        </w:rPr>
        <w:t>(Drozdowska et al., 2018, 2017)</w:t>
      </w:r>
      <w:r w:rsidR="00E66C80" w:rsidRPr="006E1463">
        <w:rPr>
          <w:rFonts w:ascii="Times New Roman" w:hAnsi="Times New Roman"/>
          <w:color w:val="000000"/>
          <w:lang w:val="en-GB"/>
        </w:rPr>
        <w:t xml:space="preserve">. </w:t>
      </w:r>
      <w:r w:rsidR="0011217B" w:rsidRPr="006E1463">
        <w:rPr>
          <w:rFonts w:ascii="Times New Roman" w:hAnsi="Times New Roman"/>
          <w:color w:val="000000"/>
          <w:lang w:val="en-GB"/>
        </w:rPr>
        <w:t xml:space="preserve">Being aware of the limitations of the </w:t>
      </w:r>
      <w:r w:rsidR="00A04829" w:rsidRPr="00A04829">
        <w:rPr>
          <w:rFonts w:ascii="Times New Roman" w:hAnsi="Times New Roman"/>
          <w:color w:val="000000"/>
          <w:lang w:val="en-GB"/>
        </w:rPr>
        <w:t>methods used</w:t>
      </w:r>
      <w:r w:rsidR="0011217B" w:rsidRPr="006E1463">
        <w:rPr>
          <w:rFonts w:ascii="Times New Roman" w:hAnsi="Times New Roman"/>
          <w:color w:val="000000"/>
          <w:lang w:val="en-GB"/>
        </w:rPr>
        <w:t xml:space="preserve">, we decided to conduct </w:t>
      </w:r>
      <w:r w:rsidR="00A04829">
        <w:rPr>
          <w:rFonts w:ascii="Times New Roman" w:hAnsi="Times New Roman"/>
          <w:color w:val="000000"/>
          <w:lang w:val="en-GB"/>
        </w:rPr>
        <w:t xml:space="preserve">the </w:t>
      </w:r>
      <w:r w:rsidR="0011217B" w:rsidRPr="006E1463">
        <w:rPr>
          <w:rFonts w:ascii="Times New Roman" w:hAnsi="Times New Roman"/>
          <w:color w:val="000000"/>
          <w:lang w:val="en-GB"/>
        </w:rPr>
        <w:t xml:space="preserve">measurements on the unfiltered samples but </w:t>
      </w:r>
      <w:r w:rsidR="00A04829">
        <w:rPr>
          <w:rFonts w:ascii="Times New Roman" w:hAnsi="Times New Roman"/>
          <w:color w:val="000000"/>
          <w:lang w:val="en-GB"/>
        </w:rPr>
        <w:t xml:space="preserve">to </w:t>
      </w:r>
      <w:r w:rsidR="0011217B" w:rsidRPr="006E1463">
        <w:rPr>
          <w:rFonts w:ascii="Times New Roman" w:hAnsi="Times New Roman"/>
          <w:color w:val="000000"/>
          <w:lang w:val="en-GB"/>
        </w:rPr>
        <w:t>keep the CDOM and FDOM nomenclature</w:t>
      </w:r>
      <w:r w:rsidR="00DB2CDC" w:rsidRPr="006E1463">
        <w:rPr>
          <w:rFonts w:ascii="Times New Roman" w:hAnsi="Times New Roman"/>
          <w:color w:val="000000"/>
          <w:lang w:val="en-GB"/>
        </w:rPr>
        <w:t xml:space="preserve"> </w:t>
      </w:r>
      <w:r w:rsidR="00901F9B" w:rsidRPr="006E1463">
        <w:rPr>
          <w:rFonts w:ascii="Times New Roman" w:hAnsi="Times New Roman"/>
          <w:noProof/>
          <w:color w:val="000000"/>
          <w:lang w:val="en-GB"/>
        </w:rPr>
        <w:t>(Drozdowska and Józefowicz, 2015)</w:t>
      </w:r>
      <w:r w:rsidR="00DB2CDC" w:rsidRPr="006E1463">
        <w:rPr>
          <w:rFonts w:ascii="Times New Roman" w:hAnsi="Times New Roman"/>
          <w:color w:val="000000"/>
          <w:lang w:val="en-GB"/>
        </w:rPr>
        <w:t>.</w:t>
      </w:r>
      <w:r w:rsidR="00E66C80" w:rsidRPr="006E1463">
        <w:rPr>
          <w:rFonts w:ascii="Times New Roman" w:hAnsi="Times New Roman"/>
          <w:color w:val="000000"/>
          <w:lang w:val="en-GB"/>
        </w:rPr>
        <w:t xml:space="preserve">  </w:t>
      </w:r>
    </w:p>
    <w:p w14:paraId="3A5D9E3C" w14:textId="77777777" w:rsidR="000033A9" w:rsidRPr="006E1463" w:rsidRDefault="00631267" w:rsidP="00D72BE1">
      <w:pPr>
        <w:spacing w:after="0" w:line="360" w:lineRule="auto"/>
        <w:rPr>
          <w:rFonts w:ascii="Times New Roman" w:hAnsi="Times New Roman"/>
          <w:color w:val="000000"/>
          <w:lang w:val="en-GB"/>
        </w:rPr>
      </w:pPr>
      <w:bookmarkStart w:id="11" w:name="_Hlk100040863"/>
      <w:r>
        <w:rPr>
          <w:rFonts w:ascii="Times New Roman" w:hAnsi="Times New Roman"/>
          <w:color w:val="000000"/>
          <w:lang w:val="en-GB"/>
        </w:rPr>
        <w:t>A</w:t>
      </w:r>
      <w:r w:rsidRPr="00D05A80">
        <w:rPr>
          <w:rFonts w:ascii="Times New Roman" w:hAnsi="Times New Roman"/>
          <w:color w:val="000000"/>
          <w:lang w:val="en-GB"/>
        </w:rPr>
        <w:t>bsor</w:t>
      </w:r>
      <w:r>
        <w:rPr>
          <w:rFonts w:ascii="Times New Roman" w:hAnsi="Times New Roman"/>
          <w:color w:val="000000"/>
          <w:lang w:val="en-GB"/>
        </w:rPr>
        <w:t>bance</w:t>
      </w:r>
      <w:r w:rsidRPr="00D05A80">
        <w:rPr>
          <w:rFonts w:ascii="Times New Roman" w:hAnsi="Times New Roman"/>
          <w:color w:val="000000"/>
          <w:lang w:val="en-GB"/>
        </w:rPr>
        <w:t xml:space="preserve"> measurements were carried </w:t>
      </w:r>
      <w:r>
        <w:rPr>
          <w:rFonts w:ascii="Times New Roman" w:hAnsi="Times New Roman"/>
          <w:color w:val="000000"/>
          <w:lang w:val="en-GB"/>
        </w:rPr>
        <w:t>using a</w:t>
      </w:r>
      <w:r w:rsidRPr="00D05A80">
        <w:rPr>
          <w:rFonts w:ascii="Times New Roman" w:hAnsi="Times New Roman"/>
          <w:color w:val="000000"/>
          <w:lang w:val="en-GB"/>
        </w:rPr>
        <w:t xml:space="preserve"> Perkin Elmer Lambda 650 spectrophotometer</w:t>
      </w:r>
      <w:r w:rsidR="006A7307">
        <w:rPr>
          <w:rFonts w:ascii="Times New Roman" w:hAnsi="Times New Roman"/>
          <w:color w:val="000000"/>
          <w:lang w:val="en-GB"/>
        </w:rPr>
        <w:t xml:space="preserve"> (Perkin Elmer, Waltham, Massachusetts, USA)</w:t>
      </w:r>
      <w:r>
        <w:rPr>
          <w:rFonts w:ascii="Times New Roman" w:hAnsi="Times New Roman"/>
          <w:color w:val="000000"/>
          <w:lang w:val="en-GB"/>
        </w:rPr>
        <w:t>. The</w:t>
      </w:r>
      <w:r w:rsidRPr="00D05A80">
        <w:rPr>
          <w:rFonts w:ascii="Times New Roman" w:hAnsi="Times New Roman"/>
          <w:color w:val="000000"/>
          <w:lang w:val="en-GB"/>
        </w:rPr>
        <w:t xml:space="preserve"> uncertainty of the instrument </w:t>
      </w:r>
      <w:r>
        <w:rPr>
          <w:rFonts w:ascii="Times New Roman" w:hAnsi="Times New Roman"/>
          <w:color w:val="000000"/>
          <w:lang w:val="en-GB"/>
        </w:rPr>
        <w:t>for the absorbance signal is</w:t>
      </w:r>
      <w:r w:rsidRPr="00D05A80">
        <w:rPr>
          <w:rFonts w:ascii="Times New Roman" w:hAnsi="Times New Roman"/>
          <w:color w:val="000000"/>
          <w:lang w:val="en-GB"/>
        </w:rPr>
        <w:t xml:space="preserve"> less than 0.001. For a 10 cm path length quartz cuvette, the systematic error of the measurement on the spectrophotometer is constant and is 0.023 cm</w:t>
      </w:r>
      <w:r w:rsidRPr="00D05A80">
        <w:rPr>
          <w:rFonts w:ascii="Times New Roman" w:hAnsi="Times New Roman"/>
          <w:color w:val="000000"/>
          <w:vertAlign w:val="superscript"/>
          <w:lang w:val="en-GB"/>
        </w:rPr>
        <w:t>-1</w:t>
      </w:r>
      <w:r w:rsidRPr="00D05A80">
        <w:rPr>
          <w:rFonts w:ascii="Times New Roman" w:hAnsi="Times New Roman"/>
          <w:color w:val="000000"/>
          <w:lang w:val="en-GB"/>
        </w:rPr>
        <w:t>.</w:t>
      </w:r>
      <w:bookmarkEnd w:id="11"/>
      <w:r w:rsidRPr="006E1463">
        <w:rPr>
          <w:rFonts w:ascii="Times New Roman" w:hAnsi="Times New Roman"/>
          <w:color w:val="000000"/>
          <w:lang w:val="en-GB"/>
        </w:rPr>
        <w:t xml:space="preserve"> The recorded spectral r</w:t>
      </w:r>
      <w:r>
        <w:rPr>
          <w:rFonts w:ascii="Times New Roman" w:hAnsi="Times New Roman"/>
          <w:color w:val="000000"/>
          <w:lang w:val="en-GB"/>
        </w:rPr>
        <w:t>ange was between 240 and 700 nm using u</w:t>
      </w:r>
      <w:r w:rsidRPr="006E1463">
        <w:rPr>
          <w:rFonts w:ascii="Times New Roman" w:hAnsi="Times New Roman"/>
          <w:color w:val="000000"/>
          <w:lang w:val="en-GB"/>
        </w:rPr>
        <w:t xml:space="preserve">ltrapure water as the reference signal. </w:t>
      </w:r>
      <w:r w:rsidR="0011217B" w:rsidRPr="006E1463">
        <w:rPr>
          <w:rFonts w:ascii="Times New Roman" w:hAnsi="Times New Roman"/>
          <w:color w:val="000000"/>
          <w:lang w:val="en-GB"/>
        </w:rPr>
        <w:t>The recorded absorbance A(</w:t>
      </w:r>
      <w:r w:rsidR="0011217B" w:rsidRPr="006E1463">
        <w:rPr>
          <w:rFonts w:ascii="Symbol" w:hAnsi="Symbol"/>
          <w:color w:val="000000"/>
          <w:lang w:val="en-GB"/>
        </w:rPr>
        <w:t></w:t>
      </w:r>
      <w:r w:rsidR="0011217B" w:rsidRPr="006E1463">
        <w:rPr>
          <w:rFonts w:ascii="Times New Roman" w:hAnsi="Times New Roman"/>
          <w:color w:val="000000"/>
          <w:lang w:val="en-GB"/>
        </w:rPr>
        <w:t>) spectra were processed to obtain CDOM absorption coefficients curves a</w:t>
      </w:r>
      <w:r w:rsidR="0011217B" w:rsidRPr="006E1463">
        <w:rPr>
          <w:rFonts w:ascii="Times New Roman" w:hAnsi="Times New Roman"/>
          <w:color w:val="000000"/>
          <w:vertAlign w:val="subscript"/>
          <w:lang w:val="en-GB"/>
        </w:rPr>
        <w:t>CDOM</w:t>
      </w:r>
      <w:r w:rsidR="0011217B" w:rsidRPr="006E1463">
        <w:rPr>
          <w:rFonts w:ascii="Times New Roman" w:hAnsi="Times New Roman"/>
          <w:color w:val="000000"/>
          <w:lang w:val="en-GB"/>
        </w:rPr>
        <w:t>(</w:t>
      </w:r>
      <w:r w:rsidR="0011217B" w:rsidRPr="006E1463">
        <w:rPr>
          <w:rFonts w:ascii="Symbol" w:hAnsi="Symbol"/>
          <w:color w:val="000000"/>
          <w:lang w:val="en-GB"/>
        </w:rPr>
        <w:t></w:t>
      </w:r>
      <w:r w:rsidR="0011217B" w:rsidRPr="006E1463">
        <w:rPr>
          <w:rFonts w:ascii="Times New Roman" w:hAnsi="Times New Roman"/>
          <w:color w:val="000000"/>
          <w:lang w:val="en-GB"/>
        </w:rPr>
        <w:t>), m</w:t>
      </w:r>
      <w:r w:rsidR="0011217B" w:rsidRPr="006E1463">
        <w:rPr>
          <w:rFonts w:ascii="Times New Roman" w:hAnsi="Times New Roman"/>
          <w:color w:val="000000"/>
          <w:vertAlign w:val="superscript"/>
          <w:lang w:val="en-GB"/>
        </w:rPr>
        <w:t>-1</w:t>
      </w:r>
      <w:r w:rsidR="00054F64">
        <w:rPr>
          <w:rFonts w:ascii="Times New Roman" w:hAnsi="Times New Roman"/>
          <w:color w:val="000000"/>
          <w:lang w:val="en-GB"/>
        </w:rPr>
        <w:t xml:space="preserve">. </w:t>
      </w:r>
      <w:r w:rsidR="0011217B" w:rsidRPr="006E1463">
        <w:rPr>
          <w:rFonts w:ascii="Times New Roman" w:hAnsi="Times New Roman"/>
          <w:color w:val="000000"/>
          <w:lang w:val="en-GB"/>
        </w:rPr>
        <w:t>Next, a non-linear least-squares fitting method was applied</w:t>
      </w:r>
      <w:r w:rsidR="000033A9" w:rsidRPr="006E1463">
        <w:rPr>
          <w:rFonts w:ascii="Times New Roman" w:hAnsi="Times New Roman"/>
          <w:color w:val="000000"/>
          <w:lang w:val="en-GB"/>
        </w:rPr>
        <w:t xml:space="preserve"> </w:t>
      </w:r>
      <w:r w:rsidR="00901F9B" w:rsidRPr="006E1463">
        <w:rPr>
          <w:rFonts w:ascii="Times New Roman" w:hAnsi="Times New Roman"/>
          <w:noProof/>
          <w:color w:val="000000"/>
          <w:lang w:val="en-GB"/>
        </w:rPr>
        <w:t>(Stedmon et al., 2000)</w:t>
      </w:r>
      <w:r w:rsidR="000033A9" w:rsidRPr="006E1463">
        <w:rPr>
          <w:rFonts w:ascii="Times New Roman" w:hAnsi="Times New Roman"/>
          <w:color w:val="000000"/>
          <w:lang w:val="en-GB"/>
        </w:rPr>
        <w:t xml:space="preserve"> </w:t>
      </w:r>
      <w:r w:rsidR="0011217B" w:rsidRPr="006E1463">
        <w:rPr>
          <w:rFonts w:ascii="Times New Roman" w:hAnsi="Times New Roman"/>
          <w:color w:val="000000"/>
          <w:lang w:val="en-GB"/>
        </w:rPr>
        <w:t>to calculate the spectral slope coefficient (S</w:t>
      </w:r>
      <w:r w:rsidR="00664FD9" w:rsidRPr="00190E9E">
        <w:rPr>
          <w:rFonts w:ascii="Symbol" w:hAnsi="Symbol"/>
          <w:color w:val="000000"/>
          <w:vertAlign w:val="subscript"/>
          <w:lang w:val="en-GB"/>
        </w:rPr>
        <w:t></w:t>
      </w:r>
      <w:r w:rsidR="00664FD9">
        <w:rPr>
          <w:rFonts w:ascii="Symbol" w:hAnsi="Symbol"/>
          <w:color w:val="000000"/>
          <w:vertAlign w:val="subscript"/>
          <w:lang w:val="en-GB"/>
        </w:rPr>
        <w:t></w:t>
      </w:r>
      <w:r w:rsidR="00664FD9" w:rsidRPr="006E1463">
        <w:rPr>
          <w:rFonts w:ascii="Times New Roman" w:hAnsi="Times New Roman"/>
          <w:color w:val="000000"/>
          <w:lang w:val="en-GB"/>
        </w:rPr>
        <w:t xml:space="preserve">) </w:t>
      </w:r>
      <w:r w:rsidR="0011217B" w:rsidRPr="006E1463">
        <w:rPr>
          <w:rFonts w:ascii="Times New Roman" w:hAnsi="Times New Roman"/>
          <w:color w:val="000000"/>
          <w:lang w:val="en-GB"/>
        </w:rPr>
        <w:t>in two spectral ranges: 275– 295 and 350–400 nm, S</w:t>
      </w:r>
      <w:r w:rsidR="0011217B" w:rsidRPr="006E1463">
        <w:rPr>
          <w:rFonts w:ascii="Times New Roman" w:hAnsi="Times New Roman"/>
          <w:color w:val="000000"/>
          <w:vertAlign w:val="subscript"/>
          <w:lang w:val="en-GB"/>
        </w:rPr>
        <w:t>275-295</w:t>
      </w:r>
      <w:r w:rsidR="0011217B" w:rsidRPr="006E1463">
        <w:rPr>
          <w:rFonts w:ascii="Times New Roman" w:hAnsi="Times New Roman"/>
          <w:color w:val="000000"/>
          <w:lang w:val="en-GB"/>
        </w:rPr>
        <w:t xml:space="preserve"> and S</w:t>
      </w:r>
      <w:r w:rsidR="0011217B" w:rsidRPr="006E1463">
        <w:rPr>
          <w:rFonts w:ascii="Times New Roman" w:hAnsi="Times New Roman"/>
          <w:color w:val="000000"/>
          <w:vertAlign w:val="subscript"/>
          <w:lang w:val="en-GB"/>
        </w:rPr>
        <w:t>350-400</w:t>
      </w:r>
      <w:r w:rsidR="0011217B" w:rsidRPr="006E1463">
        <w:rPr>
          <w:rFonts w:ascii="Times New Roman" w:hAnsi="Times New Roman"/>
          <w:color w:val="000000"/>
          <w:lang w:val="en-GB"/>
        </w:rPr>
        <w:t>, respectively. The ratio of the two spectral slope coefficients, S</w:t>
      </w:r>
      <w:r w:rsidR="0011217B" w:rsidRPr="006E1463">
        <w:rPr>
          <w:rFonts w:ascii="Times New Roman" w:hAnsi="Times New Roman"/>
          <w:color w:val="000000"/>
          <w:vertAlign w:val="subscript"/>
          <w:lang w:val="en-GB"/>
        </w:rPr>
        <w:t>275-295</w:t>
      </w:r>
      <w:r w:rsidR="0011217B" w:rsidRPr="006E1463">
        <w:rPr>
          <w:rFonts w:ascii="Times New Roman" w:hAnsi="Times New Roman"/>
          <w:color w:val="000000"/>
          <w:lang w:val="en-GB"/>
        </w:rPr>
        <w:t xml:space="preserve"> and S</w:t>
      </w:r>
      <w:r w:rsidR="0011217B" w:rsidRPr="006E1463">
        <w:rPr>
          <w:rFonts w:ascii="Times New Roman" w:hAnsi="Times New Roman"/>
          <w:color w:val="000000"/>
          <w:vertAlign w:val="subscript"/>
          <w:lang w:val="en-GB"/>
        </w:rPr>
        <w:t>350-400</w:t>
      </w:r>
      <w:r w:rsidR="0011217B" w:rsidRPr="006E1463">
        <w:rPr>
          <w:rFonts w:ascii="Times New Roman" w:hAnsi="Times New Roman"/>
          <w:color w:val="000000"/>
          <w:lang w:val="en-GB"/>
        </w:rPr>
        <w:t>, is known as the slope ratio (S</w:t>
      </w:r>
      <w:r w:rsidR="0011217B" w:rsidRPr="006E1463">
        <w:rPr>
          <w:rFonts w:ascii="Times New Roman" w:hAnsi="Times New Roman"/>
          <w:color w:val="000000"/>
          <w:vertAlign w:val="subscript"/>
          <w:lang w:val="en-GB"/>
        </w:rPr>
        <w:t>R</w:t>
      </w:r>
      <w:r w:rsidR="0011217B" w:rsidRPr="006E1463">
        <w:rPr>
          <w:rFonts w:ascii="Times New Roman" w:hAnsi="Times New Roman"/>
          <w:color w:val="000000"/>
          <w:lang w:val="en-GB"/>
        </w:rPr>
        <w:t xml:space="preserve">) and </w:t>
      </w:r>
      <w:r w:rsidR="00AC5A24">
        <w:rPr>
          <w:rFonts w:ascii="Times New Roman" w:hAnsi="Times New Roman"/>
          <w:color w:val="000000"/>
          <w:lang w:val="en-GB"/>
        </w:rPr>
        <w:t>serves</w:t>
      </w:r>
      <w:r w:rsidR="002F6B69">
        <w:rPr>
          <w:rFonts w:ascii="Times New Roman" w:hAnsi="Times New Roman"/>
          <w:color w:val="000000"/>
          <w:lang w:val="en-GB"/>
        </w:rPr>
        <w:t xml:space="preserve"> as an indicator of </w:t>
      </w:r>
      <w:r w:rsidR="00AC5A24">
        <w:rPr>
          <w:rFonts w:ascii="Times New Roman" w:hAnsi="Times New Roman"/>
          <w:color w:val="000000"/>
          <w:lang w:val="en-GB"/>
        </w:rPr>
        <w:t>the</w:t>
      </w:r>
      <w:r w:rsidR="008D756E">
        <w:rPr>
          <w:rFonts w:ascii="Times New Roman" w:hAnsi="Times New Roman"/>
          <w:color w:val="000000"/>
          <w:lang w:val="en-GB"/>
        </w:rPr>
        <w:t xml:space="preserve"> </w:t>
      </w:r>
      <w:r w:rsidR="002F6B69">
        <w:rPr>
          <w:rFonts w:ascii="Times New Roman" w:hAnsi="Times New Roman"/>
          <w:color w:val="000000"/>
          <w:lang w:val="en-GB"/>
        </w:rPr>
        <w:t>molecular weight and source of OM</w:t>
      </w:r>
      <w:r w:rsidR="00AC5A24">
        <w:rPr>
          <w:rFonts w:ascii="Times New Roman" w:hAnsi="Times New Roman"/>
          <w:color w:val="000000"/>
          <w:lang w:val="en-GB"/>
        </w:rPr>
        <w:t>;</w:t>
      </w:r>
      <w:r w:rsidR="002F6B69">
        <w:rPr>
          <w:rFonts w:ascii="Times New Roman" w:hAnsi="Times New Roman"/>
          <w:color w:val="000000"/>
          <w:lang w:val="en-GB"/>
        </w:rPr>
        <w:t xml:space="preserve"> higher molecular weight molecules, which are </w:t>
      </w:r>
      <w:r w:rsidR="00AC5A24">
        <w:rPr>
          <w:rFonts w:ascii="Times New Roman" w:hAnsi="Times New Roman"/>
          <w:color w:val="000000"/>
          <w:lang w:val="en-GB"/>
        </w:rPr>
        <w:t>also</w:t>
      </w:r>
      <w:r w:rsidR="002F6B69">
        <w:rPr>
          <w:rFonts w:ascii="Times New Roman" w:hAnsi="Times New Roman"/>
          <w:color w:val="000000"/>
          <w:lang w:val="en-GB"/>
        </w:rPr>
        <w:t xml:space="preserve"> more likely to be of allochthonous origin, </w:t>
      </w:r>
      <w:r w:rsidR="00AC5A24">
        <w:rPr>
          <w:rFonts w:ascii="Times New Roman" w:hAnsi="Times New Roman"/>
          <w:color w:val="000000"/>
          <w:lang w:val="en-GB"/>
        </w:rPr>
        <w:t xml:space="preserve">have </w:t>
      </w:r>
      <w:r w:rsidR="002F6B69">
        <w:rPr>
          <w:rFonts w:ascii="Times New Roman" w:hAnsi="Times New Roman"/>
          <w:color w:val="000000"/>
          <w:lang w:val="en-GB"/>
        </w:rPr>
        <w:t>a low S</w:t>
      </w:r>
      <w:r w:rsidR="002F6B69" w:rsidRPr="002F6B69">
        <w:rPr>
          <w:rFonts w:ascii="Times New Roman" w:hAnsi="Times New Roman"/>
          <w:color w:val="000000"/>
          <w:vertAlign w:val="subscript"/>
          <w:lang w:val="en-GB"/>
        </w:rPr>
        <w:t>R</w:t>
      </w:r>
      <w:r w:rsidR="000033A9" w:rsidRPr="006E1463">
        <w:rPr>
          <w:rFonts w:ascii="Times New Roman" w:hAnsi="Times New Roman"/>
          <w:color w:val="000000"/>
          <w:lang w:val="en-GB"/>
        </w:rPr>
        <w:t xml:space="preserve"> </w:t>
      </w:r>
      <w:r w:rsidR="00901F9B" w:rsidRPr="006E1463">
        <w:rPr>
          <w:rFonts w:ascii="Times New Roman" w:hAnsi="Times New Roman"/>
          <w:noProof/>
          <w:color w:val="000000"/>
          <w:lang w:val="en-GB"/>
        </w:rPr>
        <w:t>(Helms et al., 2008)</w:t>
      </w:r>
      <w:r w:rsidR="000033A9" w:rsidRPr="006E1463">
        <w:rPr>
          <w:rFonts w:ascii="Times New Roman" w:hAnsi="Times New Roman"/>
          <w:color w:val="000000"/>
          <w:lang w:val="en-GB"/>
        </w:rPr>
        <w:t xml:space="preserve">. </w:t>
      </w:r>
      <w:bookmarkStart w:id="12" w:name="_Hlk100040880"/>
      <w:r w:rsidR="00D05A80">
        <w:rPr>
          <w:rFonts w:ascii="Times New Roman" w:hAnsi="Times New Roman"/>
          <w:color w:val="000000"/>
          <w:lang w:val="en-GB"/>
        </w:rPr>
        <w:t xml:space="preserve">The standard deviations (SD) </w:t>
      </w:r>
      <w:r w:rsidR="00D05A80" w:rsidRPr="00D05A80">
        <w:rPr>
          <w:rFonts w:ascii="Times New Roman" w:hAnsi="Times New Roman"/>
          <w:color w:val="000000"/>
          <w:lang w:val="en-GB"/>
        </w:rPr>
        <w:t xml:space="preserve">of </w:t>
      </w:r>
      <w:r w:rsidR="00D05A80" w:rsidRPr="006E1463">
        <w:rPr>
          <w:rFonts w:ascii="Times New Roman" w:hAnsi="Times New Roman"/>
          <w:color w:val="000000"/>
          <w:lang w:val="en-GB"/>
        </w:rPr>
        <w:t>S</w:t>
      </w:r>
      <w:r w:rsidR="00D05A80" w:rsidRPr="006E1463">
        <w:rPr>
          <w:rFonts w:ascii="Times New Roman" w:hAnsi="Times New Roman"/>
          <w:color w:val="000000"/>
          <w:vertAlign w:val="subscript"/>
          <w:lang w:val="en-GB"/>
        </w:rPr>
        <w:t>275-295</w:t>
      </w:r>
      <w:r w:rsidR="00D05A80" w:rsidRPr="006E1463">
        <w:rPr>
          <w:rFonts w:ascii="Times New Roman" w:hAnsi="Times New Roman"/>
          <w:color w:val="000000"/>
          <w:lang w:val="en-GB"/>
        </w:rPr>
        <w:t xml:space="preserve"> and S</w:t>
      </w:r>
      <w:r w:rsidR="00D05A80" w:rsidRPr="006E1463">
        <w:rPr>
          <w:rFonts w:ascii="Times New Roman" w:hAnsi="Times New Roman"/>
          <w:color w:val="000000"/>
          <w:vertAlign w:val="subscript"/>
          <w:lang w:val="en-GB"/>
        </w:rPr>
        <w:t>350-400</w:t>
      </w:r>
      <w:r w:rsidR="00D05A80" w:rsidRPr="00D05A80">
        <w:rPr>
          <w:rFonts w:ascii="Times New Roman" w:hAnsi="Times New Roman"/>
          <w:color w:val="000000"/>
          <w:lang w:val="en-GB"/>
        </w:rPr>
        <w:t xml:space="preserve"> did not exceed 2% of the</w:t>
      </w:r>
      <w:r w:rsidR="00D05A80">
        <w:rPr>
          <w:rFonts w:ascii="Times New Roman" w:hAnsi="Times New Roman"/>
          <w:color w:val="000000"/>
          <w:lang w:val="en-GB"/>
        </w:rPr>
        <w:t>ir values, while t</w:t>
      </w:r>
      <w:r w:rsidR="00D05A80" w:rsidRPr="00D05A80">
        <w:rPr>
          <w:rFonts w:ascii="Times New Roman" w:hAnsi="Times New Roman"/>
          <w:color w:val="000000"/>
          <w:lang w:val="en-GB"/>
        </w:rPr>
        <w:t>he maxim</w:t>
      </w:r>
      <w:r w:rsidR="00AC5A24">
        <w:rPr>
          <w:rFonts w:ascii="Times New Roman" w:hAnsi="Times New Roman"/>
          <w:color w:val="000000"/>
          <w:lang w:val="en-GB"/>
        </w:rPr>
        <w:t>um</w:t>
      </w:r>
      <w:r w:rsidR="00D05A80" w:rsidRPr="00D05A80">
        <w:rPr>
          <w:rFonts w:ascii="Times New Roman" w:hAnsi="Times New Roman"/>
          <w:color w:val="000000"/>
          <w:lang w:val="en-GB"/>
        </w:rPr>
        <w:t xml:space="preserve"> uncertainty of </w:t>
      </w:r>
      <w:r w:rsidR="00D05A80">
        <w:rPr>
          <w:rFonts w:ascii="Times New Roman" w:hAnsi="Times New Roman"/>
          <w:color w:val="000000"/>
          <w:lang w:val="en-GB"/>
        </w:rPr>
        <w:t xml:space="preserve">the </w:t>
      </w:r>
      <w:r w:rsidR="00D05A80" w:rsidRPr="00D05A80">
        <w:rPr>
          <w:rFonts w:ascii="Times New Roman" w:hAnsi="Times New Roman"/>
          <w:color w:val="000000"/>
          <w:lang w:val="en-GB"/>
        </w:rPr>
        <w:t>measurement and SD of S</w:t>
      </w:r>
      <w:r w:rsidR="00D05A80" w:rsidRPr="00D05A80">
        <w:rPr>
          <w:rFonts w:ascii="Times New Roman" w:hAnsi="Times New Roman"/>
          <w:color w:val="000000"/>
          <w:vertAlign w:val="subscript"/>
          <w:lang w:val="en-GB"/>
        </w:rPr>
        <w:t>R</w:t>
      </w:r>
      <w:r w:rsidR="00D05A80" w:rsidRPr="00D05A80">
        <w:rPr>
          <w:rFonts w:ascii="Times New Roman" w:hAnsi="Times New Roman"/>
          <w:color w:val="000000"/>
          <w:lang w:val="en-GB"/>
        </w:rPr>
        <w:t xml:space="preserve"> did not exceed 6% and 3%, respectively.</w:t>
      </w:r>
      <w:bookmarkEnd w:id="12"/>
    </w:p>
    <w:p w14:paraId="348C38C4" w14:textId="77777777" w:rsidR="000033A9" w:rsidRPr="006E1463" w:rsidRDefault="0011217B" w:rsidP="00D72BE1">
      <w:pPr>
        <w:spacing w:after="0" w:line="360" w:lineRule="auto"/>
        <w:rPr>
          <w:rFonts w:ascii="Times New Roman" w:hAnsi="Times New Roman"/>
          <w:color w:val="000000"/>
          <w:lang w:val="en-GB"/>
        </w:rPr>
      </w:pPr>
      <w:r w:rsidRPr="006E1463">
        <w:rPr>
          <w:rFonts w:ascii="Times New Roman" w:hAnsi="Times New Roman"/>
          <w:color w:val="000000"/>
          <w:lang w:val="en-GB"/>
        </w:rPr>
        <w:tab/>
        <w:t>Fluorescence excitation emission matrix (EEM) spectra were obtained using a Cary Eclipse scanning spectrofluorometer</w:t>
      </w:r>
      <w:r w:rsidR="002C1987">
        <w:rPr>
          <w:rFonts w:ascii="Times New Roman" w:hAnsi="Times New Roman"/>
          <w:color w:val="000000"/>
          <w:lang w:val="en-GB"/>
        </w:rPr>
        <w:t xml:space="preserve"> (Agilent Technologies, Santa Clara, California, USA)</w:t>
      </w:r>
      <w:r w:rsidRPr="006E1463">
        <w:rPr>
          <w:rFonts w:ascii="Times New Roman" w:hAnsi="Times New Roman"/>
          <w:color w:val="000000"/>
          <w:lang w:val="en-GB"/>
        </w:rPr>
        <w:t xml:space="preserve">, with samples measured in a 1 cm path length quartz cuvette. A series of emission scans (280–600 nm at 2 nm resolution) were measured over an excitation wavelength range between 250 and 500 nm in 10 nm </w:t>
      </w:r>
      <w:r w:rsidRPr="006E1463">
        <w:rPr>
          <w:rFonts w:ascii="Times New Roman" w:hAnsi="Times New Roman"/>
          <w:color w:val="000000"/>
          <w:lang w:val="en-GB"/>
        </w:rPr>
        <w:lastRenderedPageBreak/>
        <w:t>increments.</w:t>
      </w:r>
      <w:r w:rsidR="00E733E1" w:rsidRPr="00E733E1">
        <w:rPr>
          <w:rFonts w:ascii="Times New Roman" w:hAnsi="Times New Roman"/>
          <w:color w:val="000000"/>
          <w:lang w:val="en-GB"/>
        </w:rPr>
        <w:t xml:space="preserve"> </w:t>
      </w:r>
      <w:r w:rsidR="00E733E1" w:rsidRPr="00FF105E">
        <w:rPr>
          <w:rFonts w:ascii="Times New Roman" w:hAnsi="Times New Roman"/>
          <w:color w:val="000000"/>
          <w:lang w:val="en-GB"/>
        </w:rPr>
        <w:t>To standardize fluorescence intensity measurements to Raman units, RU</w:t>
      </w:r>
      <w:r w:rsidR="00E733E1">
        <w:rPr>
          <w:rFonts w:ascii="Times New Roman" w:hAnsi="Times New Roman"/>
          <w:color w:val="000000"/>
          <w:lang w:val="en-GB"/>
        </w:rPr>
        <w:t xml:space="preserve"> </w:t>
      </w:r>
      <w:r w:rsidR="00E733E1" w:rsidRPr="006E1463">
        <w:rPr>
          <w:rFonts w:ascii="Times New Roman" w:hAnsi="Times New Roman"/>
          <w:noProof/>
          <w:color w:val="000000"/>
          <w:lang w:val="en-GB"/>
        </w:rPr>
        <w:t>(Murphy et al., 2010)</w:t>
      </w:r>
      <w:r w:rsidR="00E733E1" w:rsidRPr="006E1463">
        <w:rPr>
          <w:rFonts w:ascii="Times New Roman" w:hAnsi="Times New Roman"/>
          <w:color w:val="000000"/>
          <w:lang w:val="en-GB"/>
        </w:rPr>
        <w:t>.</w:t>
      </w:r>
      <w:r w:rsidR="00E733E1" w:rsidRPr="00FF105E">
        <w:rPr>
          <w:rFonts w:ascii="Times New Roman" w:hAnsi="Times New Roman"/>
          <w:color w:val="000000"/>
          <w:lang w:val="en-GB"/>
        </w:rPr>
        <w:t xml:space="preserve">, i.e., to ensure comparability of results, a scan of ultrapure water is performed </w:t>
      </w:r>
      <w:r w:rsidR="00E733E1">
        <w:rPr>
          <w:rFonts w:ascii="Times New Roman" w:hAnsi="Times New Roman"/>
          <w:color w:val="000000"/>
          <w:lang w:val="en-GB"/>
        </w:rPr>
        <w:t xml:space="preserve">on </w:t>
      </w:r>
      <w:r w:rsidR="00E733E1" w:rsidRPr="00FF105E">
        <w:rPr>
          <w:rFonts w:ascii="Times New Roman" w:hAnsi="Times New Roman"/>
          <w:color w:val="000000"/>
          <w:lang w:val="en-GB"/>
        </w:rPr>
        <w:t xml:space="preserve">each measurement day. The EEM spectrum of the ultrapure water allows control </w:t>
      </w:r>
      <w:r w:rsidR="00E733E1">
        <w:rPr>
          <w:rFonts w:ascii="Times New Roman" w:hAnsi="Times New Roman"/>
          <w:color w:val="000000"/>
          <w:lang w:val="en-GB"/>
        </w:rPr>
        <w:t>of</w:t>
      </w:r>
      <w:r w:rsidR="00E733E1" w:rsidRPr="00FF105E">
        <w:rPr>
          <w:rFonts w:ascii="Times New Roman" w:hAnsi="Times New Roman"/>
          <w:color w:val="000000"/>
          <w:lang w:val="en-GB"/>
        </w:rPr>
        <w:t xml:space="preserve"> instrument parameters and to count the energy of the Raman scattering band between 375-425</w:t>
      </w:r>
      <w:r w:rsidR="00E733E1">
        <w:rPr>
          <w:rFonts w:ascii="Times New Roman" w:hAnsi="Times New Roman"/>
          <w:color w:val="000000"/>
          <w:lang w:val="en-GB"/>
        </w:rPr>
        <w:t xml:space="preserve"> </w:t>
      </w:r>
      <w:r w:rsidR="00E733E1" w:rsidRPr="00FF105E">
        <w:rPr>
          <w:rFonts w:ascii="Times New Roman" w:hAnsi="Times New Roman"/>
          <w:color w:val="000000"/>
          <w:lang w:val="en-GB"/>
        </w:rPr>
        <w:t>nm, for the spectrum excited at 350</w:t>
      </w:r>
      <w:r w:rsidR="00E733E1">
        <w:rPr>
          <w:rFonts w:ascii="Times New Roman" w:hAnsi="Times New Roman"/>
          <w:color w:val="000000"/>
          <w:lang w:val="en-GB"/>
        </w:rPr>
        <w:t xml:space="preserve"> </w:t>
      </w:r>
      <w:r w:rsidR="00E733E1" w:rsidRPr="00FF105E">
        <w:rPr>
          <w:rFonts w:ascii="Times New Roman" w:hAnsi="Times New Roman"/>
          <w:color w:val="000000"/>
          <w:lang w:val="en-GB"/>
        </w:rPr>
        <w:t xml:space="preserve">nm. The calculated value is used to correct the EEM spectra of </w:t>
      </w:r>
      <w:r w:rsidR="00E733E1">
        <w:rPr>
          <w:rFonts w:ascii="Times New Roman" w:hAnsi="Times New Roman"/>
          <w:color w:val="000000"/>
          <w:lang w:val="en-GB"/>
        </w:rPr>
        <w:t xml:space="preserve">the </w:t>
      </w:r>
      <w:r w:rsidR="00E733E1" w:rsidRPr="00FF105E">
        <w:rPr>
          <w:rFonts w:ascii="Times New Roman" w:hAnsi="Times New Roman"/>
          <w:color w:val="000000"/>
          <w:lang w:val="en-GB"/>
        </w:rPr>
        <w:t>SML and ULW water sample</w:t>
      </w:r>
      <w:r w:rsidR="00E733E1">
        <w:rPr>
          <w:rFonts w:ascii="Times New Roman" w:hAnsi="Times New Roman"/>
          <w:color w:val="000000"/>
          <w:lang w:val="en-GB"/>
        </w:rPr>
        <w:t>s</w:t>
      </w:r>
      <w:r w:rsidR="00E733E1" w:rsidRPr="00FF105E">
        <w:rPr>
          <w:rFonts w:ascii="Times New Roman" w:hAnsi="Times New Roman"/>
          <w:color w:val="000000"/>
          <w:lang w:val="en-GB"/>
        </w:rPr>
        <w:t>.</w:t>
      </w:r>
      <w:r w:rsidR="00FF105E" w:rsidRPr="00FF105E">
        <w:rPr>
          <w:rFonts w:ascii="Times New Roman" w:hAnsi="Times New Roman"/>
          <w:color w:val="000000"/>
          <w:lang w:val="en-GB"/>
        </w:rPr>
        <w:t xml:space="preserve"> </w:t>
      </w:r>
      <w:r w:rsidR="00750B5F" w:rsidRPr="006E1463">
        <w:rPr>
          <w:rFonts w:ascii="Times New Roman" w:hAnsi="Times New Roman"/>
          <w:color w:val="000000"/>
          <w:lang w:val="en-GB"/>
        </w:rPr>
        <w:t xml:space="preserve"> </w:t>
      </w:r>
    </w:p>
    <w:p w14:paraId="026A904C" w14:textId="77777777" w:rsidR="00711C38" w:rsidRPr="006E1463" w:rsidRDefault="00711C38" w:rsidP="00A502B4">
      <w:pPr>
        <w:spacing w:after="0" w:line="360" w:lineRule="auto"/>
        <w:rPr>
          <w:rFonts w:ascii="Times New Roman" w:hAnsi="Times New Roman"/>
          <w:color w:val="000000"/>
          <w:lang w:val="en-GB"/>
        </w:rPr>
      </w:pPr>
    </w:p>
    <w:p w14:paraId="4D2E65F6" w14:textId="77777777" w:rsidR="00711C38" w:rsidRPr="00A502B4" w:rsidRDefault="00711C38"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2.2.</w:t>
      </w:r>
      <w:r w:rsidR="00F110A4" w:rsidRPr="00A502B4">
        <w:rPr>
          <w:rFonts w:ascii="Times New Roman" w:hAnsi="Times New Roman"/>
          <w:i w:val="0"/>
          <w:color w:val="000000" w:themeColor="text1"/>
        </w:rPr>
        <w:t>3</w:t>
      </w:r>
      <w:r w:rsidRPr="00A502B4">
        <w:rPr>
          <w:rFonts w:ascii="Times New Roman" w:hAnsi="Times New Roman"/>
          <w:i w:val="0"/>
          <w:color w:val="000000" w:themeColor="text1"/>
        </w:rPr>
        <w:t>. Lipid analysis</w:t>
      </w:r>
    </w:p>
    <w:p w14:paraId="080A6A9C" w14:textId="77777777" w:rsidR="00E733E1" w:rsidRPr="00E733E1" w:rsidRDefault="00E733E1" w:rsidP="00A502B4">
      <w:pPr>
        <w:spacing w:after="0" w:line="360" w:lineRule="auto"/>
        <w:rPr>
          <w:lang w:val="en-GB"/>
        </w:rPr>
      </w:pPr>
    </w:p>
    <w:p w14:paraId="12A89DCB" w14:textId="0BCC9668" w:rsidR="00E733E1" w:rsidRDefault="00E733E1" w:rsidP="00A502B4">
      <w:pPr>
        <w:spacing w:after="0" w:line="360" w:lineRule="auto"/>
        <w:rPr>
          <w:rFonts w:ascii="Times New Roman" w:hAnsi="Times New Roman"/>
          <w:color w:val="000000"/>
          <w:lang w:val="en-GB"/>
        </w:rPr>
      </w:pPr>
      <w:r>
        <w:rPr>
          <w:rFonts w:ascii="Times New Roman" w:hAnsi="Times New Roman"/>
          <w:color w:val="000000"/>
          <w:lang w:val="en-GB"/>
        </w:rPr>
        <w:t>L</w:t>
      </w:r>
      <w:r w:rsidRPr="006E1463">
        <w:rPr>
          <w:rFonts w:ascii="Times New Roman" w:hAnsi="Times New Roman"/>
          <w:color w:val="000000"/>
          <w:lang w:val="en-GB"/>
        </w:rPr>
        <w:t xml:space="preserve">ipid material </w:t>
      </w:r>
      <w:r>
        <w:rPr>
          <w:rFonts w:ascii="Times New Roman" w:hAnsi="Times New Roman"/>
          <w:color w:val="000000"/>
          <w:lang w:val="en-GB"/>
        </w:rPr>
        <w:t xml:space="preserve">collected on GF/F filters </w:t>
      </w:r>
      <w:r w:rsidRPr="006E1463">
        <w:rPr>
          <w:rFonts w:ascii="Times New Roman" w:hAnsi="Times New Roman"/>
          <w:color w:val="000000"/>
          <w:lang w:val="en-GB"/>
        </w:rPr>
        <w:t>was extracted by using</w:t>
      </w:r>
      <w:r>
        <w:rPr>
          <w:rFonts w:ascii="Times New Roman" w:hAnsi="Times New Roman"/>
          <w:color w:val="000000"/>
          <w:lang w:val="en-GB"/>
        </w:rPr>
        <w:t xml:space="preserve"> a</w:t>
      </w:r>
      <w:r w:rsidRPr="006E1463">
        <w:rPr>
          <w:rFonts w:ascii="Times New Roman" w:hAnsi="Times New Roman"/>
          <w:color w:val="000000"/>
          <w:lang w:val="en-GB"/>
        </w:rPr>
        <w:t xml:space="preserve"> modified proce</w:t>
      </w:r>
      <w:r>
        <w:rPr>
          <w:rFonts w:ascii="Times New Roman" w:hAnsi="Times New Roman"/>
          <w:color w:val="000000"/>
          <w:lang w:val="en-GB"/>
        </w:rPr>
        <w:t>dure</w:t>
      </w:r>
      <w:r w:rsidRPr="006E1463">
        <w:rPr>
          <w:rFonts w:ascii="Times New Roman" w:hAnsi="Times New Roman"/>
          <w:color w:val="000000"/>
          <w:lang w:val="en-GB"/>
        </w:rPr>
        <w:t xml:space="preserve"> described by </w:t>
      </w:r>
      <w:r w:rsidRPr="006E1463">
        <w:rPr>
          <w:rFonts w:ascii="Times New Roman" w:hAnsi="Times New Roman"/>
          <w:noProof/>
          <w:color w:val="000000"/>
          <w:lang w:val="en-GB"/>
        </w:rPr>
        <w:t>Bligh and Dyer (1959</w:t>
      </w:r>
      <w:r w:rsidRPr="006E1463">
        <w:rPr>
          <w:rFonts w:ascii="Times New Roman" w:hAnsi="Times New Roman"/>
          <w:color w:val="000000"/>
          <w:lang w:val="en-GB"/>
        </w:rPr>
        <w:t>), with n-</w:t>
      </w:r>
      <w:r>
        <w:rPr>
          <w:rFonts w:ascii="Times New Roman" w:hAnsi="Times New Roman"/>
          <w:color w:val="000000"/>
          <w:lang w:val="en-GB"/>
        </w:rPr>
        <w:t>hexad</w:t>
      </w:r>
      <w:r w:rsidRPr="006E1463">
        <w:rPr>
          <w:rFonts w:ascii="Times New Roman" w:hAnsi="Times New Roman"/>
          <w:color w:val="000000"/>
          <w:lang w:val="en-GB"/>
        </w:rPr>
        <w:t>ecanone</w:t>
      </w:r>
      <w:r>
        <w:rPr>
          <w:rFonts w:ascii="Times New Roman" w:hAnsi="Times New Roman"/>
          <w:color w:val="000000"/>
          <w:lang w:val="en-GB"/>
        </w:rPr>
        <w:t xml:space="preserve"> added</w:t>
      </w:r>
      <w:r w:rsidRPr="006E1463">
        <w:rPr>
          <w:rFonts w:ascii="Times New Roman" w:hAnsi="Times New Roman"/>
          <w:color w:val="000000"/>
          <w:lang w:val="en-GB"/>
        </w:rPr>
        <w:t xml:space="preserve"> as an external standard</w:t>
      </w:r>
      <w:r>
        <w:rPr>
          <w:rFonts w:ascii="Times New Roman" w:hAnsi="Times New Roman"/>
          <w:color w:val="000000"/>
          <w:lang w:val="en-GB"/>
        </w:rPr>
        <w:t xml:space="preserve"> for calculating the</w:t>
      </w:r>
      <w:r w:rsidR="00315552">
        <w:rPr>
          <w:rFonts w:ascii="Times New Roman" w:hAnsi="Times New Roman"/>
          <w:color w:val="000000"/>
          <w:lang w:val="en-GB"/>
        </w:rPr>
        <w:t xml:space="preserve"> sample recovery</w:t>
      </w:r>
      <w:r w:rsidRPr="006E1463">
        <w:rPr>
          <w:rFonts w:ascii="Times New Roman" w:hAnsi="Times New Roman"/>
          <w:color w:val="000000"/>
          <w:lang w:val="en-GB"/>
        </w:rPr>
        <w:t xml:space="preserve">. </w:t>
      </w:r>
      <w:r>
        <w:rPr>
          <w:rFonts w:ascii="Times New Roman" w:hAnsi="Times New Roman"/>
          <w:color w:val="000000"/>
          <w:lang w:val="en-GB"/>
        </w:rPr>
        <w:t>The d</w:t>
      </w:r>
      <w:r w:rsidRPr="006E1463">
        <w:rPr>
          <w:rFonts w:ascii="Times New Roman" w:hAnsi="Times New Roman"/>
          <w:color w:val="000000"/>
          <w:lang w:val="en-GB"/>
        </w:rPr>
        <w:t xml:space="preserve">etailed procedure is explained in </w:t>
      </w:r>
      <w:r w:rsidRPr="006E1463">
        <w:rPr>
          <w:rFonts w:ascii="Times New Roman" w:hAnsi="Times New Roman"/>
          <w:noProof/>
          <w:color w:val="000000"/>
          <w:lang w:val="en-GB"/>
        </w:rPr>
        <w:t>Gašparović et al. (</w:t>
      </w:r>
      <w:r>
        <w:rPr>
          <w:rFonts w:ascii="Times New Roman" w:hAnsi="Times New Roman"/>
          <w:noProof/>
          <w:color w:val="000000"/>
          <w:lang w:val="en-GB"/>
        </w:rPr>
        <w:t>2014, 2015, 2017</w:t>
      </w:r>
      <w:r w:rsidRPr="006E1463">
        <w:rPr>
          <w:rFonts w:ascii="Times New Roman" w:hAnsi="Times New Roman"/>
          <w:noProof/>
          <w:color w:val="000000"/>
          <w:lang w:val="en-GB"/>
        </w:rPr>
        <w:t>)</w:t>
      </w:r>
      <w:r>
        <w:rPr>
          <w:rFonts w:ascii="Times New Roman" w:hAnsi="Times New Roman"/>
          <w:noProof/>
          <w:color w:val="000000"/>
          <w:lang w:val="en-GB"/>
        </w:rPr>
        <w:t xml:space="preserve"> and is briefly presented here. </w:t>
      </w:r>
      <w:r>
        <w:rPr>
          <w:rFonts w:ascii="Times New Roman" w:hAnsi="Times New Roman"/>
          <w:color w:val="000000"/>
          <w:lang w:val="en-GB"/>
        </w:rPr>
        <w:t xml:space="preserve">Lipid extracts were evaporated to dryness under a stream of nitrogen and redissolved in 14 to 20 µL of dichloromethane. Aliquots of 2 uL of the redissolved sample were spotted onto </w:t>
      </w:r>
      <w:r w:rsidRPr="00E26607">
        <w:rPr>
          <w:rFonts w:ascii="Times New Roman" w:hAnsi="Times New Roman"/>
          <w:color w:val="000000"/>
          <w:lang w:val="en-GB"/>
        </w:rPr>
        <w:t>silica-coated</w:t>
      </w:r>
      <w:r>
        <w:rPr>
          <w:rFonts w:ascii="Times New Roman" w:hAnsi="Times New Roman"/>
          <w:color w:val="000000"/>
          <w:lang w:val="en-GB"/>
        </w:rPr>
        <w:t xml:space="preserve"> </w:t>
      </w:r>
      <w:r w:rsidRPr="00E26607">
        <w:rPr>
          <w:rFonts w:ascii="Times New Roman" w:hAnsi="Times New Roman"/>
          <w:color w:val="000000"/>
          <w:lang w:val="en-GB"/>
        </w:rPr>
        <w:t>quartz thin-layer chromatography rods</w:t>
      </w:r>
      <w:r>
        <w:rPr>
          <w:rFonts w:ascii="Times New Roman" w:hAnsi="Times New Roman"/>
          <w:color w:val="000000"/>
          <w:lang w:val="en-GB"/>
        </w:rPr>
        <w:t>, where the samples were</w:t>
      </w:r>
      <w:r w:rsidRPr="006E1463">
        <w:rPr>
          <w:rFonts w:ascii="Times New Roman" w:hAnsi="Times New Roman"/>
          <w:color w:val="000000"/>
          <w:lang w:val="en-GB"/>
        </w:rPr>
        <w:t xml:space="preserve"> develop</w:t>
      </w:r>
      <w:r>
        <w:rPr>
          <w:rFonts w:ascii="Times New Roman" w:hAnsi="Times New Roman"/>
          <w:color w:val="000000"/>
          <w:lang w:val="en-GB"/>
        </w:rPr>
        <w:t>ed</w:t>
      </w:r>
      <w:r w:rsidRPr="006E1463">
        <w:rPr>
          <w:rFonts w:ascii="Times New Roman" w:hAnsi="Times New Roman"/>
          <w:color w:val="000000"/>
          <w:lang w:val="en-GB"/>
        </w:rPr>
        <w:t xml:space="preserve"> in a series of seven developing baths </w:t>
      </w:r>
      <w:r>
        <w:rPr>
          <w:rFonts w:ascii="Times New Roman" w:hAnsi="Times New Roman"/>
          <w:color w:val="000000"/>
          <w:lang w:val="en-GB"/>
        </w:rPr>
        <w:t>with</w:t>
      </w:r>
      <w:r w:rsidRPr="006E1463">
        <w:rPr>
          <w:rFonts w:ascii="Times New Roman" w:hAnsi="Times New Roman"/>
          <w:color w:val="000000"/>
          <w:lang w:val="en-GB"/>
        </w:rPr>
        <w:t xml:space="preserve"> a mixture of incr</w:t>
      </w:r>
      <w:r>
        <w:rPr>
          <w:rFonts w:ascii="Times New Roman" w:hAnsi="Times New Roman"/>
          <w:color w:val="000000"/>
          <w:lang w:val="en-GB"/>
        </w:rPr>
        <w:t>easingly polar organic solvents. After</w:t>
      </w:r>
      <w:r w:rsidRPr="006E1463">
        <w:rPr>
          <w:rFonts w:ascii="Times New Roman" w:hAnsi="Times New Roman"/>
          <w:color w:val="000000"/>
          <w:lang w:val="en-GB"/>
        </w:rPr>
        <w:t xml:space="preserve"> development, lipids were analysed </w:t>
      </w:r>
      <w:r>
        <w:rPr>
          <w:rFonts w:ascii="Times New Roman" w:hAnsi="Times New Roman"/>
          <w:color w:val="000000"/>
          <w:lang w:val="en-GB"/>
        </w:rPr>
        <w:t>using</w:t>
      </w:r>
      <w:r w:rsidRPr="006E1463">
        <w:rPr>
          <w:rFonts w:ascii="Times New Roman" w:hAnsi="Times New Roman"/>
          <w:color w:val="000000"/>
          <w:lang w:val="en-GB"/>
        </w:rPr>
        <w:t xml:space="preserve"> </w:t>
      </w:r>
      <w:r>
        <w:rPr>
          <w:rFonts w:ascii="Times New Roman" w:hAnsi="Times New Roman"/>
          <w:color w:val="000000"/>
          <w:lang w:val="en-GB"/>
        </w:rPr>
        <w:t xml:space="preserve">a </w:t>
      </w:r>
      <w:r w:rsidRPr="006E1463">
        <w:rPr>
          <w:rFonts w:ascii="Times New Roman" w:hAnsi="Times New Roman"/>
          <w:color w:val="000000"/>
          <w:lang w:val="en-GB"/>
        </w:rPr>
        <w:t xml:space="preserve">thin layer chromatography </w:t>
      </w:r>
      <w:r>
        <w:rPr>
          <w:rFonts w:ascii="Times New Roman" w:hAnsi="Times New Roman"/>
          <w:color w:val="000000"/>
          <w:lang w:val="en-GB"/>
        </w:rPr>
        <w:t xml:space="preserve">- </w:t>
      </w:r>
      <w:r w:rsidRPr="006E1463">
        <w:rPr>
          <w:rFonts w:ascii="Times New Roman" w:hAnsi="Times New Roman"/>
          <w:color w:val="000000"/>
          <w:lang w:val="en-GB"/>
        </w:rPr>
        <w:t xml:space="preserve">flame ionization detector (TLC-FID) Iatroscan MK-VI (Iatron, Japan) </w:t>
      </w:r>
      <w:r>
        <w:rPr>
          <w:rFonts w:ascii="Times New Roman" w:hAnsi="Times New Roman"/>
          <w:color w:val="000000"/>
          <w:lang w:val="en-GB"/>
        </w:rPr>
        <w:t>at a</w:t>
      </w:r>
      <w:r w:rsidRPr="006E1463">
        <w:rPr>
          <w:rFonts w:ascii="Times New Roman" w:hAnsi="Times New Roman"/>
          <w:color w:val="000000"/>
          <w:lang w:val="en-GB"/>
        </w:rPr>
        <w:t xml:space="preserve"> hydrogen flow </w:t>
      </w:r>
      <w:r>
        <w:rPr>
          <w:rFonts w:ascii="Times New Roman" w:hAnsi="Times New Roman"/>
          <w:color w:val="000000"/>
          <w:lang w:val="en-GB"/>
        </w:rPr>
        <w:t xml:space="preserve">rate </w:t>
      </w:r>
      <w:r w:rsidRPr="006E1463">
        <w:rPr>
          <w:rFonts w:ascii="Times New Roman" w:hAnsi="Times New Roman"/>
          <w:color w:val="000000"/>
          <w:lang w:val="en-GB"/>
        </w:rPr>
        <w:t>of 160 ml</w:t>
      </w:r>
      <w:r>
        <w:rPr>
          <w:rFonts w:ascii="Times New Roman" w:hAnsi="Times New Roman"/>
          <w:color w:val="000000"/>
          <w:lang w:val="en-GB"/>
        </w:rPr>
        <w:t xml:space="preserve"> </w:t>
      </w:r>
      <w:r w:rsidRPr="006E1463">
        <w:rPr>
          <w:rFonts w:ascii="Times New Roman" w:hAnsi="Times New Roman"/>
          <w:color w:val="000000"/>
          <w:lang w:val="en-GB"/>
        </w:rPr>
        <w:t>min</w:t>
      </w:r>
      <w:r>
        <w:rPr>
          <w:rFonts w:ascii="Times New Roman" w:hAnsi="Times New Roman"/>
          <w:color w:val="000000"/>
          <w:vertAlign w:val="superscript"/>
          <w:lang w:val="en-GB"/>
        </w:rPr>
        <w:t>-1</w:t>
      </w:r>
      <w:r w:rsidRPr="006E1463">
        <w:rPr>
          <w:rFonts w:ascii="Times New Roman" w:hAnsi="Times New Roman"/>
          <w:color w:val="000000"/>
          <w:lang w:val="en-GB"/>
        </w:rPr>
        <w:t xml:space="preserve"> and </w:t>
      </w:r>
      <w:r>
        <w:rPr>
          <w:rFonts w:ascii="Times New Roman" w:hAnsi="Times New Roman"/>
          <w:color w:val="000000"/>
          <w:lang w:val="en-GB"/>
        </w:rPr>
        <w:t xml:space="preserve">an </w:t>
      </w:r>
      <w:r w:rsidRPr="006E1463">
        <w:rPr>
          <w:rFonts w:ascii="Times New Roman" w:hAnsi="Times New Roman"/>
          <w:color w:val="000000"/>
          <w:lang w:val="en-GB"/>
        </w:rPr>
        <w:t xml:space="preserve">air flow </w:t>
      </w:r>
      <w:r>
        <w:rPr>
          <w:rFonts w:ascii="Times New Roman" w:hAnsi="Times New Roman"/>
          <w:color w:val="000000"/>
          <w:lang w:val="en-GB"/>
        </w:rPr>
        <w:t xml:space="preserve">rate </w:t>
      </w:r>
      <w:r w:rsidRPr="006E1463">
        <w:rPr>
          <w:rFonts w:ascii="Times New Roman" w:hAnsi="Times New Roman"/>
          <w:color w:val="000000"/>
          <w:lang w:val="en-GB"/>
        </w:rPr>
        <w:t>of 2000 ml</w:t>
      </w:r>
      <w:r>
        <w:rPr>
          <w:rFonts w:ascii="Times New Roman" w:hAnsi="Times New Roman"/>
          <w:color w:val="000000"/>
          <w:lang w:val="en-GB"/>
        </w:rPr>
        <w:t xml:space="preserve"> </w:t>
      </w:r>
      <w:r w:rsidRPr="006E1463">
        <w:rPr>
          <w:rFonts w:ascii="Times New Roman" w:hAnsi="Times New Roman"/>
          <w:color w:val="000000"/>
          <w:lang w:val="en-GB"/>
        </w:rPr>
        <w:t>min</w:t>
      </w:r>
      <w:r>
        <w:rPr>
          <w:rFonts w:ascii="Times New Roman" w:hAnsi="Times New Roman"/>
          <w:color w:val="000000"/>
          <w:vertAlign w:val="superscript"/>
          <w:lang w:val="en-GB"/>
        </w:rPr>
        <w:t>-1</w:t>
      </w:r>
      <w:r>
        <w:rPr>
          <w:rFonts w:ascii="Times New Roman" w:hAnsi="Times New Roman"/>
          <w:color w:val="000000"/>
          <w:lang w:val="en-GB"/>
        </w:rPr>
        <w:t>, and</w:t>
      </w:r>
      <w:r w:rsidRPr="00D00859">
        <w:rPr>
          <w:rFonts w:ascii="Times New Roman" w:hAnsi="Times New Roman"/>
          <w:color w:val="000000"/>
          <w:lang w:val="en-GB"/>
        </w:rPr>
        <w:t xml:space="preserve"> quantified using external calibration with lipid class standards.</w:t>
      </w:r>
      <w:r>
        <w:rPr>
          <w:rFonts w:ascii="Times New Roman" w:hAnsi="Times New Roman"/>
          <w:color w:val="000000"/>
          <w:lang w:val="en-GB"/>
        </w:rPr>
        <w:t xml:space="preserve"> Each sample was analysed between two and four times. </w:t>
      </w:r>
      <w:r w:rsidRPr="00375400">
        <w:rPr>
          <w:rFonts w:ascii="Times New Roman" w:hAnsi="Times New Roman"/>
          <w:color w:val="000000"/>
          <w:lang w:val="en-GB"/>
        </w:rPr>
        <w:t xml:space="preserve">Limits of detection (LODs) were determined as the analyte </w:t>
      </w:r>
      <w:r w:rsidRPr="0074003B">
        <w:rPr>
          <w:rFonts w:ascii="Times New Roman" w:hAnsi="Times New Roman"/>
          <w:color w:val="000000"/>
          <w:lang w:val="en-GB"/>
        </w:rPr>
        <w:t>concentrations corresponding</w:t>
      </w:r>
      <w:r>
        <w:rPr>
          <w:rFonts w:ascii="Times New Roman" w:hAnsi="Times New Roman"/>
          <w:color w:val="000000"/>
          <w:lang w:val="en-GB"/>
        </w:rPr>
        <w:t xml:space="preserve"> </w:t>
      </w:r>
      <w:r w:rsidRPr="00375400">
        <w:rPr>
          <w:rFonts w:ascii="Times New Roman" w:hAnsi="Times New Roman"/>
          <w:color w:val="000000"/>
          <w:lang w:val="en-GB"/>
        </w:rPr>
        <w:t xml:space="preserve">to </w:t>
      </w:r>
      <w:r>
        <w:rPr>
          <w:rFonts w:ascii="Times New Roman" w:hAnsi="Times New Roman"/>
          <w:color w:val="000000"/>
          <w:lang w:val="en-GB"/>
        </w:rPr>
        <w:t xml:space="preserve">a </w:t>
      </w:r>
      <w:r w:rsidRPr="00375400">
        <w:rPr>
          <w:rFonts w:ascii="Times New Roman" w:hAnsi="Times New Roman"/>
          <w:color w:val="000000"/>
          <w:lang w:val="en-GB"/>
        </w:rPr>
        <w:t>signal-to-noise (S/N) ratio of 3</w:t>
      </w:r>
      <w:r>
        <w:rPr>
          <w:rFonts w:ascii="Times New Roman" w:hAnsi="Times New Roman"/>
          <w:color w:val="000000"/>
          <w:lang w:val="en-GB"/>
        </w:rPr>
        <w:t>.</w:t>
      </w:r>
      <w:r w:rsidRPr="00375400">
        <w:rPr>
          <w:rFonts w:ascii="Times New Roman" w:hAnsi="Times New Roman"/>
          <w:color w:val="000000"/>
          <w:lang w:val="en-GB"/>
        </w:rPr>
        <w:t xml:space="preserve"> </w:t>
      </w:r>
      <w:r>
        <w:rPr>
          <w:rFonts w:ascii="Times New Roman" w:hAnsi="Times New Roman"/>
          <w:color w:val="000000"/>
          <w:lang w:val="en-GB"/>
        </w:rPr>
        <w:t xml:space="preserve">The lipid classes analysed and their LODs are as follows: </w:t>
      </w:r>
      <w:r w:rsidRPr="006E1463">
        <w:rPr>
          <w:rFonts w:ascii="Times New Roman" w:hAnsi="Times New Roman"/>
          <w:color w:val="000000"/>
          <w:lang w:val="en-GB"/>
        </w:rPr>
        <w:t>hydrocarbons (HC)</w:t>
      </w:r>
      <w:r>
        <w:rPr>
          <w:rFonts w:ascii="Times New Roman" w:hAnsi="Times New Roman"/>
          <w:color w:val="000000"/>
          <w:lang w:val="en-GB"/>
        </w:rPr>
        <w:t xml:space="preserve">, </w:t>
      </w:r>
      <w:r w:rsidRPr="00E733E1">
        <w:rPr>
          <w:rFonts w:ascii="Times New Roman" w:hAnsi="Times New Roman"/>
          <w:color w:val="000000"/>
          <w:lang w:val="en-GB"/>
        </w:rPr>
        <w:t xml:space="preserve">LOD = </w:t>
      </w:r>
      <w:r w:rsidRPr="00DA7B2B">
        <w:rPr>
          <w:rFonts w:ascii="Times New Roman" w:hAnsi="Times New Roman"/>
          <w:color w:val="000000"/>
          <w:lang w:val="en-GB"/>
        </w:rPr>
        <w:t>0.10</w:t>
      </w:r>
      <w:r w:rsidRPr="00720418">
        <w:rPr>
          <w:rFonts w:ascii="Times New Roman" w:hAnsi="Times New Roman"/>
          <w:color w:val="000000"/>
          <w:lang w:val="en-GB"/>
        </w:rPr>
        <w:t xml:space="preserve"> µg; triacylglycerols (TG), </w:t>
      </w:r>
      <w:r w:rsidRPr="00E733E1">
        <w:rPr>
          <w:rFonts w:ascii="Times New Roman" w:hAnsi="Times New Roman"/>
          <w:color w:val="000000"/>
          <w:lang w:val="en-GB"/>
        </w:rPr>
        <w:t xml:space="preserve">LOD = </w:t>
      </w:r>
      <w:r w:rsidRPr="00DA7B2B">
        <w:rPr>
          <w:rFonts w:ascii="Times New Roman" w:hAnsi="Times New Roman"/>
          <w:color w:val="000000"/>
          <w:lang w:val="en-GB"/>
        </w:rPr>
        <w:t>0.2</w:t>
      </w:r>
      <w:r w:rsidRPr="00720418">
        <w:rPr>
          <w:rFonts w:ascii="Times New Roman" w:hAnsi="Times New Roman"/>
          <w:color w:val="000000"/>
          <w:lang w:val="en-GB"/>
        </w:rPr>
        <w:t xml:space="preserve">0 µg, wax and steryl esters (WE), </w:t>
      </w:r>
      <w:r w:rsidRPr="00E733E1">
        <w:rPr>
          <w:rFonts w:ascii="Times New Roman" w:hAnsi="Times New Roman"/>
          <w:color w:val="000000"/>
          <w:lang w:val="en-GB"/>
        </w:rPr>
        <w:t xml:space="preserve">LOD = </w:t>
      </w:r>
      <w:r w:rsidRPr="00DA7B2B">
        <w:rPr>
          <w:rFonts w:ascii="Times New Roman" w:hAnsi="Times New Roman"/>
          <w:color w:val="000000"/>
          <w:lang w:val="en-GB"/>
        </w:rPr>
        <w:t>0.10</w:t>
      </w:r>
      <w:r w:rsidRPr="00720418">
        <w:rPr>
          <w:rFonts w:ascii="Times New Roman" w:hAnsi="Times New Roman"/>
          <w:color w:val="000000"/>
          <w:lang w:val="en-GB"/>
        </w:rPr>
        <w:t xml:space="preserve"> µg; fatty acid methyl esters (ME), </w:t>
      </w:r>
      <w:r w:rsidRPr="00E733E1">
        <w:rPr>
          <w:rFonts w:ascii="Times New Roman" w:hAnsi="Times New Roman"/>
          <w:color w:val="000000"/>
          <w:lang w:val="en-GB"/>
        </w:rPr>
        <w:t xml:space="preserve">LOD = </w:t>
      </w:r>
      <w:r w:rsidRPr="00DA7B2B">
        <w:rPr>
          <w:rFonts w:ascii="Times New Roman" w:hAnsi="Times New Roman"/>
          <w:color w:val="000000"/>
          <w:lang w:val="en-GB"/>
        </w:rPr>
        <w:t>0.2</w:t>
      </w:r>
      <w:r w:rsidRPr="00720418">
        <w:rPr>
          <w:rFonts w:ascii="Times New Roman" w:hAnsi="Times New Roman"/>
          <w:color w:val="000000"/>
          <w:lang w:val="en-GB"/>
        </w:rPr>
        <w:t xml:space="preserve">2 µg; ketones (KET), </w:t>
      </w:r>
      <w:r w:rsidRPr="00E733E1">
        <w:rPr>
          <w:rFonts w:ascii="Times New Roman" w:hAnsi="Times New Roman"/>
          <w:color w:val="000000"/>
          <w:lang w:val="en-GB"/>
        </w:rPr>
        <w:t xml:space="preserve">LOD = </w:t>
      </w:r>
      <w:r w:rsidRPr="00DA7B2B">
        <w:rPr>
          <w:rFonts w:ascii="Times New Roman" w:hAnsi="Times New Roman"/>
          <w:color w:val="000000"/>
          <w:lang w:val="en-GB"/>
        </w:rPr>
        <w:t>0.2</w:t>
      </w:r>
      <w:r w:rsidRPr="00720418">
        <w:rPr>
          <w:rFonts w:ascii="Times New Roman" w:hAnsi="Times New Roman"/>
          <w:color w:val="000000"/>
          <w:lang w:val="en-GB"/>
        </w:rPr>
        <w:t xml:space="preserve">5 µg; free fatty acids (FFA), </w:t>
      </w:r>
      <w:r w:rsidRPr="00E733E1">
        <w:rPr>
          <w:rFonts w:ascii="Times New Roman" w:hAnsi="Times New Roman"/>
          <w:color w:val="000000"/>
          <w:lang w:val="en-GB"/>
        </w:rPr>
        <w:t xml:space="preserve">LOD = </w:t>
      </w:r>
      <w:r w:rsidRPr="00DA7B2B">
        <w:rPr>
          <w:rFonts w:ascii="Times New Roman" w:hAnsi="Times New Roman"/>
          <w:color w:val="000000"/>
          <w:lang w:val="en-GB"/>
        </w:rPr>
        <w:t xml:space="preserve">0.15 </w:t>
      </w:r>
      <w:r w:rsidRPr="00720418">
        <w:rPr>
          <w:rFonts w:ascii="Times New Roman" w:hAnsi="Times New Roman"/>
          <w:color w:val="000000"/>
          <w:lang w:val="en-GB"/>
        </w:rPr>
        <w:t xml:space="preserve">µg; fatty alcohols (ALC), </w:t>
      </w:r>
      <w:r w:rsidRPr="00E733E1">
        <w:rPr>
          <w:rFonts w:ascii="Times New Roman" w:hAnsi="Times New Roman"/>
          <w:color w:val="000000"/>
          <w:lang w:val="en-GB"/>
        </w:rPr>
        <w:t xml:space="preserve">LOD = </w:t>
      </w:r>
      <w:r w:rsidRPr="00DA7B2B">
        <w:rPr>
          <w:rFonts w:ascii="Times New Roman" w:hAnsi="Times New Roman"/>
          <w:color w:val="000000"/>
          <w:lang w:val="en-GB"/>
        </w:rPr>
        <w:t>0.2</w:t>
      </w:r>
      <w:r w:rsidRPr="00720418">
        <w:rPr>
          <w:rFonts w:ascii="Times New Roman" w:hAnsi="Times New Roman"/>
          <w:color w:val="000000"/>
          <w:lang w:val="en-GB"/>
        </w:rPr>
        <w:t xml:space="preserve">0 µg; 1,3-diacylglycerols (1,3 DG), </w:t>
      </w:r>
      <w:r w:rsidRPr="00E733E1">
        <w:rPr>
          <w:rFonts w:ascii="Times New Roman" w:hAnsi="Times New Roman"/>
          <w:color w:val="000000"/>
          <w:lang w:val="en-GB"/>
        </w:rPr>
        <w:t xml:space="preserve">LOD = </w:t>
      </w:r>
      <w:r w:rsidRPr="00DA7B2B">
        <w:rPr>
          <w:rFonts w:ascii="Times New Roman" w:hAnsi="Times New Roman"/>
          <w:color w:val="000000"/>
          <w:lang w:val="en-GB"/>
        </w:rPr>
        <w:t>0.3</w:t>
      </w:r>
      <w:r w:rsidRPr="00720418">
        <w:rPr>
          <w:rFonts w:ascii="Times New Roman" w:hAnsi="Times New Roman"/>
          <w:color w:val="000000"/>
          <w:lang w:val="en-GB"/>
        </w:rPr>
        <w:t xml:space="preserve">3 µg; sterols (ST), </w:t>
      </w:r>
      <w:r w:rsidRPr="00E733E1">
        <w:rPr>
          <w:rFonts w:ascii="Times New Roman" w:hAnsi="Times New Roman"/>
          <w:color w:val="000000"/>
          <w:lang w:val="en-GB"/>
        </w:rPr>
        <w:t xml:space="preserve">LOD = </w:t>
      </w:r>
      <w:r w:rsidRPr="00DA7B2B">
        <w:rPr>
          <w:rFonts w:ascii="Times New Roman" w:hAnsi="Times New Roman"/>
          <w:color w:val="000000"/>
          <w:lang w:val="en-GB"/>
        </w:rPr>
        <w:t>0.15</w:t>
      </w:r>
      <w:r w:rsidRPr="00720418">
        <w:rPr>
          <w:rFonts w:ascii="Times New Roman" w:hAnsi="Times New Roman"/>
          <w:color w:val="000000"/>
          <w:lang w:val="en-GB"/>
        </w:rPr>
        <w:t xml:space="preserve"> µg; 1,2-diacylglycerols (1,2 DG), </w:t>
      </w:r>
      <w:r w:rsidRPr="00E733E1">
        <w:rPr>
          <w:rFonts w:ascii="Times New Roman" w:hAnsi="Times New Roman"/>
          <w:color w:val="000000"/>
          <w:lang w:val="en-GB"/>
        </w:rPr>
        <w:t xml:space="preserve">LOD = </w:t>
      </w:r>
      <w:r w:rsidRPr="00DA7B2B">
        <w:rPr>
          <w:rFonts w:ascii="Times New Roman" w:hAnsi="Times New Roman"/>
          <w:color w:val="000000"/>
          <w:lang w:val="en-GB"/>
        </w:rPr>
        <w:t>0.15</w:t>
      </w:r>
      <w:r w:rsidRPr="00720418">
        <w:rPr>
          <w:rFonts w:ascii="Times New Roman" w:hAnsi="Times New Roman"/>
          <w:color w:val="000000"/>
          <w:lang w:val="en-GB"/>
        </w:rPr>
        <w:t xml:space="preserve"> µg; pigments (PIG), </w:t>
      </w:r>
      <w:r w:rsidRPr="00E733E1">
        <w:rPr>
          <w:rFonts w:ascii="Times New Roman" w:hAnsi="Times New Roman"/>
          <w:color w:val="000000"/>
          <w:lang w:val="en-GB"/>
        </w:rPr>
        <w:t xml:space="preserve">LOD = </w:t>
      </w:r>
      <w:r w:rsidRPr="00DA7B2B">
        <w:rPr>
          <w:rFonts w:ascii="Times New Roman" w:hAnsi="Times New Roman"/>
          <w:color w:val="000000"/>
          <w:lang w:val="en-GB"/>
        </w:rPr>
        <w:t>0.2</w:t>
      </w:r>
      <w:r w:rsidRPr="00720418">
        <w:rPr>
          <w:rFonts w:ascii="Times New Roman" w:hAnsi="Times New Roman"/>
          <w:color w:val="000000"/>
          <w:lang w:val="en-GB"/>
        </w:rPr>
        <w:t xml:space="preserve">5 µg; monoacylglycerols (MG), </w:t>
      </w:r>
      <w:r w:rsidRPr="00E733E1">
        <w:rPr>
          <w:rFonts w:ascii="Times New Roman" w:hAnsi="Times New Roman"/>
          <w:color w:val="000000"/>
          <w:lang w:val="en-GB"/>
        </w:rPr>
        <w:t xml:space="preserve">LOD = </w:t>
      </w:r>
      <w:r w:rsidRPr="00DA7B2B">
        <w:rPr>
          <w:rFonts w:ascii="Times New Roman" w:hAnsi="Times New Roman"/>
          <w:color w:val="000000"/>
          <w:lang w:val="en-GB"/>
        </w:rPr>
        <w:t>0.15</w:t>
      </w:r>
      <w:r>
        <w:rPr>
          <w:rFonts w:ascii="Times New Roman" w:hAnsi="Times New Roman"/>
          <w:color w:val="000000"/>
          <w:lang w:val="en-GB"/>
        </w:rPr>
        <w:t xml:space="preserve"> µg; </w:t>
      </w:r>
      <w:r w:rsidRPr="006E1463">
        <w:rPr>
          <w:rFonts w:ascii="Times New Roman" w:hAnsi="Times New Roman"/>
          <w:color w:val="000000"/>
          <w:lang w:val="en-GB"/>
        </w:rPr>
        <w:t>monogalactosyldiacylglycerols (MGDG)</w:t>
      </w:r>
      <w:r w:rsidRPr="00E63792">
        <w:rPr>
          <w:rFonts w:ascii="Times New Roman" w:hAnsi="Times New Roman"/>
          <w:color w:val="000000"/>
          <w:lang w:val="en-GB"/>
        </w:rPr>
        <w:t xml:space="preserve"> </w:t>
      </w:r>
      <w:r>
        <w:rPr>
          <w:rFonts w:ascii="Times New Roman" w:hAnsi="Times New Roman"/>
          <w:color w:val="000000"/>
          <w:lang w:val="en-GB"/>
        </w:rPr>
        <w:t>LOD = 0.23</w:t>
      </w:r>
      <w:r w:rsidRPr="00E63792">
        <w:rPr>
          <w:rFonts w:ascii="Times New Roman" w:hAnsi="Times New Roman"/>
          <w:color w:val="000000"/>
          <w:lang w:val="en-GB"/>
        </w:rPr>
        <w:t xml:space="preserve"> </w:t>
      </w:r>
      <w:r>
        <w:rPr>
          <w:rFonts w:ascii="Times New Roman" w:hAnsi="Times New Roman"/>
          <w:color w:val="000000"/>
          <w:lang w:val="en-GB"/>
        </w:rPr>
        <w:t>µ</w:t>
      </w:r>
      <w:r w:rsidRPr="00E63792">
        <w:rPr>
          <w:rFonts w:ascii="Times New Roman" w:hAnsi="Times New Roman"/>
          <w:color w:val="000000"/>
          <w:lang w:val="en-GB"/>
        </w:rPr>
        <w:t>g</w:t>
      </w:r>
      <w:r w:rsidRPr="006E1463">
        <w:rPr>
          <w:rFonts w:ascii="Times New Roman" w:hAnsi="Times New Roman"/>
          <w:color w:val="000000"/>
          <w:lang w:val="en-GB"/>
        </w:rPr>
        <w:t>,  digalactosyldiacylglycerols (DGDG)</w:t>
      </w:r>
      <w:r>
        <w:rPr>
          <w:rFonts w:ascii="Times New Roman" w:hAnsi="Times New Roman"/>
          <w:color w:val="000000"/>
          <w:lang w:val="en-GB"/>
        </w:rPr>
        <w:t>, LOD = 0.21</w:t>
      </w:r>
      <w:r w:rsidRPr="00E63792">
        <w:rPr>
          <w:rFonts w:ascii="Times New Roman" w:hAnsi="Times New Roman"/>
          <w:color w:val="000000"/>
          <w:lang w:val="en-GB"/>
        </w:rPr>
        <w:t xml:space="preserve"> </w:t>
      </w:r>
      <w:r>
        <w:rPr>
          <w:rFonts w:ascii="Times New Roman" w:hAnsi="Times New Roman"/>
          <w:color w:val="000000"/>
          <w:lang w:val="en-GB"/>
        </w:rPr>
        <w:t>µ</w:t>
      </w:r>
      <w:r w:rsidRPr="00E63792">
        <w:rPr>
          <w:rFonts w:ascii="Times New Roman" w:hAnsi="Times New Roman"/>
          <w:color w:val="000000"/>
          <w:lang w:val="en-GB"/>
        </w:rPr>
        <w:t>g</w:t>
      </w:r>
      <w:r>
        <w:rPr>
          <w:rFonts w:ascii="Times New Roman" w:hAnsi="Times New Roman"/>
          <w:color w:val="000000"/>
          <w:lang w:val="en-GB"/>
        </w:rPr>
        <w:t>;</w:t>
      </w:r>
      <w:r w:rsidRPr="006E1463">
        <w:rPr>
          <w:rFonts w:ascii="Times New Roman" w:hAnsi="Times New Roman"/>
          <w:color w:val="000000"/>
          <w:lang w:val="en-GB"/>
        </w:rPr>
        <w:t xml:space="preserve"> sulfoquinovosyldiacylglycerols  (SQDG)</w:t>
      </w:r>
      <w:r>
        <w:rPr>
          <w:rFonts w:ascii="Times New Roman" w:hAnsi="Times New Roman"/>
          <w:color w:val="000000"/>
          <w:lang w:val="en-GB"/>
        </w:rPr>
        <w:t>,</w:t>
      </w:r>
      <w:r w:rsidRPr="00E63792">
        <w:rPr>
          <w:rFonts w:ascii="Times New Roman" w:hAnsi="Times New Roman"/>
          <w:color w:val="000000"/>
          <w:lang w:val="en-GB"/>
        </w:rPr>
        <w:t xml:space="preserve"> </w:t>
      </w:r>
      <w:r>
        <w:rPr>
          <w:rFonts w:ascii="Times New Roman" w:hAnsi="Times New Roman"/>
          <w:color w:val="000000"/>
          <w:lang w:val="en-GB"/>
        </w:rPr>
        <w:t xml:space="preserve">LOD = </w:t>
      </w:r>
      <w:r w:rsidRPr="00E63792">
        <w:rPr>
          <w:rFonts w:ascii="Times New Roman" w:hAnsi="Times New Roman"/>
          <w:color w:val="000000"/>
          <w:lang w:val="en-GB"/>
        </w:rPr>
        <w:t xml:space="preserve">0.06 </w:t>
      </w:r>
      <w:r>
        <w:rPr>
          <w:rFonts w:ascii="Times New Roman" w:hAnsi="Times New Roman"/>
          <w:color w:val="000000"/>
          <w:lang w:val="en-GB"/>
        </w:rPr>
        <w:t>µ</w:t>
      </w:r>
      <w:r w:rsidRPr="00E63792">
        <w:rPr>
          <w:rFonts w:ascii="Times New Roman" w:hAnsi="Times New Roman"/>
          <w:color w:val="000000"/>
          <w:lang w:val="en-GB"/>
        </w:rPr>
        <w:t>g</w:t>
      </w:r>
      <w:r>
        <w:rPr>
          <w:rFonts w:ascii="Times New Roman" w:hAnsi="Times New Roman"/>
          <w:color w:val="000000"/>
          <w:lang w:val="en-GB"/>
        </w:rPr>
        <w:t>;</w:t>
      </w:r>
      <w:r w:rsidRPr="006E1463">
        <w:rPr>
          <w:rFonts w:ascii="Times New Roman" w:hAnsi="Times New Roman"/>
          <w:color w:val="000000"/>
          <w:lang w:val="en-GB"/>
        </w:rPr>
        <w:t xml:space="preserve">  mono- and di-phosphatidylglycerols (PG)</w:t>
      </w:r>
      <w:r>
        <w:rPr>
          <w:rFonts w:ascii="Times New Roman" w:hAnsi="Times New Roman"/>
          <w:color w:val="000000"/>
          <w:lang w:val="en-GB"/>
        </w:rPr>
        <w:t>, LOD = 0.27</w:t>
      </w:r>
      <w:r w:rsidRPr="00E63792">
        <w:rPr>
          <w:rFonts w:ascii="Times New Roman" w:hAnsi="Times New Roman"/>
          <w:color w:val="000000"/>
          <w:lang w:val="en-GB"/>
        </w:rPr>
        <w:t xml:space="preserve"> </w:t>
      </w:r>
      <w:r>
        <w:rPr>
          <w:rFonts w:ascii="Times New Roman" w:hAnsi="Times New Roman"/>
          <w:color w:val="000000"/>
          <w:lang w:val="en-GB"/>
        </w:rPr>
        <w:t>µ</w:t>
      </w:r>
      <w:r w:rsidRPr="00E63792">
        <w:rPr>
          <w:rFonts w:ascii="Times New Roman" w:hAnsi="Times New Roman"/>
          <w:color w:val="000000"/>
          <w:lang w:val="en-GB"/>
        </w:rPr>
        <w:t>g</w:t>
      </w:r>
      <w:r w:rsidRPr="006E1463">
        <w:rPr>
          <w:rFonts w:ascii="Times New Roman" w:hAnsi="Times New Roman"/>
          <w:color w:val="000000"/>
          <w:lang w:val="en-GB"/>
        </w:rPr>
        <w:t>, phosphatidylethanolamines (PE</w:t>
      </w:r>
      <w:r w:rsidRPr="00DA7B2B">
        <w:rPr>
          <w:rFonts w:ascii="Times New Roman" w:hAnsi="Times New Roman"/>
          <w:color w:val="000000"/>
          <w:lang w:val="en-GB"/>
        </w:rPr>
        <w:t xml:space="preserve">), </w:t>
      </w:r>
      <w:r w:rsidRPr="00E733E1">
        <w:rPr>
          <w:rFonts w:ascii="Times New Roman" w:hAnsi="Times New Roman"/>
          <w:color w:val="000000"/>
          <w:lang w:val="en-GB"/>
        </w:rPr>
        <w:t>LOD =</w:t>
      </w:r>
      <w:r w:rsidRPr="00DA7B2B">
        <w:rPr>
          <w:rFonts w:ascii="Times New Roman" w:hAnsi="Times New Roman"/>
          <w:color w:val="000000"/>
          <w:lang w:val="en-GB"/>
        </w:rPr>
        <w:t xml:space="preserve"> 0.1</w:t>
      </w:r>
      <w:r>
        <w:rPr>
          <w:rFonts w:ascii="Times New Roman" w:hAnsi="Times New Roman"/>
          <w:color w:val="000000"/>
          <w:lang w:val="en-GB"/>
        </w:rPr>
        <w:t>1</w:t>
      </w:r>
      <w:r w:rsidRPr="00DA7B2B">
        <w:rPr>
          <w:rFonts w:ascii="Times New Roman" w:hAnsi="Times New Roman"/>
          <w:color w:val="000000"/>
          <w:lang w:val="en-GB"/>
        </w:rPr>
        <w:t xml:space="preserve"> µg; and phosphatidylcholines (PC), </w:t>
      </w:r>
      <w:r w:rsidRPr="00E733E1">
        <w:rPr>
          <w:rFonts w:ascii="Times New Roman" w:hAnsi="Times New Roman"/>
          <w:color w:val="000000"/>
          <w:lang w:val="en-GB"/>
        </w:rPr>
        <w:t>LOD =</w:t>
      </w:r>
      <w:r w:rsidRPr="00DA7B2B">
        <w:rPr>
          <w:rFonts w:ascii="Times New Roman" w:hAnsi="Times New Roman"/>
          <w:color w:val="000000"/>
          <w:lang w:val="en-GB"/>
        </w:rPr>
        <w:t xml:space="preserve"> 0.</w:t>
      </w:r>
      <w:r>
        <w:rPr>
          <w:rFonts w:ascii="Times New Roman" w:hAnsi="Times New Roman"/>
          <w:color w:val="000000"/>
          <w:lang w:val="en-GB"/>
        </w:rPr>
        <w:t>14 µg</w:t>
      </w:r>
      <w:r w:rsidRPr="00E63792">
        <w:rPr>
          <w:rFonts w:ascii="Times New Roman" w:hAnsi="Times New Roman"/>
          <w:color w:val="000000"/>
          <w:lang w:val="en-GB"/>
        </w:rPr>
        <w:t xml:space="preserve">. </w:t>
      </w:r>
      <w:r>
        <w:rPr>
          <w:rFonts w:ascii="Times New Roman" w:hAnsi="Times New Roman"/>
          <w:color w:val="000000"/>
          <w:lang w:val="en-GB"/>
        </w:rPr>
        <w:t xml:space="preserve">The percent recoveries of the samples were calculated from the ratio </w:t>
      </w:r>
      <w:r w:rsidR="00315552">
        <w:rPr>
          <w:rFonts w:ascii="Times New Roman" w:hAnsi="Times New Roman"/>
          <w:color w:val="000000"/>
          <w:lang w:val="en-GB"/>
        </w:rPr>
        <w:t>of</w:t>
      </w:r>
      <w:r>
        <w:rPr>
          <w:rFonts w:ascii="Times New Roman" w:hAnsi="Times New Roman"/>
          <w:color w:val="000000"/>
          <w:lang w:val="en-GB"/>
        </w:rPr>
        <w:t xml:space="preserve"> the recovered n-hexadecanone mass and the theoretical n-hexadecanone mass originally added to the sample. The recovery averaged 117 </w:t>
      </w:r>
      <w:r w:rsidRPr="00375400">
        <w:rPr>
          <w:rFonts w:ascii="Times New Roman" w:hAnsi="Times New Roman"/>
          <w:color w:val="000000"/>
          <w:lang w:val="en-GB"/>
        </w:rPr>
        <w:t>±</w:t>
      </w:r>
      <w:r>
        <w:rPr>
          <w:rFonts w:ascii="Times New Roman" w:hAnsi="Times New Roman"/>
          <w:color w:val="000000"/>
          <w:lang w:val="en-GB"/>
        </w:rPr>
        <w:t xml:space="preserve"> 16%. </w:t>
      </w:r>
      <w:r w:rsidRPr="00375400">
        <w:rPr>
          <w:rFonts w:ascii="Times New Roman" w:hAnsi="Times New Roman"/>
          <w:color w:val="000000"/>
          <w:lang w:val="en-GB"/>
        </w:rPr>
        <w:t>The final concentration of particulate lipid (C) was then calculated based on the mass</w:t>
      </w:r>
      <w:r>
        <w:rPr>
          <w:rFonts w:ascii="Times New Roman" w:hAnsi="Times New Roman"/>
          <w:color w:val="000000"/>
          <w:lang w:val="en-GB"/>
        </w:rPr>
        <w:t xml:space="preserve"> of lipid (m) </w:t>
      </w:r>
      <w:r w:rsidRPr="00375400">
        <w:rPr>
          <w:rFonts w:ascii="Times New Roman" w:hAnsi="Times New Roman"/>
          <w:color w:val="000000"/>
          <w:lang w:val="en-GB"/>
        </w:rPr>
        <w:t xml:space="preserve">obtained with </w:t>
      </w:r>
      <w:r>
        <w:rPr>
          <w:rFonts w:ascii="Times New Roman" w:hAnsi="Times New Roman"/>
          <w:color w:val="000000"/>
          <w:lang w:val="en-GB"/>
        </w:rPr>
        <w:t xml:space="preserve">the </w:t>
      </w:r>
      <w:r w:rsidRPr="00375400">
        <w:rPr>
          <w:rFonts w:ascii="Times New Roman" w:hAnsi="Times New Roman"/>
          <w:color w:val="000000"/>
          <w:lang w:val="en-GB"/>
        </w:rPr>
        <w:t xml:space="preserve">calibration equations, the volume of the sampled </w:t>
      </w:r>
      <w:r>
        <w:rPr>
          <w:rFonts w:ascii="Times New Roman" w:hAnsi="Times New Roman"/>
          <w:color w:val="000000"/>
          <w:lang w:val="en-GB"/>
        </w:rPr>
        <w:t>sea</w:t>
      </w:r>
      <w:r w:rsidRPr="00375400">
        <w:rPr>
          <w:rFonts w:ascii="Times New Roman" w:hAnsi="Times New Roman"/>
          <w:color w:val="000000"/>
          <w:lang w:val="en-GB"/>
        </w:rPr>
        <w:t>water (V</w:t>
      </w:r>
      <w:r w:rsidRPr="00E63792">
        <w:rPr>
          <w:rFonts w:ascii="Times New Roman" w:hAnsi="Times New Roman"/>
          <w:color w:val="000000"/>
          <w:vertAlign w:val="subscript"/>
          <w:lang w:val="en-GB"/>
        </w:rPr>
        <w:t>sample</w:t>
      </w:r>
      <w:r w:rsidRPr="00375400">
        <w:rPr>
          <w:rFonts w:ascii="Times New Roman" w:hAnsi="Times New Roman"/>
          <w:color w:val="000000"/>
          <w:lang w:val="en-GB"/>
        </w:rPr>
        <w:t xml:space="preserve">), </w:t>
      </w:r>
      <w:r>
        <w:rPr>
          <w:rFonts w:ascii="Times New Roman" w:hAnsi="Times New Roman"/>
          <w:color w:val="000000"/>
          <w:lang w:val="en-GB"/>
        </w:rPr>
        <w:t xml:space="preserve">the </w:t>
      </w:r>
      <w:r w:rsidRPr="00375400">
        <w:rPr>
          <w:rFonts w:ascii="Times New Roman" w:hAnsi="Times New Roman"/>
          <w:color w:val="000000"/>
          <w:lang w:val="en-GB"/>
        </w:rPr>
        <w:t>percent</w:t>
      </w:r>
      <w:r>
        <w:rPr>
          <w:rFonts w:ascii="Times New Roman" w:hAnsi="Times New Roman"/>
          <w:color w:val="000000"/>
          <w:lang w:val="en-GB"/>
        </w:rPr>
        <w:t>age</w:t>
      </w:r>
      <w:r w:rsidRPr="00375400">
        <w:rPr>
          <w:rFonts w:ascii="Times New Roman" w:hAnsi="Times New Roman"/>
          <w:color w:val="000000"/>
          <w:lang w:val="en-GB"/>
        </w:rPr>
        <w:t xml:space="preserve"> of the spotted sample (% spotted)</w:t>
      </w:r>
      <w:r>
        <w:rPr>
          <w:rFonts w:ascii="Times New Roman" w:hAnsi="Times New Roman"/>
          <w:color w:val="000000"/>
          <w:lang w:val="en-GB"/>
        </w:rPr>
        <w:t>,</w:t>
      </w:r>
      <w:r w:rsidRPr="00375400">
        <w:rPr>
          <w:rFonts w:ascii="Times New Roman" w:hAnsi="Times New Roman"/>
          <w:color w:val="000000"/>
          <w:lang w:val="en-GB"/>
        </w:rPr>
        <w:t xml:space="preserve"> and the lipid recovery (% recovery) using the following equation: </w:t>
      </w:r>
    </w:p>
    <w:p w14:paraId="69BA3448" w14:textId="77777777" w:rsidR="00C41976" w:rsidRDefault="00C41976" w:rsidP="00C41976">
      <w:pPr>
        <w:spacing w:line="360" w:lineRule="auto"/>
        <w:rPr>
          <w:rFonts w:ascii="Times New Roman" w:hAnsi="Times New Roman"/>
          <w:color w:val="000000"/>
          <w:lang w:val="en-GB"/>
        </w:rPr>
      </w:pPr>
      <m:oMath>
        <m:r>
          <w:rPr>
            <w:rFonts w:ascii="Cambria Math" w:hAnsi="Cambria Math"/>
            <w:sz w:val="16"/>
            <w:szCs w:val="16"/>
          </w:rPr>
          <m:t>C=</m:t>
        </m:r>
        <m:f>
          <m:fPr>
            <m:ctrlPr>
              <w:rPr>
                <w:rFonts w:ascii="Cambria Math" w:hAnsi="Cambria Math"/>
                <w:i/>
                <w:color w:val="000000"/>
                <w:lang w:val="en-GB"/>
              </w:rPr>
            </m:ctrlPr>
          </m:fPr>
          <m:num>
            <m:f>
              <m:fPr>
                <m:ctrlPr>
                  <w:rPr>
                    <w:rFonts w:ascii="Cambria Math" w:hAnsi="Cambria Math"/>
                    <w:i/>
                    <w:color w:val="000000"/>
                    <w:lang w:val="en-GB"/>
                  </w:rPr>
                </m:ctrlPr>
              </m:fPr>
              <m:num>
                <m:r>
                  <w:rPr>
                    <w:rFonts w:ascii="Cambria Math" w:hAnsi="Cambria Math"/>
                    <w:color w:val="000000"/>
                    <w:lang w:val="en-GB"/>
                  </w:rPr>
                  <m:t>(m ×100)/(% spotted)</m:t>
                </m:r>
              </m:num>
              <m:den>
                <m:sSub>
                  <m:sSubPr>
                    <m:ctrlPr>
                      <w:rPr>
                        <w:rFonts w:ascii="Cambria Math" w:hAnsi="Cambria Math"/>
                        <w:i/>
                        <w:color w:val="000000"/>
                        <w:lang w:val="en-GB"/>
                      </w:rPr>
                    </m:ctrlPr>
                  </m:sSubPr>
                  <m:e>
                    <m:r>
                      <w:rPr>
                        <w:rFonts w:ascii="Cambria Math" w:hAnsi="Cambria Math"/>
                        <w:color w:val="000000"/>
                        <w:lang w:val="en-GB"/>
                      </w:rPr>
                      <m:t>V</m:t>
                    </m:r>
                  </m:e>
                  <m:sub>
                    <m:r>
                      <w:rPr>
                        <w:rFonts w:ascii="Cambria Math" w:hAnsi="Cambria Math"/>
                        <w:color w:val="000000"/>
                        <w:lang w:val="en-GB"/>
                      </w:rPr>
                      <m:t>sample</m:t>
                    </m:r>
                  </m:sub>
                </m:sSub>
              </m:den>
            </m:f>
            <m:r>
              <w:rPr>
                <w:rFonts w:ascii="Cambria Math" w:hAnsi="Cambria Math"/>
                <w:color w:val="000000"/>
                <w:lang w:val="en-GB"/>
              </w:rPr>
              <m:t xml:space="preserve"> x 100</m:t>
            </m:r>
          </m:num>
          <m:den>
            <m:r>
              <w:rPr>
                <w:rFonts w:ascii="Cambria Math" w:hAnsi="Cambria Math"/>
                <w:color w:val="000000"/>
                <w:lang w:val="en-GB"/>
              </w:rPr>
              <m:t>% recovery</m:t>
            </m:r>
          </m:den>
        </m:f>
      </m:oMath>
      <w:r>
        <w:rPr>
          <w:rFonts w:eastAsiaTheme="minorEastAsia"/>
          <w:color w:val="000000"/>
          <w:lang w:val="en-GB"/>
        </w:rPr>
        <w:t xml:space="preserve">                Eq. 1.</w:t>
      </w:r>
    </w:p>
    <w:p w14:paraId="427FCF06" w14:textId="77777777" w:rsidR="004A2325" w:rsidRPr="004A2325" w:rsidRDefault="004A2325" w:rsidP="00A502B4">
      <w:pPr>
        <w:pStyle w:val="NoSpacing"/>
        <w:spacing w:line="360" w:lineRule="auto"/>
        <w:rPr>
          <w:lang w:val="en-GB" w:bidi="en-US"/>
        </w:rPr>
      </w:pPr>
    </w:p>
    <w:p w14:paraId="3C35FD5C" w14:textId="77777777" w:rsidR="00354BC2" w:rsidRPr="00A502B4" w:rsidRDefault="00354BC2" w:rsidP="00A502B4">
      <w:pPr>
        <w:pStyle w:val="Heading4"/>
        <w:spacing w:before="0" w:line="360" w:lineRule="auto"/>
        <w:rPr>
          <w:rFonts w:ascii="Times New Roman" w:hAnsi="Times New Roman"/>
          <w:i w:val="0"/>
          <w:color w:val="000000" w:themeColor="text1"/>
        </w:rPr>
      </w:pPr>
      <w:r w:rsidRPr="00A502B4">
        <w:rPr>
          <w:rFonts w:ascii="Times New Roman" w:hAnsi="Times New Roman"/>
          <w:i w:val="0"/>
          <w:color w:val="000000" w:themeColor="text1"/>
        </w:rPr>
        <w:t>2.2.4. Surface</w:t>
      </w:r>
      <w:r w:rsidR="00083D16" w:rsidRPr="00A502B4">
        <w:rPr>
          <w:rFonts w:ascii="Times New Roman" w:hAnsi="Times New Roman"/>
          <w:i w:val="0"/>
          <w:color w:val="000000" w:themeColor="text1"/>
        </w:rPr>
        <w:t>-</w:t>
      </w:r>
      <w:r w:rsidRPr="00A502B4">
        <w:rPr>
          <w:rFonts w:ascii="Times New Roman" w:hAnsi="Times New Roman"/>
          <w:i w:val="0"/>
          <w:color w:val="000000" w:themeColor="text1"/>
        </w:rPr>
        <w:t>active substances analysis</w:t>
      </w:r>
    </w:p>
    <w:p w14:paraId="7E4586A3" w14:textId="77777777" w:rsidR="00354BC2" w:rsidRPr="006E1463" w:rsidRDefault="00354BC2" w:rsidP="00A502B4">
      <w:pPr>
        <w:spacing w:after="0" w:line="360" w:lineRule="auto"/>
        <w:rPr>
          <w:rFonts w:ascii="Times New Roman" w:hAnsi="Times New Roman"/>
          <w:color w:val="000000"/>
          <w:lang w:val="en-GB"/>
        </w:rPr>
      </w:pPr>
    </w:p>
    <w:p w14:paraId="4C4B21B6" w14:textId="77777777" w:rsidR="000033A9" w:rsidRPr="006E1463" w:rsidRDefault="00354BC2" w:rsidP="00D72BE1">
      <w:pPr>
        <w:spacing w:after="0" w:line="360" w:lineRule="auto"/>
        <w:rPr>
          <w:rFonts w:ascii="Times New Roman" w:hAnsi="Times New Roman"/>
          <w:color w:val="000000"/>
          <w:lang w:val="en-GB"/>
        </w:rPr>
      </w:pPr>
      <w:r w:rsidRPr="006E1463">
        <w:rPr>
          <w:rFonts w:ascii="Times New Roman" w:hAnsi="Times New Roman"/>
          <w:color w:val="000000"/>
          <w:lang w:val="en-GB"/>
        </w:rPr>
        <w:t>Surface</w:t>
      </w:r>
      <w:r w:rsidR="00083D16">
        <w:rPr>
          <w:rFonts w:ascii="Times New Roman" w:hAnsi="Times New Roman"/>
          <w:color w:val="000000"/>
          <w:lang w:val="en-GB"/>
        </w:rPr>
        <w:t>-</w:t>
      </w:r>
      <w:r w:rsidRPr="006E1463">
        <w:rPr>
          <w:rFonts w:ascii="Times New Roman" w:hAnsi="Times New Roman"/>
          <w:color w:val="000000"/>
          <w:lang w:val="en-GB"/>
        </w:rPr>
        <w:t>active substances were determined electrochemically by alternating current (AC) voltamme</w:t>
      </w:r>
      <w:r w:rsidR="00B44894">
        <w:rPr>
          <w:rFonts w:ascii="Times New Roman" w:hAnsi="Times New Roman"/>
          <w:color w:val="000000"/>
          <w:lang w:val="en-GB"/>
        </w:rPr>
        <w:t>t</w:t>
      </w:r>
      <w:r w:rsidRPr="006E1463">
        <w:rPr>
          <w:rFonts w:ascii="Times New Roman" w:hAnsi="Times New Roman"/>
          <w:color w:val="000000"/>
          <w:lang w:val="en-GB"/>
        </w:rPr>
        <w:t>ry</w:t>
      </w:r>
      <w:r w:rsidR="000033A9" w:rsidRPr="006E1463">
        <w:rPr>
          <w:rFonts w:ascii="Times New Roman" w:hAnsi="Times New Roman"/>
          <w:color w:val="000000"/>
          <w:lang w:val="en-GB"/>
        </w:rPr>
        <w:t xml:space="preserve"> </w:t>
      </w:r>
      <w:r w:rsidR="009D35F4" w:rsidRPr="006E1463">
        <w:rPr>
          <w:rFonts w:ascii="Times New Roman" w:hAnsi="Times New Roman"/>
          <w:noProof/>
          <w:color w:val="000000"/>
          <w:lang w:val="en-GB"/>
        </w:rPr>
        <w:t>(Ćosović, 2005; Ćosović and Vojvodić, 1998)</w:t>
      </w:r>
      <w:r w:rsidR="009D35F4" w:rsidRPr="006E1463">
        <w:rPr>
          <w:rFonts w:ascii="Times New Roman" w:hAnsi="Times New Roman"/>
          <w:color w:val="000000"/>
          <w:lang w:val="en-GB"/>
        </w:rPr>
        <w:t xml:space="preserve"> </w:t>
      </w:r>
      <w:r w:rsidRPr="006E1463">
        <w:rPr>
          <w:rFonts w:ascii="Times New Roman" w:hAnsi="Times New Roman"/>
          <w:color w:val="000000"/>
          <w:lang w:val="en-GB"/>
        </w:rPr>
        <w:t>using a portable potentiostat (Palmsens,</w:t>
      </w:r>
      <w:r w:rsidR="00315552">
        <w:rPr>
          <w:rFonts w:ascii="Times New Roman" w:hAnsi="Times New Roman"/>
          <w:color w:val="000000"/>
          <w:lang w:val="en-GB"/>
        </w:rPr>
        <w:t xml:space="preserve"> Houten, The</w:t>
      </w:r>
      <w:r w:rsidRPr="006E1463">
        <w:rPr>
          <w:rFonts w:ascii="Times New Roman" w:hAnsi="Times New Roman"/>
          <w:color w:val="000000"/>
          <w:lang w:val="en-GB"/>
        </w:rPr>
        <w:t xml:space="preserve"> Netherlands). The three</w:t>
      </w:r>
      <w:r w:rsidR="00B44894">
        <w:rPr>
          <w:rFonts w:ascii="Times New Roman" w:hAnsi="Times New Roman"/>
          <w:color w:val="000000"/>
          <w:lang w:val="en-GB"/>
        </w:rPr>
        <w:t>-</w:t>
      </w:r>
      <w:r w:rsidRPr="006E1463">
        <w:rPr>
          <w:rFonts w:ascii="Times New Roman" w:hAnsi="Times New Roman"/>
          <w:color w:val="000000"/>
          <w:lang w:val="en-GB"/>
        </w:rPr>
        <w:t xml:space="preserve">electrode system consisted of </w:t>
      </w:r>
      <w:r w:rsidR="00B44894">
        <w:rPr>
          <w:rFonts w:ascii="Times New Roman" w:hAnsi="Times New Roman"/>
          <w:color w:val="000000"/>
          <w:lang w:val="en-GB"/>
        </w:rPr>
        <w:t>a</w:t>
      </w:r>
      <w:r w:rsidR="00B44894" w:rsidRPr="006E1463">
        <w:rPr>
          <w:rFonts w:ascii="Times New Roman" w:hAnsi="Times New Roman"/>
          <w:color w:val="000000"/>
          <w:lang w:val="en-GB"/>
        </w:rPr>
        <w:t xml:space="preserve"> </w:t>
      </w:r>
      <w:r w:rsidRPr="006E1463">
        <w:rPr>
          <w:rFonts w:ascii="Times New Roman" w:hAnsi="Times New Roman"/>
          <w:color w:val="000000"/>
          <w:lang w:val="en-GB"/>
        </w:rPr>
        <w:t xml:space="preserve">hanging mercury drop working electrode, </w:t>
      </w:r>
      <w:r w:rsidR="00B44894">
        <w:rPr>
          <w:rFonts w:ascii="Times New Roman" w:hAnsi="Times New Roman"/>
          <w:color w:val="000000"/>
          <w:lang w:val="en-GB"/>
        </w:rPr>
        <w:t xml:space="preserve">an </w:t>
      </w:r>
      <w:r w:rsidRPr="006E1463">
        <w:rPr>
          <w:rFonts w:ascii="Times New Roman" w:hAnsi="Times New Roman"/>
          <w:color w:val="000000"/>
          <w:lang w:val="en-GB"/>
        </w:rPr>
        <w:t>Ag/AgCl (3M KCl) reference electrode, and a platinum wire counter electrode. Only the capacitive component of the current is measured by AC voltammetry and the concentration of SAS is estimated from calibration curves obtained with a nonionic surfactant Triton</w:t>
      </w:r>
      <w:r w:rsidR="003479BD">
        <w:rPr>
          <w:rFonts w:ascii="Times New Roman" w:hAnsi="Times New Roman"/>
          <w:color w:val="000000"/>
          <w:lang w:val="en-GB"/>
        </w:rPr>
        <w:t>-</w:t>
      </w:r>
      <w:r w:rsidRPr="006E1463">
        <w:rPr>
          <w:rFonts w:ascii="Times New Roman" w:hAnsi="Times New Roman"/>
          <w:color w:val="000000"/>
          <w:lang w:val="en-GB"/>
        </w:rPr>
        <w:t>X-100</w:t>
      </w:r>
      <w:r w:rsidR="003479BD">
        <w:rPr>
          <w:rFonts w:ascii="Times New Roman" w:hAnsi="Times New Roman"/>
          <w:color w:val="000000"/>
          <w:lang w:val="en-GB"/>
        </w:rPr>
        <w:t xml:space="preserve"> (T-X-100)</w:t>
      </w:r>
      <w:r w:rsidRPr="006E1463">
        <w:rPr>
          <w:rFonts w:ascii="Times New Roman" w:hAnsi="Times New Roman"/>
          <w:color w:val="000000"/>
          <w:lang w:val="en-GB"/>
        </w:rPr>
        <w:t>, which serves as a good model compound</w:t>
      </w:r>
      <w:r w:rsidR="00750B5F" w:rsidRPr="006E1463">
        <w:rPr>
          <w:rFonts w:ascii="Times New Roman" w:hAnsi="Times New Roman"/>
          <w:color w:val="000000"/>
          <w:lang w:val="en-GB"/>
        </w:rPr>
        <w:t xml:space="preserve"> </w:t>
      </w:r>
      <w:r w:rsidR="00620168" w:rsidRPr="006E1463">
        <w:rPr>
          <w:rFonts w:ascii="Times New Roman" w:hAnsi="Times New Roman"/>
          <w:noProof/>
          <w:color w:val="000000"/>
          <w:lang w:val="en-GB"/>
        </w:rPr>
        <w:t>(Frka et al., 2009)</w:t>
      </w:r>
      <w:r w:rsidR="000033A9" w:rsidRPr="006E1463">
        <w:rPr>
          <w:rFonts w:ascii="Times New Roman" w:hAnsi="Times New Roman"/>
          <w:color w:val="000000"/>
          <w:lang w:val="en-GB"/>
        </w:rPr>
        <w:t xml:space="preserve">. </w:t>
      </w:r>
      <w:r w:rsidR="00B44894">
        <w:rPr>
          <w:rFonts w:ascii="Times New Roman" w:hAnsi="Times New Roman"/>
          <w:color w:val="000000"/>
          <w:lang w:val="en-GB"/>
        </w:rPr>
        <w:t>C</w:t>
      </w:r>
      <w:r w:rsidRPr="006E1463">
        <w:rPr>
          <w:rFonts w:ascii="Times New Roman" w:hAnsi="Times New Roman"/>
          <w:color w:val="000000"/>
          <w:lang w:val="en-GB"/>
        </w:rPr>
        <w:t>alibration was performed in 0.5 M NaCl, and the determined LOD of the method was 0.07 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eq. Triton X-100. The ionic strength of the samples was adjusted to 0.5 M by addi</w:t>
      </w:r>
      <w:r w:rsidR="00B44894">
        <w:rPr>
          <w:rFonts w:ascii="Times New Roman" w:hAnsi="Times New Roman"/>
          <w:color w:val="000000"/>
          <w:lang w:val="en-GB"/>
        </w:rPr>
        <w:t>ng</w:t>
      </w:r>
      <w:r w:rsidRPr="006E1463">
        <w:rPr>
          <w:rFonts w:ascii="Times New Roman" w:hAnsi="Times New Roman"/>
          <w:color w:val="000000"/>
          <w:lang w:val="en-GB"/>
        </w:rPr>
        <w:t xml:space="preserve"> saturated NaCl before the measurements.</w:t>
      </w:r>
    </w:p>
    <w:p w14:paraId="79591EC0" w14:textId="77777777" w:rsidR="00F80705" w:rsidRPr="00F80705" w:rsidRDefault="00F80705" w:rsidP="00D72BE1">
      <w:pPr>
        <w:pStyle w:val="NoSpacing"/>
        <w:spacing w:line="360" w:lineRule="auto"/>
        <w:rPr>
          <w:lang w:val="en-GB" w:bidi="en-US"/>
        </w:rPr>
      </w:pPr>
    </w:p>
    <w:p w14:paraId="6AFDB192" w14:textId="77777777" w:rsidR="00354BC2" w:rsidRPr="006E1463" w:rsidRDefault="00354BC2" w:rsidP="00D72BE1">
      <w:pPr>
        <w:pStyle w:val="Heading2"/>
      </w:pPr>
      <w:r w:rsidRPr="006E1463">
        <w:t>3. Results</w:t>
      </w:r>
    </w:p>
    <w:p w14:paraId="219217C4" w14:textId="77777777" w:rsidR="00354BC2" w:rsidRPr="0086002C" w:rsidRDefault="00354BC2" w:rsidP="00D72BE1">
      <w:pPr>
        <w:pStyle w:val="Heading3"/>
        <w:jc w:val="left"/>
      </w:pPr>
      <w:r w:rsidRPr="0086002C">
        <w:t>3.1. Oceanographic parameters</w:t>
      </w:r>
    </w:p>
    <w:p w14:paraId="7CA67911" w14:textId="77777777" w:rsidR="00354BC2" w:rsidRPr="006E1463" w:rsidRDefault="00354BC2" w:rsidP="00D72BE1">
      <w:pPr>
        <w:pStyle w:val="NoSpacing"/>
        <w:spacing w:line="360" w:lineRule="auto"/>
        <w:rPr>
          <w:rFonts w:ascii="Times New Roman" w:hAnsi="Times New Roman"/>
          <w:color w:val="000000"/>
          <w:lang w:val="en-GB" w:bidi="en-US"/>
        </w:rPr>
      </w:pPr>
    </w:p>
    <w:p w14:paraId="197F6A3A" w14:textId="2BA675F4" w:rsidR="000D7A34" w:rsidRPr="006E1463" w:rsidRDefault="00354BC2" w:rsidP="000D7A34">
      <w:pPr>
        <w:spacing w:after="0" w:line="360" w:lineRule="auto"/>
        <w:rPr>
          <w:rFonts w:ascii="Times New Roman" w:hAnsi="Times New Roman"/>
          <w:color w:val="000000"/>
          <w:lang w:val="en-GB"/>
        </w:rPr>
      </w:pPr>
      <w:r w:rsidRPr="006E1463">
        <w:rPr>
          <w:rFonts w:ascii="Times New Roman" w:hAnsi="Times New Roman"/>
          <w:color w:val="000000"/>
          <w:lang w:val="en-GB"/>
        </w:rPr>
        <w:t xml:space="preserve">Data on sea </w:t>
      </w:r>
      <w:r w:rsidR="002C65DF">
        <w:rPr>
          <w:rFonts w:ascii="Times New Roman" w:hAnsi="Times New Roman"/>
          <w:color w:val="000000"/>
          <w:lang w:val="en-GB"/>
        </w:rPr>
        <w:t xml:space="preserve">surface </w:t>
      </w:r>
      <w:r w:rsidRPr="006E1463">
        <w:rPr>
          <w:rFonts w:ascii="Times New Roman" w:hAnsi="Times New Roman"/>
          <w:color w:val="000000"/>
          <w:lang w:val="en-GB"/>
        </w:rPr>
        <w:t>temperature</w:t>
      </w:r>
      <w:r w:rsidR="002C65DF">
        <w:rPr>
          <w:rFonts w:ascii="Times New Roman" w:hAnsi="Times New Roman"/>
          <w:color w:val="000000"/>
          <w:lang w:val="en-GB"/>
        </w:rPr>
        <w:t xml:space="preserve"> </w:t>
      </w:r>
      <w:r w:rsidR="003B6CDE">
        <w:rPr>
          <w:rFonts w:ascii="Times New Roman" w:hAnsi="Times New Roman"/>
          <w:color w:val="000000"/>
          <w:lang w:val="en-GB"/>
        </w:rPr>
        <w:t>and</w:t>
      </w:r>
      <w:r w:rsidRPr="006E1463">
        <w:rPr>
          <w:rFonts w:ascii="Times New Roman" w:hAnsi="Times New Roman"/>
          <w:color w:val="000000"/>
          <w:lang w:val="en-GB"/>
        </w:rPr>
        <w:t xml:space="preserve"> salinity</w:t>
      </w:r>
      <w:r w:rsidR="002C1987">
        <w:rPr>
          <w:rFonts w:ascii="Times New Roman" w:hAnsi="Times New Roman"/>
          <w:color w:val="000000"/>
          <w:lang w:val="en-GB"/>
        </w:rPr>
        <w:t>, along with</w:t>
      </w:r>
      <w:r w:rsidRPr="006E1463">
        <w:rPr>
          <w:rFonts w:ascii="Times New Roman" w:hAnsi="Times New Roman"/>
          <w:color w:val="000000"/>
          <w:lang w:val="en-GB"/>
        </w:rPr>
        <w:t xml:space="preserve"> wind speed are shown in Figure 2. The lowest temperatures, 12.1 and 12.5 ºC, were measured at stations W1 and W2, which are closest to the river mouth. Thereafter, a slight increase was </w:t>
      </w:r>
      <w:r w:rsidR="000D7A34" w:rsidRPr="006E1463">
        <w:rPr>
          <w:rFonts w:ascii="Times New Roman" w:hAnsi="Times New Roman"/>
          <w:color w:val="000000"/>
          <w:lang w:val="en-GB"/>
        </w:rPr>
        <w:t>observed,</w:t>
      </w:r>
      <w:r w:rsidRPr="006E1463">
        <w:rPr>
          <w:rFonts w:ascii="Times New Roman" w:hAnsi="Times New Roman"/>
          <w:color w:val="000000"/>
          <w:lang w:val="en-GB"/>
        </w:rPr>
        <w:t xml:space="preserve"> and the temperature remained between 13.2 and 13.4 ºC throughout the transect. </w:t>
      </w:r>
      <w:r w:rsidR="00C77FF9">
        <w:rPr>
          <w:rFonts w:ascii="Times New Roman" w:hAnsi="Times New Roman"/>
          <w:color w:val="000000"/>
          <w:lang w:val="en-GB"/>
        </w:rPr>
        <w:t>S</w:t>
      </w:r>
      <w:r w:rsidRPr="006E1463">
        <w:rPr>
          <w:rFonts w:ascii="Times New Roman" w:hAnsi="Times New Roman"/>
          <w:color w:val="000000"/>
          <w:lang w:val="en-GB"/>
        </w:rPr>
        <w:t xml:space="preserve">alinity was lowest near the river mouth at stations W1 and W2, </w:t>
      </w:r>
      <w:r w:rsidR="009B08F4">
        <w:rPr>
          <w:rFonts w:ascii="Times New Roman" w:hAnsi="Times New Roman"/>
          <w:color w:val="000000"/>
          <w:lang w:val="en-GB"/>
        </w:rPr>
        <w:t>at about</w:t>
      </w:r>
      <w:r w:rsidR="009B08F4" w:rsidRPr="006E1463">
        <w:rPr>
          <w:rFonts w:ascii="Times New Roman" w:hAnsi="Times New Roman"/>
          <w:color w:val="000000"/>
          <w:lang w:val="en-GB"/>
        </w:rPr>
        <w:t xml:space="preserve"> </w:t>
      </w:r>
      <w:r w:rsidRPr="006E1463">
        <w:rPr>
          <w:rFonts w:ascii="Times New Roman" w:hAnsi="Times New Roman"/>
          <w:color w:val="000000"/>
          <w:lang w:val="en-GB"/>
        </w:rPr>
        <w:t xml:space="preserve">7.1, which is, however, higher than expected for the Vistula Estuary and indicates </w:t>
      </w:r>
      <w:r w:rsidR="009B08F4">
        <w:rPr>
          <w:rFonts w:ascii="Times New Roman" w:hAnsi="Times New Roman"/>
          <w:color w:val="000000"/>
          <w:lang w:val="en-GB"/>
        </w:rPr>
        <w:t xml:space="preserve">a </w:t>
      </w:r>
      <w:r w:rsidRPr="006E1463">
        <w:rPr>
          <w:rFonts w:ascii="Times New Roman" w:hAnsi="Times New Roman"/>
          <w:color w:val="000000"/>
          <w:lang w:val="en-GB"/>
        </w:rPr>
        <w:t xml:space="preserve">strong mixing </w:t>
      </w:r>
      <w:r w:rsidR="00346B3E">
        <w:rPr>
          <w:rFonts w:ascii="Times New Roman" w:hAnsi="Times New Roman"/>
          <w:color w:val="000000"/>
          <w:lang w:val="en-GB"/>
        </w:rPr>
        <w:t xml:space="preserve">of the </w:t>
      </w:r>
      <w:r w:rsidRPr="006E1463">
        <w:rPr>
          <w:rFonts w:ascii="Times New Roman" w:hAnsi="Times New Roman"/>
          <w:color w:val="000000"/>
          <w:lang w:val="en-GB"/>
        </w:rPr>
        <w:t>fresh</w:t>
      </w:r>
      <w:r w:rsidR="00346B3E">
        <w:rPr>
          <w:rFonts w:ascii="Times New Roman" w:hAnsi="Times New Roman"/>
          <w:color w:val="000000"/>
          <w:lang w:val="en-GB"/>
        </w:rPr>
        <w:t xml:space="preserve"> and seawater</w:t>
      </w:r>
      <w:r w:rsidRPr="006E1463">
        <w:rPr>
          <w:rFonts w:ascii="Times New Roman" w:hAnsi="Times New Roman"/>
          <w:color w:val="000000"/>
          <w:lang w:val="en-GB"/>
        </w:rPr>
        <w:t xml:space="preserve"> </w:t>
      </w:r>
      <w:r w:rsidR="00901F9B" w:rsidRPr="006E1463">
        <w:rPr>
          <w:rFonts w:ascii="Times New Roman" w:hAnsi="Times New Roman"/>
          <w:noProof/>
          <w:color w:val="000000"/>
          <w:lang w:val="en-GB"/>
        </w:rPr>
        <w:t>(Drozdowska et al., 2017; Schiewer and Schernewski, 2002)</w:t>
      </w:r>
      <w:r w:rsidR="00C06EFF" w:rsidRPr="006E1463">
        <w:rPr>
          <w:rFonts w:ascii="Times New Roman" w:hAnsi="Times New Roman"/>
          <w:color w:val="000000"/>
          <w:lang w:val="en-GB"/>
        </w:rPr>
        <w:t xml:space="preserve">. </w:t>
      </w:r>
      <w:r w:rsidR="000D7A34" w:rsidRPr="006E1463">
        <w:rPr>
          <w:rFonts w:ascii="Times New Roman" w:hAnsi="Times New Roman"/>
          <w:color w:val="000000"/>
          <w:lang w:val="en-GB"/>
        </w:rPr>
        <w:t xml:space="preserve">This was </w:t>
      </w:r>
      <w:r w:rsidR="000D7A34">
        <w:rPr>
          <w:rFonts w:ascii="Times New Roman" w:hAnsi="Times New Roman"/>
          <w:color w:val="000000"/>
          <w:lang w:val="en-GB"/>
        </w:rPr>
        <w:t xml:space="preserve">to be </w:t>
      </w:r>
      <w:r w:rsidR="000D7A34" w:rsidRPr="006E1463">
        <w:rPr>
          <w:rFonts w:ascii="Times New Roman" w:hAnsi="Times New Roman"/>
          <w:color w:val="000000"/>
          <w:lang w:val="en-GB"/>
        </w:rPr>
        <w:t xml:space="preserve">expected as meteorological conditions in October 2015 just prior to the field campaign included a strong northerly wind blowing from the </w:t>
      </w:r>
      <w:r w:rsidR="000D7A34">
        <w:rPr>
          <w:rFonts w:ascii="Times New Roman" w:hAnsi="Times New Roman"/>
          <w:color w:val="000000"/>
          <w:lang w:val="en-GB"/>
        </w:rPr>
        <w:t xml:space="preserve">open Baltic Sea to the </w:t>
      </w:r>
      <w:r w:rsidR="000D7A34" w:rsidRPr="006E1463">
        <w:rPr>
          <w:rFonts w:ascii="Times New Roman" w:hAnsi="Times New Roman"/>
          <w:color w:val="000000"/>
          <w:lang w:val="en-GB"/>
        </w:rPr>
        <w:t>coast of Poland</w:t>
      </w:r>
      <w:r w:rsidR="000D7A34">
        <w:rPr>
          <w:rFonts w:ascii="Times New Roman" w:hAnsi="Times New Roman"/>
          <w:color w:val="000000"/>
          <w:lang w:val="en-GB"/>
        </w:rPr>
        <w:t xml:space="preserve">, which changed </w:t>
      </w:r>
      <w:r w:rsidR="000D7A34" w:rsidRPr="00324D6A">
        <w:rPr>
          <w:rFonts w:ascii="Times New Roman" w:hAnsi="Times New Roman"/>
          <w:color w:val="000000"/>
          <w:lang w:val="en-GB"/>
        </w:rPr>
        <w:t xml:space="preserve">to </w:t>
      </w:r>
      <w:r w:rsidR="000D7A34">
        <w:rPr>
          <w:rFonts w:ascii="Times New Roman" w:hAnsi="Times New Roman"/>
          <w:color w:val="000000"/>
          <w:lang w:val="en-GB"/>
        </w:rPr>
        <w:t xml:space="preserve">predominantly </w:t>
      </w:r>
      <w:r w:rsidR="000D7A34" w:rsidRPr="00324D6A">
        <w:rPr>
          <w:rFonts w:ascii="Times New Roman" w:hAnsi="Times New Roman"/>
          <w:color w:val="000000"/>
          <w:lang w:val="en-GB"/>
        </w:rPr>
        <w:t>easterly wind</w:t>
      </w:r>
      <w:r w:rsidR="000D7A34">
        <w:rPr>
          <w:rFonts w:ascii="Times New Roman" w:hAnsi="Times New Roman"/>
          <w:color w:val="000000"/>
          <w:lang w:val="en-GB"/>
        </w:rPr>
        <w:t>s</w:t>
      </w:r>
      <w:r w:rsidR="000D7A34" w:rsidRPr="00324D6A">
        <w:rPr>
          <w:rFonts w:ascii="Times New Roman" w:hAnsi="Times New Roman"/>
          <w:color w:val="000000"/>
          <w:lang w:val="en-GB"/>
        </w:rPr>
        <w:t xml:space="preserve"> </w:t>
      </w:r>
      <w:r w:rsidR="000D7A34">
        <w:rPr>
          <w:rFonts w:ascii="Times New Roman" w:hAnsi="Times New Roman"/>
          <w:color w:val="000000"/>
          <w:lang w:val="en-GB"/>
        </w:rPr>
        <w:t xml:space="preserve">throughout the field campaign. </w:t>
      </w:r>
      <w:r w:rsidR="000D7A34">
        <w:rPr>
          <w:rFonts w:ascii="Times New Roman" w:hAnsi="Times New Roman"/>
          <w:color w:val="000000"/>
          <w:vertAlign w:val="superscript"/>
          <w:lang w:val="en-GB"/>
        </w:rPr>
        <w:t xml:space="preserve"> </w:t>
      </w:r>
      <w:bookmarkStart w:id="13" w:name="_Hlk100039974"/>
      <w:r w:rsidR="000D7A34">
        <w:rPr>
          <w:rFonts w:ascii="Times New Roman" w:hAnsi="Times New Roman"/>
          <w:color w:val="000000"/>
          <w:lang w:val="en-GB"/>
        </w:rPr>
        <w:t>The</w:t>
      </w:r>
      <w:r w:rsidR="000D7A34" w:rsidRPr="00285A84">
        <w:rPr>
          <w:rFonts w:ascii="Times New Roman" w:hAnsi="Times New Roman"/>
          <w:color w:val="000000"/>
          <w:lang w:val="en-GB"/>
        </w:rPr>
        <w:t xml:space="preserve"> presence of easter</w:t>
      </w:r>
      <w:r w:rsidR="000D7A34">
        <w:rPr>
          <w:rFonts w:ascii="Times New Roman" w:hAnsi="Times New Roman"/>
          <w:color w:val="000000"/>
          <w:lang w:val="en-GB"/>
        </w:rPr>
        <w:t>ly</w:t>
      </w:r>
      <w:r w:rsidR="000D7A34" w:rsidRPr="00285A84">
        <w:rPr>
          <w:rFonts w:ascii="Times New Roman" w:hAnsi="Times New Roman"/>
          <w:color w:val="000000"/>
          <w:lang w:val="en-GB"/>
        </w:rPr>
        <w:t>/</w:t>
      </w:r>
      <w:r w:rsidR="005B0DA9" w:rsidRPr="00285A84">
        <w:rPr>
          <w:rFonts w:ascii="Times New Roman" w:hAnsi="Times New Roman"/>
          <w:color w:val="000000"/>
          <w:lang w:val="en-GB"/>
        </w:rPr>
        <w:t>south-easte</w:t>
      </w:r>
      <w:r w:rsidR="005B0DA9">
        <w:rPr>
          <w:rFonts w:ascii="Times New Roman" w:hAnsi="Times New Roman"/>
          <w:color w:val="000000"/>
          <w:lang w:val="en-GB"/>
        </w:rPr>
        <w:t>rly</w:t>
      </w:r>
      <w:r w:rsidR="000D7A34" w:rsidRPr="00285A84">
        <w:rPr>
          <w:rFonts w:ascii="Times New Roman" w:hAnsi="Times New Roman"/>
          <w:color w:val="000000"/>
          <w:lang w:val="en-GB"/>
        </w:rPr>
        <w:t xml:space="preserve"> winds and wester</w:t>
      </w:r>
      <w:r w:rsidR="000D7A34">
        <w:rPr>
          <w:rFonts w:ascii="Times New Roman" w:hAnsi="Times New Roman"/>
          <w:color w:val="000000"/>
          <w:lang w:val="en-GB"/>
        </w:rPr>
        <w:t>ly</w:t>
      </w:r>
      <w:r w:rsidR="000D7A34" w:rsidRPr="00285A84">
        <w:rPr>
          <w:rFonts w:ascii="Times New Roman" w:hAnsi="Times New Roman"/>
          <w:color w:val="000000"/>
          <w:lang w:val="en-GB"/>
        </w:rPr>
        <w:t xml:space="preserve"> surface currents (</w:t>
      </w:r>
      <w:r w:rsidR="000D7A34" w:rsidRPr="004A2325">
        <w:rPr>
          <w:rFonts w:ascii="Times New Roman" w:hAnsi="Times New Roman"/>
          <w:color w:val="000000"/>
          <w:lang w:val="en-GB"/>
        </w:rPr>
        <w:t>Figure S</w:t>
      </w:r>
      <w:r w:rsidR="00DE38F1">
        <w:rPr>
          <w:rFonts w:ascii="Times New Roman" w:hAnsi="Times New Roman"/>
          <w:color w:val="000000"/>
          <w:lang w:val="en-GB"/>
        </w:rPr>
        <w:t>2</w:t>
      </w:r>
      <w:r w:rsidR="000D7A34" w:rsidRPr="00285A84">
        <w:rPr>
          <w:rFonts w:ascii="Times New Roman" w:hAnsi="Times New Roman"/>
          <w:color w:val="000000"/>
          <w:lang w:val="en-GB"/>
        </w:rPr>
        <w:t xml:space="preserve">) </w:t>
      </w:r>
      <w:r w:rsidR="000D7A34">
        <w:rPr>
          <w:rFonts w:ascii="Times New Roman" w:hAnsi="Times New Roman"/>
          <w:color w:val="000000"/>
          <w:lang w:val="en-GB"/>
        </w:rPr>
        <w:t xml:space="preserve">may have shifted the </w:t>
      </w:r>
      <w:r w:rsidR="000D7A34" w:rsidRPr="00285A84">
        <w:rPr>
          <w:rFonts w:ascii="Times New Roman" w:hAnsi="Times New Roman"/>
          <w:color w:val="000000"/>
          <w:lang w:val="en-GB"/>
        </w:rPr>
        <w:t xml:space="preserve">Vistula plume </w:t>
      </w:r>
      <w:r w:rsidR="000D7A34">
        <w:rPr>
          <w:rFonts w:ascii="Times New Roman" w:hAnsi="Times New Roman"/>
          <w:color w:val="000000"/>
          <w:lang w:val="en-GB"/>
        </w:rPr>
        <w:t xml:space="preserve">to the </w:t>
      </w:r>
      <w:r w:rsidR="000D7A34" w:rsidRPr="00285A84">
        <w:rPr>
          <w:rFonts w:ascii="Times New Roman" w:hAnsi="Times New Roman"/>
          <w:color w:val="000000"/>
          <w:lang w:val="en-GB"/>
        </w:rPr>
        <w:t>west of the</w:t>
      </w:r>
      <w:r w:rsidR="000D7A34">
        <w:rPr>
          <w:rFonts w:ascii="Times New Roman" w:hAnsi="Times New Roman"/>
          <w:color w:val="000000"/>
          <w:lang w:val="en-GB"/>
        </w:rPr>
        <w:t xml:space="preserve"> studied</w:t>
      </w:r>
      <w:r w:rsidR="000D7A34" w:rsidRPr="00285A84">
        <w:rPr>
          <w:rFonts w:ascii="Times New Roman" w:hAnsi="Times New Roman"/>
          <w:color w:val="000000"/>
          <w:lang w:val="en-GB"/>
        </w:rPr>
        <w:t xml:space="preserve"> transect.</w:t>
      </w:r>
      <w:r w:rsidR="000D7A34">
        <w:rPr>
          <w:rFonts w:ascii="Times New Roman" w:hAnsi="Times New Roman"/>
          <w:color w:val="000000"/>
          <w:lang w:val="en-GB"/>
        </w:rPr>
        <w:t xml:space="preserve"> </w:t>
      </w:r>
      <w:r w:rsidR="000D7A34" w:rsidRPr="00285A84">
        <w:rPr>
          <w:rFonts w:ascii="Times New Roman" w:hAnsi="Times New Roman"/>
          <w:color w:val="000000"/>
          <w:lang w:val="en-GB"/>
        </w:rPr>
        <w:t>Therefore, the influence of the river is difficult to discern</w:t>
      </w:r>
      <w:r w:rsidR="000D7A34">
        <w:rPr>
          <w:rFonts w:ascii="Times New Roman" w:hAnsi="Times New Roman"/>
          <w:color w:val="000000"/>
          <w:lang w:val="en-GB"/>
        </w:rPr>
        <w:t>. O</w:t>
      </w:r>
      <w:r w:rsidR="000D7A34" w:rsidRPr="00285A84">
        <w:rPr>
          <w:rFonts w:ascii="Times New Roman" w:hAnsi="Times New Roman"/>
          <w:color w:val="000000"/>
          <w:lang w:val="en-GB"/>
        </w:rPr>
        <w:t xml:space="preserve">nly the slightly lower salinity at stations </w:t>
      </w:r>
      <w:r w:rsidR="000D7A34">
        <w:rPr>
          <w:rFonts w:ascii="Times New Roman" w:hAnsi="Times New Roman"/>
          <w:color w:val="000000"/>
          <w:lang w:val="en-GB"/>
        </w:rPr>
        <w:t>near</w:t>
      </w:r>
      <w:r w:rsidR="000D7A34" w:rsidRPr="00285A84">
        <w:rPr>
          <w:rFonts w:ascii="Times New Roman" w:hAnsi="Times New Roman"/>
          <w:color w:val="000000"/>
          <w:lang w:val="en-GB"/>
        </w:rPr>
        <w:t xml:space="preserve"> the river mouth, e.g.</w:t>
      </w:r>
      <w:r w:rsidR="000D7A34">
        <w:rPr>
          <w:rFonts w:ascii="Times New Roman" w:hAnsi="Times New Roman"/>
          <w:color w:val="000000"/>
          <w:lang w:val="en-GB"/>
        </w:rPr>
        <w:t>,</w:t>
      </w:r>
      <w:r w:rsidR="000D7A34" w:rsidRPr="00285A84">
        <w:rPr>
          <w:rFonts w:ascii="Times New Roman" w:hAnsi="Times New Roman"/>
          <w:color w:val="000000"/>
          <w:lang w:val="en-GB"/>
        </w:rPr>
        <w:t xml:space="preserve"> W1 and W2</w:t>
      </w:r>
      <w:r w:rsidR="000D7A34">
        <w:rPr>
          <w:rFonts w:ascii="Times New Roman" w:hAnsi="Times New Roman"/>
          <w:color w:val="000000"/>
          <w:lang w:val="en-GB"/>
        </w:rPr>
        <w:t>,</w:t>
      </w:r>
      <w:r w:rsidR="000D7A34" w:rsidRPr="00285A84">
        <w:rPr>
          <w:rFonts w:ascii="Times New Roman" w:hAnsi="Times New Roman"/>
          <w:color w:val="000000"/>
          <w:lang w:val="en-GB"/>
        </w:rPr>
        <w:t xml:space="preserve"> indicat</w:t>
      </w:r>
      <w:r w:rsidR="000D7A34">
        <w:rPr>
          <w:rFonts w:ascii="Times New Roman" w:hAnsi="Times New Roman"/>
          <w:color w:val="000000"/>
          <w:lang w:val="en-GB"/>
        </w:rPr>
        <w:t>es</w:t>
      </w:r>
      <w:r w:rsidR="000D7A34" w:rsidRPr="00285A84">
        <w:rPr>
          <w:rFonts w:ascii="Times New Roman" w:hAnsi="Times New Roman"/>
          <w:color w:val="000000"/>
          <w:lang w:val="en-GB"/>
        </w:rPr>
        <w:t xml:space="preserve"> the </w:t>
      </w:r>
      <w:r w:rsidR="000D7A34">
        <w:rPr>
          <w:rFonts w:ascii="Times New Roman" w:hAnsi="Times New Roman"/>
          <w:color w:val="000000"/>
          <w:lang w:val="en-GB"/>
        </w:rPr>
        <w:t xml:space="preserve">influence of the </w:t>
      </w:r>
      <w:r w:rsidR="000D7A34" w:rsidRPr="00285A84">
        <w:rPr>
          <w:rFonts w:ascii="Times New Roman" w:hAnsi="Times New Roman"/>
          <w:color w:val="000000"/>
          <w:lang w:val="en-GB"/>
        </w:rPr>
        <w:t>Vistula plume.</w:t>
      </w:r>
      <w:bookmarkEnd w:id="13"/>
      <w:r w:rsidR="000D7A34">
        <w:rPr>
          <w:rFonts w:ascii="Times New Roman" w:hAnsi="Times New Roman"/>
          <w:color w:val="000000"/>
          <w:lang w:val="en-GB"/>
        </w:rPr>
        <w:t xml:space="preserve"> </w:t>
      </w:r>
      <w:bookmarkStart w:id="14" w:name="_Hlk100040954"/>
      <w:r w:rsidR="000D7A34">
        <w:rPr>
          <w:rFonts w:ascii="Times New Roman" w:hAnsi="Times New Roman"/>
          <w:color w:val="000000"/>
          <w:lang w:val="en-GB"/>
        </w:rPr>
        <w:t xml:space="preserve">At the times of </w:t>
      </w:r>
      <w:r w:rsidR="000D7A34" w:rsidRPr="006E1463">
        <w:rPr>
          <w:rFonts w:ascii="Times New Roman" w:hAnsi="Times New Roman"/>
          <w:color w:val="000000"/>
          <w:lang w:val="en-GB"/>
        </w:rPr>
        <w:t>sampling,</w:t>
      </w:r>
      <w:r w:rsidR="000D7A34">
        <w:rPr>
          <w:rFonts w:ascii="Times New Roman" w:hAnsi="Times New Roman"/>
          <w:color w:val="000000"/>
          <w:lang w:val="en-GB"/>
        </w:rPr>
        <w:t xml:space="preserve"> which was performed mainly in the afternoon hours (Table S1),</w:t>
      </w:r>
      <w:r w:rsidR="000D7A34" w:rsidRPr="006E1463">
        <w:rPr>
          <w:rFonts w:ascii="Times New Roman" w:hAnsi="Times New Roman"/>
          <w:color w:val="000000"/>
          <w:lang w:val="en-GB"/>
        </w:rPr>
        <w:t xml:space="preserve"> wind speed varied between 5.7 m s</w:t>
      </w:r>
      <w:r w:rsidR="000D7A34" w:rsidRPr="006E1463">
        <w:rPr>
          <w:rFonts w:ascii="Times New Roman" w:hAnsi="Times New Roman"/>
          <w:color w:val="000000"/>
          <w:vertAlign w:val="superscript"/>
          <w:lang w:val="en-GB"/>
        </w:rPr>
        <w:t>-1</w:t>
      </w:r>
      <w:r w:rsidR="000D7A34" w:rsidRPr="006E1463">
        <w:rPr>
          <w:rFonts w:ascii="Times New Roman" w:hAnsi="Times New Roman"/>
          <w:color w:val="000000"/>
          <w:lang w:val="en-GB"/>
        </w:rPr>
        <w:t xml:space="preserve"> and 10.7 m s</w:t>
      </w:r>
      <w:r w:rsidR="000D7A34" w:rsidRPr="006E1463">
        <w:rPr>
          <w:rFonts w:ascii="Times New Roman" w:hAnsi="Times New Roman"/>
          <w:color w:val="000000"/>
          <w:vertAlign w:val="superscript"/>
          <w:lang w:val="en-GB"/>
        </w:rPr>
        <w:t>-1</w:t>
      </w:r>
      <w:r w:rsidR="000D7A34" w:rsidRPr="006E1463">
        <w:rPr>
          <w:rFonts w:ascii="Times New Roman" w:hAnsi="Times New Roman"/>
          <w:color w:val="000000"/>
          <w:lang w:val="en-GB"/>
        </w:rPr>
        <w:t xml:space="preserve"> with values mostly above 8.5 m s</w:t>
      </w:r>
      <w:r w:rsidR="000D7A34" w:rsidRPr="006E1463">
        <w:rPr>
          <w:rFonts w:ascii="Times New Roman" w:hAnsi="Times New Roman"/>
          <w:color w:val="000000"/>
          <w:vertAlign w:val="superscript"/>
          <w:lang w:val="en-GB"/>
        </w:rPr>
        <w:t>-</w:t>
      </w:r>
      <w:r w:rsidR="000D7A34" w:rsidRPr="00285A84">
        <w:rPr>
          <w:rFonts w:ascii="Times New Roman" w:hAnsi="Times New Roman"/>
          <w:color w:val="000000"/>
          <w:vertAlign w:val="superscript"/>
          <w:lang w:val="en-GB"/>
        </w:rPr>
        <w:t>1</w:t>
      </w:r>
      <w:r w:rsidR="000D7A34">
        <w:rPr>
          <w:rFonts w:ascii="Times New Roman" w:hAnsi="Times New Roman"/>
          <w:color w:val="000000"/>
          <w:lang w:val="en-GB"/>
        </w:rPr>
        <w:t>. The lowest wind speed was observed after a calm night between October 15</w:t>
      </w:r>
      <w:r w:rsidR="000D7A34" w:rsidRPr="00F10163">
        <w:rPr>
          <w:rFonts w:ascii="Times New Roman" w:hAnsi="Times New Roman"/>
          <w:color w:val="000000"/>
          <w:vertAlign w:val="superscript"/>
          <w:lang w:val="en-GB"/>
        </w:rPr>
        <w:t>th</w:t>
      </w:r>
      <w:r w:rsidR="000D7A34">
        <w:rPr>
          <w:rFonts w:ascii="Times New Roman" w:hAnsi="Times New Roman"/>
          <w:color w:val="000000"/>
          <w:lang w:val="en-GB"/>
        </w:rPr>
        <w:t xml:space="preserve"> and 16</w:t>
      </w:r>
      <w:r w:rsidR="000D7A34" w:rsidRPr="00F10163">
        <w:rPr>
          <w:rFonts w:ascii="Times New Roman" w:hAnsi="Times New Roman"/>
          <w:color w:val="000000"/>
          <w:vertAlign w:val="superscript"/>
          <w:lang w:val="en-GB"/>
        </w:rPr>
        <w:t>th</w:t>
      </w:r>
      <w:r w:rsidR="000D7A34">
        <w:rPr>
          <w:rFonts w:ascii="Times New Roman" w:hAnsi="Times New Roman"/>
          <w:color w:val="000000"/>
          <w:lang w:val="en-GB"/>
        </w:rPr>
        <w:t>, which resulted in sample W5 being sampled during the calmest conditions of the field campaign (Figure 2).</w:t>
      </w:r>
      <w:bookmarkEnd w:id="14"/>
    </w:p>
    <w:p w14:paraId="481B0006" w14:textId="77777777" w:rsidR="00D11DE1" w:rsidRPr="00D11DE1" w:rsidRDefault="00C03160" w:rsidP="000D7A34">
      <w:pPr>
        <w:pStyle w:val="NoSpacing"/>
        <w:spacing w:line="360" w:lineRule="auto"/>
        <w:rPr>
          <w:lang w:val="en-GB" w:bidi="en-US"/>
        </w:rPr>
      </w:pPr>
      <w:r w:rsidRPr="00C03160">
        <w:rPr>
          <w:noProof/>
          <w:lang w:eastAsia="hr-HR"/>
        </w:rPr>
        <w:lastRenderedPageBreak/>
        <w:drawing>
          <wp:inline distT="0" distB="0" distL="0" distR="0" wp14:anchorId="6998CAA6" wp14:editId="25A33180">
            <wp:extent cx="5892942" cy="18424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6419" cy="1846662"/>
                    </a:xfrm>
                    <a:prstGeom prst="rect">
                      <a:avLst/>
                    </a:prstGeom>
                    <a:noFill/>
                    <a:ln>
                      <a:noFill/>
                    </a:ln>
                  </pic:spPr>
                </pic:pic>
              </a:graphicData>
            </a:graphic>
          </wp:inline>
        </w:drawing>
      </w:r>
    </w:p>
    <w:p w14:paraId="0006B4AD" w14:textId="77777777" w:rsidR="003C0D2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t>Figure 2.</w:t>
      </w:r>
      <w:r w:rsidRPr="006E1463">
        <w:rPr>
          <w:rFonts w:ascii="Times New Roman" w:hAnsi="Times New Roman"/>
          <w:color w:val="000000"/>
          <w:lang w:val="en-GB"/>
        </w:rPr>
        <w:t xml:space="preserve"> </w:t>
      </w:r>
      <w:r>
        <w:rPr>
          <w:rFonts w:ascii="Times New Roman" w:hAnsi="Times New Roman"/>
          <w:color w:val="000000"/>
          <w:lang w:val="en-GB"/>
        </w:rPr>
        <w:t xml:space="preserve">Sea surface </w:t>
      </w:r>
      <w:r w:rsidRPr="006E1463">
        <w:rPr>
          <w:rFonts w:ascii="Times New Roman" w:hAnsi="Times New Roman"/>
          <w:color w:val="000000"/>
          <w:lang w:val="en-GB"/>
        </w:rPr>
        <w:t>temperature (A)</w:t>
      </w:r>
      <w:r>
        <w:rPr>
          <w:rFonts w:ascii="Times New Roman" w:hAnsi="Times New Roman"/>
          <w:color w:val="000000"/>
          <w:lang w:val="en-GB"/>
        </w:rPr>
        <w:t xml:space="preserve"> and</w:t>
      </w:r>
      <w:r w:rsidRPr="006E1463">
        <w:rPr>
          <w:rFonts w:ascii="Times New Roman" w:hAnsi="Times New Roman"/>
          <w:color w:val="000000"/>
          <w:lang w:val="en-GB"/>
        </w:rPr>
        <w:t xml:space="preserve"> salinity (B), </w:t>
      </w:r>
      <w:r>
        <w:rPr>
          <w:rFonts w:ascii="Times New Roman" w:hAnsi="Times New Roman"/>
          <w:color w:val="000000"/>
          <w:lang w:val="en-GB"/>
        </w:rPr>
        <w:t>along with</w:t>
      </w:r>
      <w:r w:rsidRPr="006E1463">
        <w:rPr>
          <w:rFonts w:ascii="Times New Roman" w:hAnsi="Times New Roman"/>
          <w:color w:val="000000"/>
          <w:lang w:val="en-GB"/>
        </w:rPr>
        <w:t xml:space="preserve"> average wind speed (</w:t>
      </w:r>
      <w:r>
        <w:rPr>
          <w:rFonts w:ascii="Times New Roman" w:hAnsi="Times New Roman"/>
          <w:color w:val="000000"/>
          <w:lang w:val="en-GB"/>
        </w:rPr>
        <w:t>C</w:t>
      </w:r>
      <w:r w:rsidRPr="006E1463">
        <w:rPr>
          <w:rFonts w:ascii="Times New Roman" w:hAnsi="Times New Roman"/>
          <w:color w:val="000000"/>
          <w:lang w:val="en-GB"/>
        </w:rPr>
        <w:t>) recorded</w:t>
      </w:r>
      <w:r>
        <w:rPr>
          <w:rFonts w:ascii="Times New Roman" w:hAnsi="Times New Roman"/>
          <w:color w:val="000000"/>
          <w:lang w:val="en-GB"/>
        </w:rPr>
        <w:t xml:space="preserve"> throughout the field campaign and the</w:t>
      </w:r>
      <w:r w:rsidRPr="006E1463">
        <w:rPr>
          <w:rFonts w:ascii="Times New Roman" w:hAnsi="Times New Roman"/>
          <w:color w:val="000000"/>
          <w:lang w:val="en-GB"/>
        </w:rPr>
        <w:t xml:space="preserve"> transect. </w:t>
      </w:r>
    </w:p>
    <w:p w14:paraId="398FA147" w14:textId="77777777" w:rsidR="00354BC2" w:rsidRPr="006E1463" w:rsidRDefault="00354BC2" w:rsidP="00D72BE1">
      <w:pPr>
        <w:spacing w:after="0" w:line="360" w:lineRule="auto"/>
        <w:rPr>
          <w:rFonts w:ascii="Times New Roman" w:hAnsi="Times New Roman"/>
          <w:color w:val="000000"/>
          <w:lang w:val="en-GB"/>
        </w:rPr>
      </w:pPr>
    </w:p>
    <w:p w14:paraId="562AE474" w14:textId="77777777" w:rsidR="00354BC2" w:rsidRPr="0086002C" w:rsidRDefault="00354BC2" w:rsidP="00D72BE1">
      <w:pPr>
        <w:pStyle w:val="Heading3"/>
        <w:jc w:val="left"/>
      </w:pPr>
      <w:r w:rsidRPr="0086002C">
        <w:t>3.2. C</w:t>
      </w:r>
      <w:r w:rsidR="00F87422">
        <w:t>hromophore</w:t>
      </w:r>
      <w:r w:rsidRPr="0086002C">
        <w:t xml:space="preserve"> organic matter</w:t>
      </w:r>
    </w:p>
    <w:p w14:paraId="468B27CF" w14:textId="77777777" w:rsidR="00354BC2" w:rsidRPr="006E1463" w:rsidRDefault="00354BC2" w:rsidP="00D72BE1">
      <w:pPr>
        <w:spacing w:after="0" w:line="360" w:lineRule="auto"/>
        <w:rPr>
          <w:rFonts w:ascii="Times New Roman" w:hAnsi="Times New Roman"/>
          <w:color w:val="000000"/>
          <w:lang w:val="en-GB"/>
        </w:rPr>
      </w:pPr>
      <w:r w:rsidRPr="006E1463">
        <w:rPr>
          <w:rFonts w:ascii="Times New Roman" w:hAnsi="Times New Roman"/>
          <w:color w:val="000000"/>
          <w:lang w:val="en-GB"/>
        </w:rPr>
        <w:tab/>
      </w:r>
    </w:p>
    <w:p w14:paraId="6382F8BA" w14:textId="77777777" w:rsidR="00354BC2" w:rsidRPr="006E1463" w:rsidRDefault="00354BC2" w:rsidP="00D72BE1">
      <w:pPr>
        <w:spacing w:after="0" w:line="360" w:lineRule="auto"/>
        <w:rPr>
          <w:rFonts w:ascii="Times New Roman" w:hAnsi="Times New Roman"/>
          <w:color w:val="000000"/>
          <w:lang w:val="en-GB"/>
        </w:rPr>
      </w:pPr>
      <w:r w:rsidRPr="006E1463">
        <w:rPr>
          <w:rFonts w:ascii="Times New Roman" w:hAnsi="Times New Roman"/>
          <w:color w:val="000000"/>
          <w:lang w:val="en-GB"/>
        </w:rPr>
        <w:t>Based on the UV/VIS spectra of SML and ULW samples, the absorption coefficient</w:t>
      </w:r>
      <w:r w:rsidR="004F6749">
        <w:rPr>
          <w:rFonts w:ascii="Times New Roman" w:hAnsi="Times New Roman"/>
          <w:color w:val="000000"/>
          <w:lang w:val="en-GB"/>
        </w:rPr>
        <w:t>s</w:t>
      </w:r>
      <w:r w:rsidRPr="006E1463">
        <w:rPr>
          <w:rFonts w:ascii="Times New Roman" w:hAnsi="Times New Roman"/>
          <w:color w:val="000000"/>
          <w:lang w:val="en-GB"/>
        </w:rPr>
        <w:t xml:space="preserve"> at 254 nm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 w</w:t>
      </w:r>
      <w:r w:rsidR="004F6749">
        <w:rPr>
          <w:rFonts w:ascii="Times New Roman" w:hAnsi="Times New Roman"/>
          <w:color w:val="000000"/>
          <w:lang w:val="en-GB"/>
        </w:rPr>
        <w:t>ere</w:t>
      </w:r>
      <w:r w:rsidRPr="006E1463">
        <w:rPr>
          <w:rFonts w:ascii="Times New Roman" w:hAnsi="Times New Roman"/>
          <w:color w:val="000000"/>
          <w:lang w:val="en-GB"/>
        </w:rPr>
        <w:t xml:space="preserve"> determined</w:t>
      </w:r>
      <w:r w:rsidR="004F6749">
        <w:rPr>
          <w:rFonts w:ascii="Times New Roman" w:hAnsi="Times New Roman"/>
          <w:color w:val="000000"/>
          <w:lang w:val="en-GB"/>
        </w:rPr>
        <w:t xml:space="preserve"> </w:t>
      </w:r>
      <w:r w:rsidR="004F6749" w:rsidRPr="006E1463">
        <w:rPr>
          <w:rFonts w:ascii="Times New Roman" w:hAnsi="Times New Roman"/>
          <w:color w:val="000000"/>
          <w:lang w:val="en-GB"/>
        </w:rPr>
        <w:t>(Figure 3)</w:t>
      </w:r>
      <w:r w:rsidRPr="006E1463">
        <w:rPr>
          <w:rFonts w:ascii="Times New Roman" w:hAnsi="Times New Roman"/>
          <w:color w:val="000000"/>
          <w:lang w:val="en-GB"/>
        </w:rPr>
        <w:t xml:space="preserve">, </w:t>
      </w:r>
      <w:r w:rsidR="004F6749">
        <w:rPr>
          <w:rFonts w:ascii="Times New Roman" w:hAnsi="Times New Roman"/>
          <w:color w:val="000000"/>
          <w:lang w:val="en-GB"/>
        </w:rPr>
        <w:t>which are</w:t>
      </w:r>
      <w:r w:rsidR="0038467F">
        <w:rPr>
          <w:rFonts w:ascii="Times New Roman" w:hAnsi="Times New Roman"/>
          <w:color w:val="000000"/>
          <w:lang w:val="en-GB"/>
        </w:rPr>
        <w:t xml:space="preserve"> </w:t>
      </w:r>
      <w:r w:rsidRPr="006E1463">
        <w:rPr>
          <w:rFonts w:ascii="Times New Roman" w:hAnsi="Times New Roman"/>
          <w:color w:val="000000"/>
          <w:lang w:val="en-GB"/>
        </w:rPr>
        <w:t>specific for aromatic molecules absorbing at this wavelength. The highest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 in SML was determined at station W1, followed by a significant decrease at W2, with the lowest a</w:t>
      </w:r>
      <w:r w:rsidRPr="006E1463">
        <w:rPr>
          <w:rFonts w:ascii="Times New Roman" w:hAnsi="Times New Roman"/>
          <w:color w:val="000000"/>
          <w:vertAlign w:val="subscript"/>
          <w:lang w:val="en-GB"/>
        </w:rPr>
        <w:t>CDOM</w:t>
      </w:r>
      <w:r w:rsidRPr="006E1463">
        <w:rPr>
          <w:rFonts w:ascii="Times New Roman" w:hAnsi="Times New Roman"/>
          <w:color w:val="000000"/>
          <w:lang w:val="en-GB"/>
        </w:rPr>
        <w:t xml:space="preserve">(254) determined at station W9, </w:t>
      </w:r>
      <w:r w:rsidR="0038467F">
        <w:rPr>
          <w:rFonts w:ascii="Times New Roman" w:hAnsi="Times New Roman"/>
          <w:color w:val="000000"/>
          <w:lang w:val="en-GB"/>
        </w:rPr>
        <w:t>farthest</w:t>
      </w:r>
      <w:r w:rsidRPr="006E1463">
        <w:rPr>
          <w:rFonts w:ascii="Times New Roman" w:hAnsi="Times New Roman"/>
          <w:color w:val="000000"/>
          <w:lang w:val="en-GB"/>
        </w:rPr>
        <w:t xml:space="preserve"> from the Vistula River. A similar distribution was observed in the ULW</w:t>
      </w:r>
      <w:r w:rsidR="004F6749">
        <w:rPr>
          <w:rFonts w:ascii="Times New Roman" w:hAnsi="Times New Roman"/>
          <w:color w:val="000000"/>
          <w:lang w:val="en-GB"/>
        </w:rPr>
        <w:t>,</w:t>
      </w:r>
      <w:r w:rsidR="00EF3647" w:rsidRPr="00EF3647">
        <w:rPr>
          <w:rFonts w:ascii="Times New Roman" w:hAnsi="Times New Roman"/>
          <w:color w:val="000000"/>
          <w:lang w:val="en-GB"/>
        </w:rPr>
        <w:t xml:space="preserve"> </w:t>
      </w:r>
      <w:r w:rsidR="00EF3647">
        <w:rPr>
          <w:rFonts w:ascii="Times New Roman" w:hAnsi="Times New Roman"/>
          <w:color w:val="000000"/>
          <w:lang w:val="en-GB"/>
        </w:rPr>
        <w:t xml:space="preserve">with the highest </w:t>
      </w:r>
      <w:r w:rsidR="00EF3647" w:rsidRPr="006E1463">
        <w:rPr>
          <w:rFonts w:ascii="Times New Roman" w:hAnsi="Times New Roman"/>
          <w:color w:val="000000"/>
          <w:lang w:val="en-GB"/>
        </w:rPr>
        <w:t>a</w:t>
      </w:r>
      <w:r w:rsidR="00EF3647" w:rsidRPr="006E1463">
        <w:rPr>
          <w:rFonts w:ascii="Times New Roman" w:hAnsi="Times New Roman"/>
          <w:color w:val="000000"/>
          <w:vertAlign w:val="subscript"/>
          <w:lang w:val="en-GB"/>
        </w:rPr>
        <w:t>CDOM</w:t>
      </w:r>
      <w:r w:rsidR="00EF3647" w:rsidRPr="006E1463">
        <w:rPr>
          <w:rFonts w:ascii="Times New Roman" w:hAnsi="Times New Roman"/>
          <w:color w:val="000000"/>
          <w:lang w:val="en-GB"/>
        </w:rPr>
        <w:t xml:space="preserve">(254) </w:t>
      </w:r>
      <w:r w:rsidR="00EF3647">
        <w:rPr>
          <w:rFonts w:ascii="Times New Roman" w:hAnsi="Times New Roman"/>
          <w:color w:val="000000"/>
          <w:lang w:val="en-GB"/>
        </w:rPr>
        <w:t xml:space="preserve">determined at W1, and a significant decrease at W2, which was in fact the lowest observed </w:t>
      </w:r>
      <w:r w:rsidR="00EF3647" w:rsidRPr="006E1463">
        <w:rPr>
          <w:rFonts w:ascii="Times New Roman" w:hAnsi="Times New Roman"/>
          <w:color w:val="000000"/>
          <w:lang w:val="en-GB"/>
        </w:rPr>
        <w:t>a</w:t>
      </w:r>
      <w:r w:rsidR="00EF3647" w:rsidRPr="006E1463">
        <w:rPr>
          <w:rFonts w:ascii="Times New Roman" w:hAnsi="Times New Roman"/>
          <w:color w:val="000000"/>
          <w:vertAlign w:val="subscript"/>
          <w:lang w:val="en-GB"/>
        </w:rPr>
        <w:t>CDOM</w:t>
      </w:r>
      <w:r w:rsidR="00EF3647" w:rsidRPr="006E1463">
        <w:rPr>
          <w:rFonts w:ascii="Times New Roman" w:hAnsi="Times New Roman"/>
          <w:color w:val="000000"/>
          <w:lang w:val="en-GB"/>
        </w:rPr>
        <w:t>(254)</w:t>
      </w:r>
      <w:r w:rsidR="00EF3647">
        <w:rPr>
          <w:rFonts w:ascii="Times New Roman" w:hAnsi="Times New Roman"/>
          <w:color w:val="000000"/>
          <w:lang w:val="en-GB"/>
        </w:rPr>
        <w:t xml:space="preserve"> value in the ULW.</w:t>
      </w:r>
      <w:r w:rsidRPr="006E1463">
        <w:rPr>
          <w:rFonts w:ascii="Times New Roman" w:hAnsi="Times New Roman"/>
          <w:color w:val="000000"/>
          <w:lang w:val="en-GB"/>
        </w:rPr>
        <w:t xml:space="preserve"> The slope ratio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in the SML ranged </w:t>
      </w:r>
      <w:r w:rsidR="0038467F">
        <w:rPr>
          <w:rFonts w:ascii="Times New Roman" w:hAnsi="Times New Roman"/>
          <w:color w:val="000000"/>
          <w:lang w:val="en-GB"/>
        </w:rPr>
        <w:t>from</w:t>
      </w:r>
      <w:r w:rsidR="0038467F" w:rsidRPr="006E1463">
        <w:rPr>
          <w:rFonts w:ascii="Times New Roman" w:hAnsi="Times New Roman"/>
          <w:color w:val="000000"/>
          <w:lang w:val="en-GB"/>
        </w:rPr>
        <w:t xml:space="preserve"> </w:t>
      </w:r>
      <w:r w:rsidRPr="006E1463">
        <w:rPr>
          <w:rFonts w:ascii="Times New Roman" w:hAnsi="Times New Roman"/>
          <w:color w:val="000000"/>
          <w:lang w:val="en-GB"/>
        </w:rPr>
        <w:t xml:space="preserve">1.20 at station W1 </w:t>
      </w:r>
      <w:r w:rsidR="0038467F">
        <w:rPr>
          <w:rFonts w:ascii="Times New Roman" w:hAnsi="Times New Roman"/>
          <w:color w:val="000000"/>
          <w:lang w:val="en-GB"/>
        </w:rPr>
        <w:t>to</w:t>
      </w:r>
      <w:r w:rsidR="0038467F" w:rsidRPr="006E1463">
        <w:rPr>
          <w:rFonts w:ascii="Times New Roman" w:hAnsi="Times New Roman"/>
          <w:color w:val="000000"/>
          <w:lang w:val="en-GB"/>
        </w:rPr>
        <w:t xml:space="preserve"> </w:t>
      </w:r>
      <w:r w:rsidRPr="006E1463">
        <w:rPr>
          <w:rFonts w:ascii="Times New Roman" w:hAnsi="Times New Roman"/>
          <w:color w:val="000000"/>
          <w:lang w:val="en-GB"/>
        </w:rPr>
        <w:t xml:space="preserve">1.36 at stations W3 and W4, while in </w:t>
      </w:r>
      <w:r w:rsidR="0038467F" w:rsidRPr="006E1463">
        <w:rPr>
          <w:rFonts w:ascii="Times New Roman" w:hAnsi="Times New Roman"/>
          <w:color w:val="000000"/>
          <w:lang w:val="en-GB"/>
        </w:rPr>
        <w:t xml:space="preserve">ULW </w:t>
      </w:r>
      <w:r w:rsidRPr="006E1463">
        <w:rPr>
          <w:rFonts w:ascii="Times New Roman" w:hAnsi="Times New Roman"/>
          <w:color w:val="000000"/>
          <w:lang w:val="en-GB"/>
        </w:rPr>
        <w:t xml:space="preserve">the lowest ratio was also observed at station W1 (1.17) and the highest at W8 (1.37). </w:t>
      </w:r>
    </w:p>
    <w:p w14:paraId="328CF12E" w14:textId="77777777" w:rsidR="00354BC2" w:rsidRPr="006E1463" w:rsidRDefault="00354BC2" w:rsidP="00D72BE1">
      <w:pPr>
        <w:spacing w:after="0" w:line="360" w:lineRule="auto"/>
        <w:rPr>
          <w:rFonts w:ascii="Times New Roman" w:hAnsi="Times New Roman"/>
          <w:color w:val="000000"/>
          <w:lang w:val="en-GB"/>
        </w:rPr>
      </w:pPr>
      <w:r w:rsidRPr="006E1463">
        <w:rPr>
          <w:rFonts w:ascii="Times New Roman" w:hAnsi="Times New Roman"/>
          <w:color w:val="000000"/>
          <w:lang w:val="en-GB"/>
        </w:rPr>
        <w:t xml:space="preserve">  </w:t>
      </w:r>
    </w:p>
    <w:p w14:paraId="640D43FB" w14:textId="77777777" w:rsidR="00354BC2" w:rsidRPr="006E1463" w:rsidRDefault="009374D7" w:rsidP="00D72BE1">
      <w:pPr>
        <w:pStyle w:val="NoSpacing"/>
        <w:spacing w:line="360" w:lineRule="auto"/>
        <w:rPr>
          <w:rFonts w:ascii="Times New Roman" w:hAnsi="Times New Roman"/>
          <w:color w:val="000000"/>
          <w:lang w:val="en-GB" w:bidi="en-US"/>
        </w:rPr>
      </w:pPr>
      <w:r w:rsidRPr="006E1463">
        <w:rPr>
          <w:rFonts w:ascii="Times New Roman" w:hAnsi="Times New Roman"/>
          <w:noProof/>
          <w:color w:val="000000"/>
          <w:lang w:eastAsia="hr-HR"/>
        </w:rPr>
        <w:drawing>
          <wp:inline distT="0" distB="0" distL="0" distR="0" wp14:anchorId="00AEC442" wp14:editId="4BABD9C3">
            <wp:extent cx="5319395" cy="2512695"/>
            <wp:effectExtent l="0" t="0" r="0" b="0"/>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9395" cy="2512695"/>
                    </a:xfrm>
                    <a:prstGeom prst="rect">
                      <a:avLst/>
                    </a:prstGeom>
                    <a:noFill/>
                    <a:ln>
                      <a:noFill/>
                    </a:ln>
                  </pic:spPr>
                </pic:pic>
              </a:graphicData>
            </a:graphic>
          </wp:inline>
        </w:drawing>
      </w:r>
    </w:p>
    <w:p w14:paraId="7ECF5CED" w14:textId="77777777" w:rsidR="003C0D23" w:rsidRPr="006E146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t>Figure 3</w:t>
      </w:r>
      <w:r w:rsidRPr="006E1463">
        <w:rPr>
          <w:rFonts w:ascii="Times New Roman" w:hAnsi="Times New Roman"/>
          <w:color w:val="000000"/>
          <w:lang w:val="en-GB"/>
        </w:rPr>
        <w:t>. The CDOM absorption coefficient at 254 nm,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 (A) and spectral slope ratio (S</w:t>
      </w:r>
      <w:r w:rsidRPr="006E1463">
        <w:rPr>
          <w:rFonts w:ascii="Times New Roman" w:hAnsi="Times New Roman"/>
          <w:color w:val="000000"/>
          <w:vertAlign w:val="subscript"/>
          <w:lang w:val="en-GB"/>
        </w:rPr>
        <w:t>R</w:t>
      </w:r>
      <w:r w:rsidRPr="006E1463">
        <w:rPr>
          <w:rFonts w:ascii="Times New Roman" w:hAnsi="Times New Roman"/>
          <w:color w:val="000000"/>
          <w:lang w:val="en-GB"/>
        </w:rPr>
        <w:t>) (B) measured for the SML (circles) and the ULW (squares) of the samples from the transect.</w:t>
      </w:r>
    </w:p>
    <w:p w14:paraId="106FC22B" w14:textId="77777777" w:rsidR="00CB11FF" w:rsidRDefault="00CB11FF" w:rsidP="00D72BE1">
      <w:pPr>
        <w:spacing w:after="0" w:line="360" w:lineRule="auto"/>
        <w:ind w:firstLine="708"/>
        <w:rPr>
          <w:rFonts w:ascii="Times New Roman" w:hAnsi="Times New Roman"/>
          <w:color w:val="000000"/>
          <w:lang w:val="en-GB"/>
        </w:rPr>
      </w:pPr>
    </w:p>
    <w:p w14:paraId="527730A0" w14:textId="1B93CEC3" w:rsidR="008905A4" w:rsidRPr="006E1463" w:rsidRDefault="00AD4F59" w:rsidP="00D72BE1">
      <w:pPr>
        <w:spacing w:after="0" w:line="360" w:lineRule="auto"/>
        <w:ind w:firstLine="708"/>
        <w:rPr>
          <w:rFonts w:ascii="Times New Roman" w:hAnsi="Times New Roman"/>
          <w:color w:val="000000"/>
          <w:lang w:val="en-GB"/>
        </w:rPr>
      </w:pPr>
      <w:r>
        <w:rPr>
          <w:rFonts w:ascii="Times New Roman" w:hAnsi="Times New Roman"/>
          <w:color w:val="000000"/>
          <w:lang w:val="en-GB"/>
        </w:rPr>
        <w:lastRenderedPageBreak/>
        <w:t>F</w:t>
      </w:r>
      <w:r w:rsidR="00354BC2" w:rsidRPr="006E1463">
        <w:rPr>
          <w:rFonts w:ascii="Times New Roman" w:hAnsi="Times New Roman"/>
          <w:color w:val="000000"/>
          <w:lang w:val="en-GB"/>
        </w:rPr>
        <w:t>luorescence intensities and contribution of each component to FDOM composition in the SML and ULW are shown in Figure 4. Fluorescence intensities of the major FDOM components: A, C, M and T, expressed in Raman units (R. U.), are used as proxies of the different FDOM types. Peak A is attributed to terrestrial UV humic like substances (ex./em. – excitation and emission – 250/437 nm); peak C represents terrestrial visible-humic like substances (ex./em. 310/429 nm); peak M characterizes marine humic like substances (ex./em. 300/387 nm) and peak T represents proteinaceous substances (ex./em. 270/349 nm)</w:t>
      </w:r>
      <w:r w:rsidR="00024CB8" w:rsidRPr="006E1463">
        <w:rPr>
          <w:rFonts w:ascii="Times New Roman" w:hAnsi="Times New Roman"/>
          <w:color w:val="000000"/>
          <w:lang w:val="en-GB"/>
        </w:rPr>
        <w:t xml:space="preserve"> </w:t>
      </w:r>
      <w:r w:rsidR="003D6E48" w:rsidRPr="006E1463">
        <w:rPr>
          <w:rFonts w:ascii="Times New Roman" w:hAnsi="Times New Roman"/>
          <w:noProof/>
          <w:color w:val="000000"/>
          <w:lang w:val="en-GB"/>
        </w:rPr>
        <w:t>(Loiselle et al., 2009; Zhang et al., 2013a)</w:t>
      </w:r>
      <w:r w:rsidR="00024CB8" w:rsidRPr="006E1463">
        <w:rPr>
          <w:rFonts w:ascii="Times New Roman" w:hAnsi="Times New Roman"/>
          <w:color w:val="000000"/>
          <w:lang w:val="en-GB"/>
        </w:rPr>
        <w:t xml:space="preserve">. </w:t>
      </w:r>
      <w:r w:rsidR="008905A4" w:rsidRPr="006E1463">
        <w:rPr>
          <w:rFonts w:ascii="Times New Roman" w:hAnsi="Times New Roman"/>
          <w:color w:val="000000"/>
          <w:lang w:val="en-GB"/>
        </w:rPr>
        <w:t xml:space="preserve">The values of the (M+T):(A+C) ratios are given in Table S2. The ratios allow an assessment of the relative contribution of DOM recently produced in situ (M+T) to terrestrial humic substances (A+C), which are characterized by highly complex </w:t>
      </w:r>
      <w:r w:rsidRPr="00AD4F59">
        <w:rPr>
          <w:rFonts w:ascii="Times New Roman" w:hAnsi="Times New Roman"/>
          <w:color w:val="000000"/>
          <w:lang w:val="en-GB"/>
        </w:rPr>
        <w:t xml:space="preserve">structures with </w:t>
      </w:r>
      <w:r w:rsidR="008905A4" w:rsidRPr="006E1463">
        <w:rPr>
          <w:rFonts w:ascii="Times New Roman" w:hAnsi="Times New Roman"/>
          <w:color w:val="000000"/>
          <w:lang w:val="en-GB"/>
        </w:rPr>
        <w:t xml:space="preserve">high molecular weight </w:t>
      </w:r>
      <w:r w:rsidR="008905A4" w:rsidRPr="006E1463">
        <w:rPr>
          <w:rFonts w:ascii="Times New Roman" w:hAnsi="Times New Roman"/>
          <w:noProof/>
          <w:color w:val="000000"/>
          <w:lang w:val="en-GB"/>
        </w:rPr>
        <w:t>(Parlanti et al., 2000)</w:t>
      </w:r>
      <w:r w:rsidR="008905A4" w:rsidRPr="006E1463">
        <w:rPr>
          <w:rFonts w:ascii="Times New Roman" w:hAnsi="Times New Roman"/>
          <w:color w:val="000000"/>
          <w:lang w:val="en-GB"/>
        </w:rPr>
        <w:t>. Values of the ratio (M+T):(A+C) &gt;1 indicate the predominance of autochthonous DOM, while values of  &lt;0.6 indicate allochthon</w:t>
      </w:r>
      <w:r w:rsidR="00C03160">
        <w:rPr>
          <w:rFonts w:ascii="Times New Roman" w:hAnsi="Times New Roman"/>
          <w:color w:val="000000"/>
          <w:lang w:val="en-GB"/>
        </w:rPr>
        <w:t>ou</w:t>
      </w:r>
      <w:r w:rsidR="008905A4" w:rsidRPr="006E1463">
        <w:rPr>
          <w:rFonts w:ascii="Times New Roman" w:hAnsi="Times New Roman"/>
          <w:color w:val="000000"/>
          <w:lang w:val="en-GB"/>
        </w:rPr>
        <w:t>s/anthropogenic DOM</w:t>
      </w:r>
      <w:r w:rsidR="00646971">
        <w:rPr>
          <w:rFonts w:ascii="Times New Roman" w:hAnsi="Times New Roman"/>
          <w:color w:val="000000"/>
          <w:lang w:val="en-GB"/>
        </w:rPr>
        <w:t xml:space="preserve"> (Drozdowska et al., 2015)</w:t>
      </w:r>
      <w:r w:rsidR="008905A4" w:rsidRPr="006E1463">
        <w:rPr>
          <w:rFonts w:ascii="Times New Roman" w:hAnsi="Times New Roman"/>
          <w:color w:val="000000"/>
          <w:lang w:val="en-GB"/>
        </w:rPr>
        <w:t xml:space="preserve">. </w:t>
      </w:r>
    </w:p>
    <w:p w14:paraId="419138E0" w14:textId="77777777" w:rsidR="008905A4" w:rsidRPr="006E1463" w:rsidRDefault="009374D7" w:rsidP="00D72BE1">
      <w:pPr>
        <w:pStyle w:val="NoSpacing"/>
        <w:spacing w:line="360" w:lineRule="auto"/>
        <w:rPr>
          <w:rFonts w:ascii="Times New Roman" w:hAnsi="Times New Roman"/>
          <w:color w:val="000000"/>
          <w:lang w:val="en-GB"/>
        </w:rPr>
      </w:pPr>
      <w:r w:rsidRPr="006E1463">
        <w:rPr>
          <w:rFonts w:ascii="Times New Roman" w:hAnsi="Times New Roman"/>
          <w:noProof/>
          <w:color w:val="000000"/>
          <w:lang w:eastAsia="hr-HR"/>
        </w:rPr>
        <w:drawing>
          <wp:inline distT="0" distB="0" distL="0" distR="0" wp14:anchorId="1ACDFA1D" wp14:editId="6B00FB88">
            <wp:extent cx="3856355" cy="3967480"/>
            <wp:effectExtent l="0" t="0" r="0" b="0"/>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6355" cy="3967480"/>
                    </a:xfrm>
                    <a:prstGeom prst="rect">
                      <a:avLst/>
                    </a:prstGeom>
                    <a:noFill/>
                    <a:ln>
                      <a:noFill/>
                    </a:ln>
                  </pic:spPr>
                </pic:pic>
              </a:graphicData>
            </a:graphic>
          </wp:inline>
        </w:drawing>
      </w:r>
    </w:p>
    <w:p w14:paraId="1CC0378C" w14:textId="77777777" w:rsidR="003C0D23" w:rsidRDefault="003C0D23" w:rsidP="003C0D23">
      <w:pPr>
        <w:pStyle w:val="NoSpacing"/>
        <w:spacing w:line="360" w:lineRule="auto"/>
        <w:rPr>
          <w:rFonts w:ascii="Times New Roman" w:hAnsi="Times New Roman"/>
          <w:color w:val="000000"/>
          <w:lang w:val="en-GB"/>
        </w:rPr>
      </w:pPr>
      <w:r w:rsidRPr="006E1463">
        <w:rPr>
          <w:rFonts w:ascii="Times New Roman" w:hAnsi="Times New Roman"/>
          <w:b/>
          <w:color w:val="000000"/>
          <w:lang w:val="en-GB"/>
        </w:rPr>
        <w:t>Figure 4</w:t>
      </w:r>
      <w:r w:rsidRPr="006E1463">
        <w:rPr>
          <w:rFonts w:ascii="Times New Roman" w:hAnsi="Times New Roman"/>
          <w:color w:val="000000"/>
          <w:lang w:val="en-GB"/>
        </w:rPr>
        <w:t>. Fluorescence intensities of main FDOM components (A and B) and percentage composition of UV humic</w:t>
      </w:r>
      <w:r>
        <w:rPr>
          <w:rFonts w:ascii="Times New Roman" w:hAnsi="Times New Roman"/>
          <w:color w:val="000000"/>
          <w:lang w:val="en-GB"/>
        </w:rPr>
        <w:t>-</w:t>
      </w:r>
      <w:r w:rsidRPr="006E1463">
        <w:rPr>
          <w:rFonts w:ascii="Times New Roman" w:hAnsi="Times New Roman"/>
          <w:color w:val="000000"/>
          <w:lang w:val="en-GB"/>
        </w:rPr>
        <w:t>like substances (A), terrestrial visible</w:t>
      </w:r>
      <w:r>
        <w:rPr>
          <w:rFonts w:ascii="Times New Roman" w:hAnsi="Times New Roman"/>
          <w:color w:val="000000"/>
          <w:lang w:val="en-GB"/>
        </w:rPr>
        <w:t xml:space="preserve"> </w:t>
      </w:r>
      <w:r w:rsidRPr="006E1463">
        <w:rPr>
          <w:rFonts w:ascii="Times New Roman" w:hAnsi="Times New Roman"/>
          <w:color w:val="000000"/>
          <w:lang w:val="en-GB"/>
        </w:rPr>
        <w:t>humic</w:t>
      </w:r>
      <w:r>
        <w:rPr>
          <w:rFonts w:ascii="Times New Roman" w:hAnsi="Times New Roman"/>
          <w:color w:val="000000"/>
          <w:lang w:val="en-GB"/>
        </w:rPr>
        <w:t>-</w:t>
      </w:r>
      <w:r w:rsidRPr="006E1463">
        <w:rPr>
          <w:rFonts w:ascii="Times New Roman" w:hAnsi="Times New Roman"/>
          <w:color w:val="000000"/>
          <w:lang w:val="en-GB"/>
        </w:rPr>
        <w:t>li</w:t>
      </w:r>
      <w:r>
        <w:rPr>
          <w:rFonts w:ascii="Times New Roman" w:hAnsi="Times New Roman"/>
          <w:color w:val="000000"/>
          <w:lang w:val="en-GB"/>
        </w:rPr>
        <w:t>ke substances (C), marine humic-</w:t>
      </w:r>
      <w:r w:rsidRPr="006E1463">
        <w:rPr>
          <w:rFonts w:ascii="Times New Roman" w:hAnsi="Times New Roman"/>
          <w:color w:val="000000"/>
          <w:lang w:val="en-GB"/>
        </w:rPr>
        <w:t xml:space="preserve">like substances (M) and proteinaceous substances (T) (C and D) of </w:t>
      </w:r>
      <w:r>
        <w:rPr>
          <w:rFonts w:ascii="Times New Roman" w:hAnsi="Times New Roman"/>
          <w:color w:val="000000"/>
          <w:lang w:val="en-GB"/>
        </w:rPr>
        <w:t>the sea surface microlayer (</w:t>
      </w:r>
      <w:r w:rsidRPr="006E1463">
        <w:rPr>
          <w:rFonts w:ascii="Times New Roman" w:hAnsi="Times New Roman"/>
          <w:color w:val="000000"/>
          <w:lang w:val="en-GB"/>
        </w:rPr>
        <w:t>SML</w:t>
      </w:r>
      <w:r>
        <w:rPr>
          <w:rFonts w:ascii="Times New Roman" w:hAnsi="Times New Roman"/>
          <w:color w:val="000000"/>
          <w:lang w:val="en-GB"/>
        </w:rPr>
        <w:t>)</w:t>
      </w:r>
      <w:r w:rsidRPr="006E1463">
        <w:rPr>
          <w:rFonts w:ascii="Times New Roman" w:hAnsi="Times New Roman"/>
          <w:color w:val="000000"/>
          <w:lang w:val="en-GB"/>
        </w:rPr>
        <w:t xml:space="preserve"> (A and C) and </w:t>
      </w:r>
      <w:r>
        <w:rPr>
          <w:rFonts w:ascii="Times New Roman" w:hAnsi="Times New Roman"/>
          <w:color w:val="000000"/>
          <w:lang w:val="en-GB"/>
        </w:rPr>
        <w:t>underlying water (</w:t>
      </w:r>
      <w:r w:rsidRPr="006E1463">
        <w:rPr>
          <w:rFonts w:ascii="Times New Roman" w:hAnsi="Times New Roman"/>
          <w:color w:val="000000"/>
          <w:lang w:val="en-GB"/>
        </w:rPr>
        <w:t>ULW</w:t>
      </w:r>
      <w:r>
        <w:rPr>
          <w:rFonts w:ascii="Times New Roman" w:hAnsi="Times New Roman"/>
          <w:color w:val="000000"/>
          <w:lang w:val="en-GB"/>
        </w:rPr>
        <w:t>)</w:t>
      </w:r>
      <w:r w:rsidRPr="006E1463">
        <w:rPr>
          <w:rFonts w:ascii="Times New Roman" w:hAnsi="Times New Roman"/>
          <w:color w:val="000000"/>
          <w:lang w:val="en-GB"/>
        </w:rPr>
        <w:t xml:space="preserve"> (B and D) throughout the transect.</w:t>
      </w:r>
    </w:p>
    <w:p w14:paraId="57A40CFD" w14:textId="77777777" w:rsidR="00B50684" w:rsidRPr="006E1463" w:rsidRDefault="00B50684" w:rsidP="00D72BE1">
      <w:pPr>
        <w:pStyle w:val="NoSpacing"/>
        <w:spacing w:line="360" w:lineRule="auto"/>
        <w:rPr>
          <w:rFonts w:ascii="Times New Roman" w:hAnsi="Times New Roman"/>
          <w:color w:val="000000"/>
          <w:lang w:val="en-GB" w:bidi="en-US"/>
        </w:rPr>
      </w:pPr>
    </w:p>
    <w:p w14:paraId="4B93297D" w14:textId="77777777" w:rsidR="00941A4E" w:rsidRPr="006E1463" w:rsidRDefault="008905A4" w:rsidP="00941A4E">
      <w:pPr>
        <w:spacing w:after="0" w:line="360" w:lineRule="auto"/>
        <w:ind w:firstLine="708"/>
        <w:rPr>
          <w:rFonts w:ascii="Times New Roman" w:hAnsi="Times New Roman"/>
          <w:color w:val="000000"/>
          <w:lang w:val="en-GB"/>
        </w:rPr>
      </w:pPr>
      <w:r w:rsidRPr="006E1463">
        <w:rPr>
          <w:rFonts w:ascii="Times New Roman" w:hAnsi="Times New Roman"/>
          <w:color w:val="000000"/>
          <w:lang w:val="en-GB"/>
        </w:rPr>
        <w:t xml:space="preserve">The levels of FDOM components were </w:t>
      </w:r>
      <w:r w:rsidR="00E1168A">
        <w:rPr>
          <w:rFonts w:ascii="Times New Roman" w:hAnsi="Times New Roman"/>
          <w:color w:val="000000"/>
          <w:lang w:val="en-GB"/>
        </w:rPr>
        <w:t>only slightly higher in</w:t>
      </w:r>
      <w:r w:rsidR="00941A4E" w:rsidRPr="00941A4E">
        <w:rPr>
          <w:rFonts w:ascii="Times New Roman" w:hAnsi="Times New Roman"/>
          <w:color w:val="000000"/>
          <w:lang w:val="en-GB"/>
        </w:rPr>
        <w:t xml:space="preserve"> </w:t>
      </w:r>
      <w:r w:rsidR="00941A4E">
        <w:rPr>
          <w:rFonts w:ascii="Times New Roman" w:hAnsi="Times New Roman"/>
          <w:color w:val="000000"/>
          <w:lang w:val="en-GB"/>
        </w:rPr>
        <w:t xml:space="preserve">the </w:t>
      </w:r>
      <w:r w:rsidR="00941A4E" w:rsidRPr="006E1463">
        <w:rPr>
          <w:rFonts w:ascii="Times New Roman" w:hAnsi="Times New Roman"/>
          <w:color w:val="000000"/>
          <w:lang w:val="en-GB"/>
        </w:rPr>
        <w:t>SML than in the ULW</w:t>
      </w:r>
      <w:r w:rsidR="00941A4E">
        <w:rPr>
          <w:rFonts w:ascii="Times New Roman" w:hAnsi="Times New Roman"/>
          <w:color w:val="000000"/>
          <w:lang w:val="en-GB"/>
        </w:rPr>
        <w:t>. The difference between the means in SML and ULW was not statistically significant according to the two-</w:t>
      </w:r>
      <w:r w:rsidR="00941A4E">
        <w:rPr>
          <w:rFonts w:ascii="Times New Roman" w:hAnsi="Times New Roman"/>
          <w:color w:val="000000"/>
          <w:lang w:val="en-GB"/>
        </w:rPr>
        <w:lastRenderedPageBreak/>
        <w:t>sample t-test.</w:t>
      </w:r>
      <w:r w:rsidR="00E1168A">
        <w:rPr>
          <w:rFonts w:ascii="Times New Roman" w:hAnsi="Times New Roman"/>
          <w:color w:val="000000"/>
          <w:lang w:val="en-GB"/>
        </w:rPr>
        <w:t xml:space="preserve"> </w:t>
      </w:r>
      <w:r w:rsidRPr="006E1463">
        <w:rPr>
          <w:rFonts w:ascii="Times New Roman" w:hAnsi="Times New Roman"/>
          <w:color w:val="000000"/>
          <w:lang w:val="en-GB"/>
        </w:rPr>
        <w:t xml:space="preserve"> The percent composition of FDOM components varied most within the first 15 km of the transect at stations W1 – W4, while in the reminder of the transect the </w:t>
      </w:r>
      <w:r w:rsidR="00E1168A">
        <w:rPr>
          <w:rFonts w:ascii="Times New Roman" w:hAnsi="Times New Roman"/>
          <w:color w:val="000000"/>
          <w:lang w:val="en-GB"/>
        </w:rPr>
        <w:t>contributions</w:t>
      </w:r>
      <w:r w:rsidR="00E1168A" w:rsidRPr="006E1463">
        <w:rPr>
          <w:rFonts w:ascii="Times New Roman" w:hAnsi="Times New Roman"/>
          <w:color w:val="000000"/>
          <w:lang w:val="en-GB"/>
        </w:rPr>
        <w:t xml:space="preserve"> </w:t>
      </w:r>
      <w:r w:rsidRPr="006E1463">
        <w:rPr>
          <w:rFonts w:ascii="Times New Roman" w:hAnsi="Times New Roman"/>
          <w:color w:val="000000"/>
          <w:lang w:val="en-GB"/>
        </w:rPr>
        <w:t>of each component remained</w:t>
      </w:r>
      <w:r w:rsidR="00B65B12">
        <w:rPr>
          <w:rFonts w:ascii="Times New Roman" w:hAnsi="Times New Roman"/>
          <w:color w:val="000000"/>
          <w:lang w:val="en-GB"/>
        </w:rPr>
        <w:t xml:space="preserve"> fairly</w:t>
      </w:r>
      <w:r w:rsidRPr="006E1463">
        <w:rPr>
          <w:rFonts w:ascii="Times New Roman" w:hAnsi="Times New Roman"/>
          <w:color w:val="000000"/>
          <w:lang w:val="en-GB"/>
        </w:rPr>
        <w:t xml:space="preserve"> constant in both SML and ULW. </w:t>
      </w:r>
      <w:r w:rsidR="00941A4E">
        <w:rPr>
          <w:rFonts w:ascii="Times New Roman" w:hAnsi="Times New Roman"/>
          <w:color w:val="000000"/>
          <w:lang w:val="en-GB"/>
        </w:rPr>
        <w:t xml:space="preserve">The contribution of UV humic-like substances (A) averaged 40% in both SML and ULW. In the SML it ranged from 34% at W1 to 42% at W3 and in ULW from 39% at W3 to 42% at W1. Terrestrial visible humic-like substances (C) contributed an average of 24% in the SML and 23% in the ULW to FDOM composition and were highest at W1, near the river mouth, in both SML and ULW. They ranged from 21% at W3 to 30% at W1 in SML, and from 22% at W7 to 26% at W1 in ULW. Marine humic-like substances (M) contributed an average of 22% to the FDOM composition of SML and ULW, ranging from 21% at W9 to 26% at W1 in the SML, and from 21% at W1 to 23% at W2 in the ULW. </w:t>
      </w:r>
      <w:r w:rsidR="00941A4E" w:rsidRPr="006E1463">
        <w:rPr>
          <w:rFonts w:ascii="Times New Roman" w:hAnsi="Times New Roman"/>
          <w:color w:val="000000"/>
          <w:lang w:val="en-GB"/>
        </w:rPr>
        <w:t>The contribution of proteinaceous material</w:t>
      </w:r>
      <w:r w:rsidR="00941A4E">
        <w:rPr>
          <w:rFonts w:ascii="Times New Roman" w:hAnsi="Times New Roman"/>
          <w:color w:val="000000"/>
          <w:lang w:val="en-GB"/>
        </w:rPr>
        <w:t xml:space="preserve"> (T) </w:t>
      </w:r>
      <w:r w:rsidR="00941A4E" w:rsidRPr="003E5E21">
        <w:rPr>
          <w:rFonts w:ascii="Times New Roman" w:hAnsi="Times New Roman"/>
          <w:color w:val="000000"/>
          <w:lang w:val="en-GB"/>
        </w:rPr>
        <w:t>was distributed differently</w:t>
      </w:r>
      <w:r w:rsidR="00941A4E" w:rsidRPr="003E5E21" w:rsidDel="003E5E21">
        <w:rPr>
          <w:rFonts w:ascii="Times New Roman" w:hAnsi="Times New Roman"/>
          <w:color w:val="000000"/>
          <w:lang w:val="en-GB"/>
        </w:rPr>
        <w:t xml:space="preserve"> </w:t>
      </w:r>
      <w:r w:rsidR="00941A4E">
        <w:rPr>
          <w:rFonts w:ascii="Times New Roman" w:hAnsi="Times New Roman"/>
          <w:color w:val="000000"/>
          <w:lang w:val="en-GB"/>
        </w:rPr>
        <w:t xml:space="preserve">compared to other components. At station W1, their contribution was lowest in both SML and ULW, 10% and 11%, respectively, while the highest contribution was found at station W4, 18% and 17% in the SML and ULW, respectively.  The average contribution of proteinaceous material across the transect was 15% in both SML and ULW. </w:t>
      </w:r>
    </w:p>
    <w:p w14:paraId="67AB899B" w14:textId="77777777" w:rsidR="00BC462B" w:rsidRPr="00BC462B" w:rsidRDefault="00BC462B" w:rsidP="00D72BE1">
      <w:pPr>
        <w:pStyle w:val="NoSpacing"/>
        <w:spacing w:line="360" w:lineRule="auto"/>
        <w:rPr>
          <w:lang w:val="en-GB" w:bidi="en-US"/>
        </w:rPr>
      </w:pPr>
    </w:p>
    <w:p w14:paraId="3ACB0069" w14:textId="77777777" w:rsidR="008905A4" w:rsidRPr="006E1463" w:rsidRDefault="008905A4" w:rsidP="00CB1F9D">
      <w:pPr>
        <w:pStyle w:val="Heading3"/>
      </w:pPr>
      <w:r w:rsidRPr="006E1463">
        <w:t>3.3. Surface</w:t>
      </w:r>
      <w:r w:rsidR="00083D16">
        <w:t>-</w:t>
      </w:r>
      <w:r w:rsidRPr="006E1463">
        <w:t>active substances</w:t>
      </w:r>
    </w:p>
    <w:p w14:paraId="18DB94B6" w14:textId="77777777" w:rsidR="008905A4" w:rsidRPr="006E1463" w:rsidRDefault="008905A4" w:rsidP="00D72BE1">
      <w:pPr>
        <w:spacing w:after="0" w:line="360" w:lineRule="auto"/>
        <w:rPr>
          <w:rFonts w:ascii="Times New Roman" w:hAnsi="Times New Roman"/>
          <w:color w:val="000000"/>
          <w:lang w:val="en-GB"/>
        </w:rPr>
      </w:pPr>
    </w:p>
    <w:p w14:paraId="3AE4D86B" w14:textId="582BAB46" w:rsidR="007F74F3" w:rsidRDefault="008905A4" w:rsidP="007F74F3">
      <w:pPr>
        <w:spacing w:after="0" w:line="360" w:lineRule="auto"/>
        <w:rPr>
          <w:rFonts w:ascii="Times New Roman" w:hAnsi="Times New Roman"/>
          <w:color w:val="000000"/>
          <w:lang w:val="en-GB"/>
        </w:rPr>
      </w:pPr>
      <w:r w:rsidRPr="006E1463">
        <w:rPr>
          <w:rFonts w:ascii="Times New Roman" w:hAnsi="Times New Roman"/>
          <w:color w:val="000000"/>
          <w:lang w:val="en-GB"/>
        </w:rPr>
        <w:t xml:space="preserve">Concentrations of SAS in </w:t>
      </w:r>
      <w:r w:rsidR="00B620F4">
        <w:rPr>
          <w:rFonts w:ascii="Times New Roman" w:hAnsi="Times New Roman"/>
          <w:color w:val="000000"/>
          <w:lang w:val="en-GB"/>
        </w:rPr>
        <w:t xml:space="preserve">the </w:t>
      </w:r>
      <w:r w:rsidRPr="006E1463">
        <w:rPr>
          <w:rFonts w:ascii="Times New Roman" w:hAnsi="Times New Roman"/>
          <w:color w:val="000000"/>
          <w:lang w:val="en-GB"/>
        </w:rPr>
        <w:t>SML and ULW throughout the transect are shown in Figure 5</w:t>
      </w:r>
      <w:r w:rsidR="007A0936">
        <w:rPr>
          <w:rFonts w:ascii="Times New Roman" w:hAnsi="Times New Roman"/>
          <w:color w:val="000000"/>
          <w:lang w:val="en-GB"/>
        </w:rPr>
        <w:t>A</w:t>
      </w:r>
      <w:r w:rsidR="00403B14">
        <w:rPr>
          <w:rFonts w:ascii="Times New Roman" w:hAnsi="Times New Roman"/>
          <w:color w:val="000000"/>
          <w:lang w:val="en-GB"/>
        </w:rPr>
        <w:t xml:space="preserve"> and </w:t>
      </w:r>
      <w:r w:rsidR="00B620F4">
        <w:rPr>
          <w:rFonts w:ascii="Times New Roman" w:hAnsi="Times New Roman"/>
          <w:color w:val="000000"/>
          <w:lang w:val="en-GB"/>
        </w:rPr>
        <w:t>listed</w:t>
      </w:r>
      <w:r w:rsidR="00403B14">
        <w:rPr>
          <w:rFonts w:ascii="Times New Roman" w:hAnsi="Times New Roman"/>
          <w:color w:val="000000"/>
          <w:lang w:val="en-GB"/>
        </w:rPr>
        <w:t xml:space="preserve"> in Table S2</w:t>
      </w:r>
      <w:r w:rsidR="00F83648">
        <w:rPr>
          <w:rFonts w:ascii="Times New Roman" w:hAnsi="Times New Roman"/>
          <w:color w:val="000000"/>
          <w:lang w:val="en-GB"/>
        </w:rPr>
        <w:t xml:space="preserve">. </w:t>
      </w:r>
      <w:r w:rsidRPr="006E1463">
        <w:rPr>
          <w:rFonts w:ascii="Times New Roman" w:hAnsi="Times New Roman"/>
          <w:color w:val="000000"/>
          <w:lang w:val="en-GB"/>
        </w:rPr>
        <w:t>Concentrations in the SML ranged from 0.</w:t>
      </w:r>
      <w:r w:rsidR="00804721">
        <w:rPr>
          <w:rFonts w:ascii="Times New Roman" w:hAnsi="Times New Roman"/>
          <w:color w:val="000000"/>
          <w:lang w:val="en-GB"/>
        </w:rPr>
        <w:t>2</w:t>
      </w:r>
      <w:r w:rsidR="00B9288E">
        <w:rPr>
          <w:rFonts w:ascii="Times New Roman" w:hAnsi="Times New Roman"/>
          <w:color w:val="000000"/>
          <w:lang w:val="en-GB"/>
        </w:rPr>
        <w:t>8</w:t>
      </w:r>
      <w:r w:rsidR="00B50684">
        <w:rPr>
          <w:rFonts w:ascii="Times New Roman" w:hAnsi="Times New Roman"/>
          <w:color w:val="000000"/>
          <w:lang w:val="en-GB"/>
        </w:rPr>
        <w:t xml:space="preserve"> ± 0.01</w:t>
      </w:r>
      <w:r w:rsidR="00804721" w:rsidRPr="006E1463">
        <w:rPr>
          <w:rFonts w:ascii="Times New Roman" w:hAnsi="Times New Roman"/>
          <w:color w:val="000000"/>
          <w:lang w:val="en-GB"/>
        </w:rPr>
        <w:t xml:space="preserve"> </w:t>
      </w:r>
      <w:r w:rsidRPr="006E1463">
        <w:rPr>
          <w:rFonts w:ascii="Times New Roman" w:hAnsi="Times New Roman"/>
          <w:color w:val="000000"/>
          <w:lang w:val="en-GB"/>
        </w:rPr>
        <w:t>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to 0.</w:t>
      </w:r>
      <w:r w:rsidR="00804721">
        <w:rPr>
          <w:rFonts w:ascii="Times New Roman" w:hAnsi="Times New Roman"/>
          <w:color w:val="000000"/>
          <w:lang w:val="en-GB"/>
        </w:rPr>
        <w:t>60</w:t>
      </w:r>
      <w:r w:rsidR="00B50684">
        <w:rPr>
          <w:rFonts w:ascii="Times New Roman" w:hAnsi="Times New Roman"/>
          <w:color w:val="000000"/>
          <w:lang w:val="en-GB"/>
        </w:rPr>
        <w:t xml:space="preserve"> ± 0.00</w:t>
      </w:r>
      <w:r w:rsidR="00804721" w:rsidRPr="006E1463">
        <w:rPr>
          <w:rFonts w:ascii="Times New Roman" w:hAnsi="Times New Roman"/>
          <w:color w:val="000000"/>
          <w:lang w:val="en-GB"/>
        </w:rPr>
        <w:t xml:space="preserve"> </w:t>
      </w:r>
      <w:r w:rsidRPr="006E1463">
        <w:rPr>
          <w:rFonts w:ascii="Times New Roman" w:hAnsi="Times New Roman"/>
          <w:color w:val="000000"/>
          <w:lang w:val="en-GB"/>
        </w:rPr>
        <w:t>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eq. T-X-100, with an average value of 0.</w:t>
      </w:r>
      <w:r w:rsidR="00B9288E">
        <w:rPr>
          <w:rFonts w:ascii="Times New Roman" w:hAnsi="Times New Roman"/>
          <w:color w:val="000000"/>
          <w:lang w:val="en-GB"/>
        </w:rPr>
        <w:t>39 ± 0.09</w:t>
      </w:r>
      <w:r w:rsidRPr="006E1463">
        <w:rPr>
          <w:rFonts w:ascii="Times New Roman" w:hAnsi="Times New Roman"/>
          <w:color w:val="000000"/>
          <w:lang w:val="en-GB"/>
        </w:rPr>
        <w:t xml:space="preserve"> 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eq. T-X-100, while in the ULW</w:t>
      </w:r>
      <w:r w:rsidR="00B9288E">
        <w:rPr>
          <w:rFonts w:ascii="Times New Roman" w:hAnsi="Times New Roman"/>
          <w:color w:val="000000"/>
          <w:lang w:val="en-GB"/>
        </w:rPr>
        <w:t xml:space="preserve"> they</w:t>
      </w:r>
      <w:r w:rsidR="00B9288E" w:rsidRPr="006E1463">
        <w:rPr>
          <w:rFonts w:ascii="Times New Roman" w:hAnsi="Times New Roman"/>
          <w:color w:val="000000"/>
          <w:lang w:val="en-GB"/>
        </w:rPr>
        <w:t xml:space="preserve"> rang</w:t>
      </w:r>
      <w:r w:rsidR="00B9288E">
        <w:rPr>
          <w:rFonts w:ascii="Times New Roman" w:hAnsi="Times New Roman"/>
          <w:color w:val="000000"/>
          <w:lang w:val="en-GB"/>
        </w:rPr>
        <w:t>ed</w:t>
      </w:r>
      <w:r w:rsidR="00B9288E" w:rsidRPr="006E1463">
        <w:rPr>
          <w:rFonts w:ascii="Times New Roman" w:hAnsi="Times New Roman"/>
          <w:color w:val="000000"/>
          <w:lang w:val="en-GB"/>
        </w:rPr>
        <w:t xml:space="preserve"> </w:t>
      </w:r>
      <w:r w:rsidRPr="006E1463">
        <w:rPr>
          <w:rFonts w:ascii="Times New Roman" w:hAnsi="Times New Roman"/>
          <w:color w:val="000000"/>
          <w:lang w:val="en-GB"/>
        </w:rPr>
        <w:t>from 0.2</w:t>
      </w:r>
      <w:r w:rsidR="00804721">
        <w:rPr>
          <w:rFonts w:ascii="Times New Roman" w:hAnsi="Times New Roman"/>
          <w:color w:val="000000"/>
          <w:lang w:val="en-GB"/>
        </w:rPr>
        <w:t>2</w:t>
      </w:r>
      <w:r w:rsidR="004D7647">
        <w:rPr>
          <w:rFonts w:ascii="Times New Roman" w:hAnsi="Times New Roman"/>
          <w:color w:val="000000"/>
          <w:lang w:val="en-GB"/>
        </w:rPr>
        <w:t xml:space="preserve"> ± 0.02</w:t>
      </w:r>
      <w:r w:rsidR="004D7647" w:rsidRPr="006E1463">
        <w:rPr>
          <w:rFonts w:ascii="Times New Roman" w:hAnsi="Times New Roman"/>
          <w:color w:val="000000"/>
          <w:lang w:val="en-GB"/>
        </w:rPr>
        <w:t xml:space="preserve"> </w:t>
      </w:r>
      <w:r w:rsidRPr="006E1463">
        <w:rPr>
          <w:rFonts w:ascii="Times New Roman" w:hAnsi="Times New Roman"/>
          <w:color w:val="000000"/>
          <w:lang w:val="en-GB"/>
        </w:rPr>
        <w:t>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to 0.47</w:t>
      </w:r>
      <w:r w:rsidR="004D7647">
        <w:rPr>
          <w:rFonts w:ascii="Times New Roman" w:hAnsi="Times New Roman"/>
          <w:color w:val="000000"/>
          <w:lang w:val="en-GB"/>
        </w:rPr>
        <w:t xml:space="preserve"> ± 0.01</w:t>
      </w:r>
      <w:r w:rsidRPr="006E1463">
        <w:rPr>
          <w:rFonts w:ascii="Times New Roman" w:hAnsi="Times New Roman"/>
          <w:color w:val="000000"/>
          <w:lang w:val="en-GB"/>
        </w:rPr>
        <w:t xml:space="preserve"> 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eq. T-X-100, with an average value of 0.3</w:t>
      </w:r>
      <w:r w:rsidR="00804721">
        <w:rPr>
          <w:rFonts w:ascii="Times New Roman" w:hAnsi="Times New Roman"/>
          <w:color w:val="000000"/>
          <w:lang w:val="en-GB"/>
        </w:rPr>
        <w:t>2</w:t>
      </w:r>
      <w:r w:rsidR="00B9288E">
        <w:rPr>
          <w:rFonts w:ascii="Times New Roman" w:hAnsi="Times New Roman"/>
          <w:color w:val="000000"/>
          <w:lang w:val="en-GB"/>
        </w:rPr>
        <w:t xml:space="preserve"> ± 0.07</w:t>
      </w:r>
      <w:r w:rsidRPr="006E1463">
        <w:rPr>
          <w:rFonts w:ascii="Times New Roman" w:hAnsi="Times New Roman"/>
          <w:color w:val="000000"/>
          <w:lang w:val="en-GB"/>
        </w:rPr>
        <w:t xml:space="preserve"> mg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eq. T-X-100. The highest concentrations were determined at the river mouth, at station W1</w:t>
      </w:r>
      <w:r w:rsidR="006A4A3D">
        <w:rPr>
          <w:rFonts w:ascii="Times New Roman" w:hAnsi="Times New Roman"/>
          <w:color w:val="000000"/>
          <w:lang w:val="en-GB"/>
        </w:rPr>
        <w:t>, and the lowest at station W6,</w:t>
      </w:r>
      <w:r w:rsidRPr="006E1463">
        <w:rPr>
          <w:rFonts w:ascii="Times New Roman" w:hAnsi="Times New Roman"/>
          <w:color w:val="000000"/>
          <w:lang w:val="en-GB"/>
        </w:rPr>
        <w:t xml:space="preserve"> in both </w:t>
      </w:r>
      <w:r w:rsidR="007801D1">
        <w:rPr>
          <w:rFonts w:ascii="Times New Roman" w:hAnsi="Times New Roman"/>
          <w:color w:val="000000"/>
          <w:lang w:val="en-GB"/>
        </w:rPr>
        <w:t xml:space="preserve">the </w:t>
      </w:r>
      <w:r w:rsidRPr="006E1463">
        <w:rPr>
          <w:rFonts w:ascii="Times New Roman" w:hAnsi="Times New Roman"/>
          <w:color w:val="000000"/>
          <w:lang w:val="en-GB"/>
        </w:rPr>
        <w:t>SML and ULW</w:t>
      </w:r>
      <w:r w:rsidR="006A4A3D">
        <w:rPr>
          <w:rFonts w:ascii="Times New Roman" w:hAnsi="Times New Roman"/>
          <w:color w:val="000000"/>
          <w:lang w:val="en-GB"/>
        </w:rPr>
        <w:t xml:space="preserve">. </w:t>
      </w:r>
      <w:r w:rsidR="007F74F3">
        <w:rPr>
          <w:rFonts w:ascii="Times New Roman" w:hAnsi="Times New Roman"/>
          <w:color w:val="000000"/>
          <w:lang w:val="en-GB"/>
        </w:rPr>
        <w:t xml:space="preserve">A statistically significant positive correlation was found between the concentration of SAS in the SML and in the ULW (r = 0.937, p &lt; 0.001). </w:t>
      </w:r>
    </w:p>
    <w:p w14:paraId="784F5397" w14:textId="77777777" w:rsidR="008905A4" w:rsidRDefault="008905A4" w:rsidP="00D72BE1">
      <w:pPr>
        <w:spacing w:after="0" w:line="360" w:lineRule="auto"/>
        <w:rPr>
          <w:rFonts w:ascii="Times New Roman" w:hAnsi="Times New Roman"/>
          <w:color w:val="000000"/>
          <w:lang w:val="en-GB"/>
        </w:rPr>
      </w:pPr>
    </w:p>
    <w:p w14:paraId="1646B614" w14:textId="77777777" w:rsidR="00785ECE" w:rsidRPr="00785ECE" w:rsidRDefault="00804721" w:rsidP="00CB11FF">
      <w:pPr>
        <w:pStyle w:val="NoSpacing"/>
        <w:spacing w:line="360" w:lineRule="auto"/>
        <w:rPr>
          <w:lang w:val="en-GB" w:bidi="en-US"/>
        </w:rPr>
      </w:pPr>
      <w:r w:rsidRPr="00804721">
        <w:rPr>
          <w:lang w:val="en-GB"/>
        </w:rPr>
        <w:t xml:space="preserve"> </w:t>
      </w:r>
      <w:r w:rsidR="00A11AD0" w:rsidRPr="00A11AD0">
        <w:rPr>
          <w:noProof/>
          <w:lang w:eastAsia="hr-HR"/>
        </w:rPr>
        <w:drawing>
          <wp:inline distT="0" distB="0" distL="0" distR="0" wp14:anchorId="1FBE77CF" wp14:editId="69070D26">
            <wp:extent cx="4748103" cy="23923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9090" cy="2397862"/>
                    </a:xfrm>
                    <a:prstGeom prst="rect">
                      <a:avLst/>
                    </a:prstGeom>
                    <a:noFill/>
                    <a:ln>
                      <a:noFill/>
                    </a:ln>
                  </pic:spPr>
                </pic:pic>
              </a:graphicData>
            </a:graphic>
          </wp:inline>
        </w:drawing>
      </w:r>
    </w:p>
    <w:p w14:paraId="58E5759E" w14:textId="77777777" w:rsidR="003C0D23" w:rsidRPr="006E146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lastRenderedPageBreak/>
        <w:t>Figure 5</w:t>
      </w:r>
      <w:r w:rsidRPr="006E1463">
        <w:rPr>
          <w:rFonts w:ascii="Times New Roman" w:hAnsi="Times New Roman"/>
          <w:color w:val="000000"/>
          <w:lang w:val="en-GB"/>
        </w:rPr>
        <w:t>.  Distribution of surface</w:t>
      </w:r>
      <w:r>
        <w:rPr>
          <w:rFonts w:ascii="Times New Roman" w:hAnsi="Times New Roman"/>
          <w:color w:val="000000"/>
          <w:lang w:val="en-GB"/>
        </w:rPr>
        <w:t>-</w:t>
      </w:r>
      <w:r w:rsidRPr="006E1463">
        <w:rPr>
          <w:rFonts w:ascii="Times New Roman" w:hAnsi="Times New Roman"/>
          <w:color w:val="000000"/>
          <w:lang w:val="en-GB"/>
        </w:rPr>
        <w:t>active</w:t>
      </w:r>
      <w:r>
        <w:rPr>
          <w:rFonts w:ascii="Times New Roman" w:hAnsi="Times New Roman"/>
          <w:color w:val="000000"/>
          <w:lang w:val="en-GB"/>
        </w:rPr>
        <w:t xml:space="preserve"> organic</w:t>
      </w:r>
      <w:r w:rsidRPr="006E1463">
        <w:rPr>
          <w:rFonts w:ascii="Times New Roman" w:hAnsi="Times New Roman"/>
          <w:color w:val="000000"/>
          <w:lang w:val="en-GB"/>
        </w:rPr>
        <w:t xml:space="preserve"> substances (SAS) in the</w:t>
      </w:r>
      <w:r>
        <w:rPr>
          <w:rFonts w:ascii="Times New Roman" w:hAnsi="Times New Roman"/>
          <w:color w:val="000000"/>
          <w:lang w:val="en-GB"/>
        </w:rPr>
        <w:t xml:space="preserve"> sea surface microlayer (</w:t>
      </w:r>
      <w:r w:rsidRPr="006E1463">
        <w:rPr>
          <w:rFonts w:ascii="Times New Roman" w:hAnsi="Times New Roman"/>
          <w:color w:val="000000"/>
          <w:lang w:val="en-GB"/>
        </w:rPr>
        <w:t>SML</w:t>
      </w:r>
      <w:r>
        <w:rPr>
          <w:rFonts w:ascii="Times New Roman" w:hAnsi="Times New Roman"/>
          <w:color w:val="000000"/>
          <w:lang w:val="en-GB"/>
        </w:rPr>
        <w:t>)</w:t>
      </w:r>
      <w:r w:rsidRPr="006E1463">
        <w:rPr>
          <w:rFonts w:ascii="Times New Roman" w:hAnsi="Times New Roman"/>
          <w:color w:val="000000"/>
          <w:lang w:val="en-GB"/>
        </w:rPr>
        <w:t xml:space="preserve"> (circles) and </w:t>
      </w:r>
      <w:r>
        <w:rPr>
          <w:rFonts w:ascii="Times New Roman" w:hAnsi="Times New Roman"/>
          <w:color w:val="000000"/>
          <w:lang w:val="en-GB"/>
        </w:rPr>
        <w:t>underlying water (</w:t>
      </w:r>
      <w:r w:rsidRPr="006E1463">
        <w:rPr>
          <w:rFonts w:ascii="Times New Roman" w:hAnsi="Times New Roman"/>
          <w:color w:val="000000"/>
          <w:lang w:val="en-GB"/>
        </w:rPr>
        <w:t>ULW</w:t>
      </w:r>
      <w:r>
        <w:rPr>
          <w:rFonts w:ascii="Times New Roman" w:hAnsi="Times New Roman"/>
          <w:color w:val="000000"/>
          <w:lang w:val="en-GB"/>
        </w:rPr>
        <w:t>)</w:t>
      </w:r>
      <w:r w:rsidRPr="006E1463">
        <w:rPr>
          <w:rFonts w:ascii="Times New Roman" w:hAnsi="Times New Roman"/>
          <w:color w:val="000000"/>
          <w:lang w:val="en-GB"/>
        </w:rPr>
        <w:t xml:space="preserve"> (squares) (A) and SAS enrichment factors (B) in the transect.</w:t>
      </w:r>
    </w:p>
    <w:p w14:paraId="414B4DC3" w14:textId="77777777" w:rsidR="008905A4" w:rsidRPr="006E1463" w:rsidRDefault="008905A4" w:rsidP="00CB11FF">
      <w:pPr>
        <w:pStyle w:val="NoSpacing"/>
        <w:spacing w:line="360" w:lineRule="auto"/>
        <w:rPr>
          <w:rFonts w:ascii="Times New Roman" w:hAnsi="Times New Roman"/>
          <w:color w:val="000000"/>
          <w:lang w:val="en-GB" w:bidi="en-US"/>
        </w:rPr>
      </w:pPr>
    </w:p>
    <w:p w14:paraId="00F31520" w14:textId="55B56AF5" w:rsidR="008C3378" w:rsidRDefault="008905A4" w:rsidP="00CB11FF">
      <w:pPr>
        <w:spacing w:after="0" w:line="360" w:lineRule="auto"/>
        <w:rPr>
          <w:rFonts w:ascii="Times New Roman" w:hAnsi="Times New Roman"/>
          <w:color w:val="000000"/>
          <w:lang w:val="en-GB"/>
        </w:rPr>
      </w:pPr>
      <w:r w:rsidRPr="006E1463">
        <w:rPr>
          <w:rFonts w:ascii="Times New Roman" w:hAnsi="Times New Roman"/>
          <w:color w:val="000000"/>
          <w:lang w:val="en-GB"/>
        </w:rPr>
        <w:t xml:space="preserve">The enrichment factor (EF), defined as the ratio of SAS concentrations determined in </w:t>
      </w:r>
      <w:r w:rsidR="0051145F">
        <w:rPr>
          <w:rFonts w:ascii="Times New Roman" w:hAnsi="Times New Roman"/>
          <w:color w:val="000000"/>
          <w:lang w:val="en-GB"/>
        </w:rPr>
        <w:t xml:space="preserve">the </w:t>
      </w:r>
      <w:r w:rsidRPr="006E1463">
        <w:rPr>
          <w:rFonts w:ascii="Times New Roman" w:hAnsi="Times New Roman"/>
          <w:color w:val="000000"/>
          <w:lang w:val="en-GB"/>
        </w:rPr>
        <w:t xml:space="preserve">SML and ULW, </w:t>
      </w:r>
      <w:r w:rsidR="00CC1CD1">
        <w:rPr>
          <w:rFonts w:ascii="Times New Roman" w:hAnsi="Times New Roman"/>
          <w:color w:val="000000"/>
          <w:lang w:val="en-GB"/>
        </w:rPr>
        <w:t>showed</w:t>
      </w:r>
      <w:r w:rsidRPr="006E1463">
        <w:rPr>
          <w:rFonts w:ascii="Times New Roman" w:hAnsi="Times New Roman"/>
          <w:color w:val="000000"/>
          <w:lang w:val="en-GB"/>
        </w:rPr>
        <w:t xml:space="preserve"> that all SML samples were enriched in SAS (Figure 5</w:t>
      </w:r>
      <w:r w:rsidR="007A0936">
        <w:rPr>
          <w:rFonts w:ascii="Times New Roman" w:hAnsi="Times New Roman"/>
          <w:color w:val="000000"/>
          <w:lang w:val="en-GB"/>
        </w:rPr>
        <w:t>B</w:t>
      </w:r>
      <w:r w:rsidRPr="006E1463">
        <w:rPr>
          <w:rFonts w:ascii="Times New Roman" w:hAnsi="Times New Roman"/>
          <w:color w:val="000000"/>
          <w:lang w:val="en-GB"/>
        </w:rPr>
        <w:t xml:space="preserve">). </w:t>
      </w:r>
      <w:r w:rsidR="009E6383">
        <w:rPr>
          <w:rFonts w:ascii="Times New Roman" w:hAnsi="Times New Roman"/>
          <w:color w:val="000000"/>
          <w:lang w:val="en-GB"/>
        </w:rPr>
        <w:t>Enrichment factor</w:t>
      </w:r>
      <w:r w:rsidR="004E251A">
        <w:rPr>
          <w:rFonts w:ascii="Times New Roman" w:hAnsi="Times New Roman"/>
          <w:color w:val="000000"/>
          <w:lang w:val="en-GB"/>
        </w:rPr>
        <w:t>s</w:t>
      </w:r>
      <w:r w:rsidRPr="006E1463">
        <w:rPr>
          <w:rFonts w:ascii="Times New Roman" w:hAnsi="Times New Roman"/>
          <w:color w:val="000000"/>
          <w:lang w:val="en-GB"/>
        </w:rPr>
        <w:t xml:space="preserve"> ranged from 1.0 to 1.4 (Table </w:t>
      </w:r>
      <w:r w:rsidR="008C3378">
        <w:rPr>
          <w:rFonts w:ascii="Times New Roman" w:hAnsi="Times New Roman"/>
          <w:color w:val="000000"/>
          <w:lang w:val="en-GB"/>
        </w:rPr>
        <w:t>2</w:t>
      </w:r>
      <w:r w:rsidRPr="006E1463">
        <w:rPr>
          <w:rFonts w:ascii="Times New Roman" w:hAnsi="Times New Roman"/>
          <w:color w:val="000000"/>
          <w:lang w:val="en-GB"/>
        </w:rPr>
        <w:t xml:space="preserve">), with the lowest EF observed at station W4 and </w:t>
      </w:r>
      <w:r w:rsidR="00660D56">
        <w:rPr>
          <w:rFonts w:ascii="Times New Roman" w:hAnsi="Times New Roman"/>
          <w:color w:val="000000"/>
          <w:lang w:val="en-GB"/>
        </w:rPr>
        <w:t xml:space="preserve">the </w:t>
      </w:r>
      <w:r w:rsidRPr="006E1463">
        <w:rPr>
          <w:rFonts w:ascii="Times New Roman" w:hAnsi="Times New Roman"/>
          <w:color w:val="000000"/>
          <w:lang w:val="en-GB"/>
        </w:rPr>
        <w:t>highest at station</w:t>
      </w:r>
      <w:r w:rsidR="004E251A">
        <w:rPr>
          <w:rFonts w:ascii="Times New Roman" w:hAnsi="Times New Roman"/>
          <w:color w:val="000000"/>
          <w:lang w:val="en-GB"/>
        </w:rPr>
        <w:t xml:space="preserve"> </w:t>
      </w:r>
      <w:r w:rsidRPr="006E1463">
        <w:rPr>
          <w:rFonts w:ascii="Times New Roman" w:hAnsi="Times New Roman"/>
          <w:color w:val="000000"/>
          <w:lang w:val="en-GB"/>
        </w:rPr>
        <w:t>W9</w:t>
      </w:r>
      <w:r w:rsidR="006A4A3D">
        <w:rPr>
          <w:rFonts w:ascii="Times New Roman" w:hAnsi="Times New Roman"/>
          <w:color w:val="000000"/>
          <w:lang w:val="en-GB"/>
        </w:rPr>
        <w:t xml:space="preserve">, </w:t>
      </w:r>
      <w:r w:rsidR="00660D56" w:rsidRPr="00660D56">
        <w:rPr>
          <w:rFonts w:ascii="Times New Roman" w:hAnsi="Times New Roman"/>
          <w:color w:val="000000"/>
          <w:lang w:val="en-GB"/>
        </w:rPr>
        <w:t>which is farthest</w:t>
      </w:r>
      <w:r w:rsidR="00660D56" w:rsidRPr="00660D56" w:rsidDel="00660D56">
        <w:rPr>
          <w:rFonts w:ascii="Times New Roman" w:hAnsi="Times New Roman"/>
          <w:color w:val="000000"/>
          <w:lang w:val="en-GB"/>
        </w:rPr>
        <w:t xml:space="preserve"> </w:t>
      </w:r>
      <w:r w:rsidR="006A4A3D">
        <w:rPr>
          <w:rFonts w:ascii="Times New Roman" w:hAnsi="Times New Roman"/>
          <w:color w:val="000000"/>
          <w:lang w:val="en-GB"/>
        </w:rPr>
        <w:t>from the river mouth</w:t>
      </w:r>
      <w:r w:rsidRPr="006E1463">
        <w:rPr>
          <w:rFonts w:ascii="Times New Roman" w:hAnsi="Times New Roman"/>
          <w:color w:val="000000"/>
          <w:lang w:val="en-GB"/>
        </w:rPr>
        <w:t xml:space="preserve"> (Figure 5</w:t>
      </w:r>
      <w:r w:rsidR="007A0936">
        <w:rPr>
          <w:rFonts w:ascii="Times New Roman" w:hAnsi="Times New Roman"/>
          <w:color w:val="000000"/>
          <w:lang w:val="en-GB"/>
        </w:rPr>
        <w:t>B</w:t>
      </w:r>
      <w:r w:rsidRPr="006E1463">
        <w:rPr>
          <w:rFonts w:ascii="Times New Roman" w:hAnsi="Times New Roman"/>
          <w:color w:val="000000"/>
          <w:lang w:val="en-GB"/>
        </w:rPr>
        <w:t xml:space="preserve">). </w:t>
      </w:r>
    </w:p>
    <w:p w14:paraId="087E1397" w14:textId="77777777" w:rsidR="001C3043" w:rsidRPr="006E1463" w:rsidRDefault="001C3043" w:rsidP="00DC19BD">
      <w:pPr>
        <w:pStyle w:val="NoSpacing"/>
        <w:spacing w:line="360" w:lineRule="auto"/>
        <w:rPr>
          <w:rFonts w:ascii="Times New Roman" w:hAnsi="Times New Roman"/>
          <w:color w:val="000000"/>
          <w:lang w:val="en-US"/>
        </w:rPr>
      </w:pPr>
    </w:p>
    <w:p w14:paraId="67C24CB7" w14:textId="77777777" w:rsidR="007579A1" w:rsidRDefault="007579A1" w:rsidP="00346B3E">
      <w:pPr>
        <w:pStyle w:val="Heading3"/>
        <w:jc w:val="left"/>
      </w:pPr>
      <w:r w:rsidRPr="0086002C">
        <w:t xml:space="preserve">3.4. Particulate organic carbon and particulate lipids </w:t>
      </w:r>
    </w:p>
    <w:p w14:paraId="2405EB0D" w14:textId="77777777" w:rsidR="00346B3E" w:rsidRPr="00346B3E" w:rsidRDefault="00346B3E" w:rsidP="00346B3E">
      <w:pPr>
        <w:spacing w:after="0" w:line="360" w:lineRule="auto"/>
        <w:rPr>
          <w:lang w:val="en-GB"/>
        </w:rPr>
      </w:pPr>
    </w:p>
    <w:p w14:paraId="1217165C" w14:textId="77777777" w:rsidR="007579A1" w:rsidRPr="006E1463" w:rsidRDefault="007579A1" w:rsidP="00346B3E">
      <w:pPr>
        <w:spacing w:after="0" w:line="360" w:lineRule="auto"/>
        <w:rPr>
          <w:rFonts w:ascii="Times New Roman" w:hAnsi="Times New Roman"/>
          <w:color w:val="000000"/>
          <w:lang w:val="en-GB"/>
        </w:rPr>
      </w:pPr>
      <w:r w:rsidRPr="006E1463">
        <w:rPr>
          <w:rFonts w:ascii="Times New Roman" w:hAnsi="Times New Roman"/>
          <w:color w:val="000000"/>
          <w:lang w:val="en-GB"/>
        </w:rPr>
        <w:t>The distribution of particulate organic carbon and particulate lipids in the SML and ULW and the corresponding EF are shown in Figure 6. The POC value determined at station W4 was extremely low (0.004 mg L</w:t>
      </w:r>
      <w:r w:rsidRPr="006E1463">
        <w:rPr>
          <w:rFonts w:ascii="Times New Roman" w:hAnsi="Times New Roman"/>
          <w:color w:val="000000"/>
          <w:vertAlign w:val="superscript"/>
          <w:lang w:val="en-GB"/>
        </w:rPr>
        <w:t>-1</w:t>
      </w:r>
      <w:r w:rsidRPr="006E1463">
        <w:rPr>
          <w:rFonts w:ascii="Times New Roman" w:hAnsi="Times New Roman"/>
          <w:color w:val="000000"/>
          <w:lang w:val="en-GB"/>
        </w:rPr>
        <w:t>)</w:t>
      </w:r>
      <w:r w:rsidR="002B4142">
        <w:rPr>
          <w:rFonts w:ascii="Times New Roman" w:hAnsi="Times New Roman"/>
          <w:color w:val="000000"/>
          <w:lang w:val="en-GB"/>
        </w:rPr>
        <w:t>,</w:t>
      </w:r>
      <w:r w:rsidRPr="006E1463">
        <w:rPr>
          <w:rFonts w:ascii="Times New Roman" w:hAnsi="Times New Roman"/>
          <w:color w:val="000000"/>
          <w:lang w:val="en-GB"/>
        </w:rPr>
        <w:t xml:space="preserve"> suggesting measurement error, and was therefore not considered in further analysis. Table </w:t>
      </w:r>
      <w:r w:rsidR="008C3378">
        <w:rPr>
          <w:rFonts w:ascii="Times New Roman" w:hAnsi="Times New Roman"/>
          <w:color w:val="000000"/>
          <w:lang w:val="en-GB"/>
        </w:rPr>
        <w:t>1</w:t>
      </w:r>
      <w:r w:rsidRPr="006E1463">
        <w:rPr>
          <w:rFonts w:ascii="Times New Roman" w:hAnsi="Times New Roman"/>
          <w:color w:val="000000"/>
          <w:lang w:val="en-GB"/>
        </w:rPr>
        <w:t xml:space="preserve"> shows the concentrations of total particulate lipids and lipid classes determined in the SML and ULW. </w:t>
      </w:r>
      <w:r w:rsidR="00CD53C2" w:rsidRPr="006E1463">
        <w:rPr>
          <w:rFonts w:ascii="Times New Roman" w:hAnsi="Times New Roman"/>
          <w:color w:val="000000"/>
          <w:lang w:val="en-GB"/>
        </w:rPr>
        <w:t>POC concentrations in the SML ranged from 0.27</w:t>
      </w:r>
      <w:r w:rsidR="00CD53C2">
        <w:rPr>
          <w:rFonts w:ascii="Times New Roman" w:hAnsi="Times New Roman"/>
          <w:color w:val="000000"/>
          <w:lang w:val="en-GB"/>
        </w:rPr>
        <w:t xml:space="preserve"> </w:t>
      </w:r>
      <w:r w:rsidR="00CD53C2" w:rsidRPr="006E1463">
        <w:rPr>
          <w:rFonts w:ascii="Times New Roman" w:hAnsi="Times New Roman"/>
          <w:color w:val="000000"/>
          <w:lang w:val="en-GB"/>
        </w:rPr>
        <w:t>mg L</w:t>
      </w:r>
      <w:r w:rsidR="00CD53C2" w:rsidRPr="006E1463">
        <w:rPr>
          <w:rFonts w:ascii="Times New Roman" w:hAnsi="Times New Roman"/>
          <w:color w:val="000000"/>
          <w:vertAlign w:val="superscript"/>
          <w:lang w:val="en-GB"/>
        </w:rPr>
        <w:t>-1</w:t>
      </w:r>
      <w:r w:rsidR="00CD53C2" w:rsidRPr="006E1463">
        <w:rPr>
          <w:rFonts w:ascii="Times New Roman" w:hAnsi="Times New Roman"/>
          <w:color w:val="000000"/>
          <w:lang w:val="en-GB"/>
        </w:rPr>
        <w:t xml:space="preserve"> to 0.84 mg L</w:t>
      </w:r>
      <w:r w:rsidR="00CD53C2" w:rsidRPr="006E1463">
        <w:rPr>
          <w:rFonts w:ascii="Times New Roman" w:hAnsi="Times New Roman"/>
          <w:color w:val="000000"/>
          <w:vertAlign w:val="superscript"/>
          <w:lang w:val="en-GB"/>
        </w:rPr>
        <w:t>-1</w:t>
      </w:r>
      <w:r w:rsidR="00CD53C2" w:rsidRPr="006E1463">
        <w:rPr>
          <w:rFonts w:ascii="Times New Roman" w:hAnsi="Times New Roman"/>
          <w:color w:val="000000"/>
          <w:lang w:val="en-GB"/>
        </w:rPr>
        <w:t>,</w:t>
      </w:r>
      <w:r w:rsidR="00CD53C2">
        <w:rPr>
          <w:rFonts w:ascii="Times New Roman" w:hAnsi="Times New Roman"/>
          <w:color w:val="000000"/>
          <w:lang w:val="en-GB"/>
        </w:rPr>
        <w:t xml:space="preserve"> with an average value of 0.51 ± 0.17</w:t>
      </w:r>
      <w:r w:rsidR="00CD53C2" w:rsidRPr="006E1463">
        <w:rPr>
          <w:rFonts w:ascii="Times New Roman" w:hAnsi="Times New Roman"/>
          <w:color w:val="000000"/>
          <w:lang w:val="en-GB"/>
        </w:rPr>
        <w:t xml:space="preserve"> mg L</w:t>
      </w:r>
      <w:r w:rsidR="00CD53C2" w:rsidRPr="006E1463">
        <w:rPr>
          <w:rFonts w:ascii="Times New Roman" w:hAnsi="Times New Roman"/>
          <w:color w:val="000000"/>
          <w:vertAlign w:val="superscript"/>
          <w:lang w:val="en-GB"/>
        </w:rPr>
        <w:t>-1</w:t>
      </w:r>
      <w:r w:rsidR="00CD53C2" w:rsidRPr="005C781D">
        <w:rPr>
          <w:rFonts w:ascii="Times New Roman" w:hAnsi="Times New Roman"/>
          <w:color w:val="000000"/>
          <w:lang w:val="en-GB"/>
        </w:rPr>
        <w:t>,</w:t>
      </w:r>
      <w:r w:rsidR="00CD53C2">
        <w:rPr>
          <w:rFonts w:ascii="Times New Roman" w:hAnsi="Times New Roman"/>
          <w:color w:val="000000"/>
          <w:lang w:val="en-GB"/>
        </w:rPr>
        <w:t xml:space="preserve"> </w:t>
      </w:r>
      <w:r w:rsidR="00CD53C2" w:rsidRPr="006E1463">
        <w:rPr>
          <w:rFonts w:ascii="Times New Roman" w:hAnsi="Times New Roman"/>
          <w:color w:val="000000"/>
          <w:lang w:val="en-GB"/>
        </w:rPr>
        <w:t>while they were</w:t>
      </w:r>
      <w:r w:rsidR="00CD53C2">
        <w:rPr>
          <w:rFonts w:ascii="Times New Roman" w:hAnsi="Times New Roman"/>
          <w:color w:val="000000"/>
          <w:lang w:val="en-GB"/>
        </w:rPr>
        <w:t xml:space="preserve"> significantly</w:t>
      </w:r>
      <w:r w:rsidR="00CD53C2" w:rsidRPr="006E1463">
        <w:rPr>
          <w:rFonts w:ascii="Times New Roman" w:hAnsi="Times New Roman"/>
          <w:color w:val="000000"/>
          <w:lang w:val="en-GB"/>
        </w:rPr>
        <w:t xml:space="preserve"> lower</w:t>
      </w:r>
      <w:r w:rsidR="00CD53C2">
        <w:rPr>
          <w:rFonts w:ascii="Times New Roman" w:hAnsi="Times New Roman"/>
          <w:color w:val="000000"/>
          <w:lang w:val="en-GB"/>
        </w:rPr>
        <w:t xml:space="preserve"> </w:t>
      </w:r>
      <w:r w:rsidR="00CD53C2" w:rsidRPr="006E1463">
        <w:rPr>
          <w:rFonts w:ascii="Times New Roman" w:hAnsi="Times New Roman"/>
          <w:color w:val="000000"/>
          <w:lang w:val="en-GB"/>
        </w:rPr>
        <w:t xml:space="preserve">in the ULW </w:t>
      </w:r>
      <w:r w:rsidR="00CD53C2">
        <w:rPr>
          <w:rFonts w:ascii="Times New Roman" w:hAnsi="Times New Roman"/>
          <w:color w:val="000000"/>
          <w:lang w:val="en-GB"/>
        </w:rPr>
        <w:t>(two-sample t-test, p = 0.001)</w:t>
      </w:r>
      <w:r w:rsidR="00CD53C2" w:rsidRPr="006E1463">
        <w:rPr>
          <w:rFonts w:ascii="Times New Roman" w:hAnsi="Times New Roman"/>
          <w:color w:val="000000"/>
          <w:lang w:val="en-GB"/>
        </w:rPr>
        <w:t xml:space="preserve">, </w:t>
      </w:r>
      <w:r w:rsidR="00CD53C2">
        <w:rPr>
          <w:rFonts w:ascii="Times New Roman" w:hAnsi="Times New Roman"/>
          <w:color w:val="000000"/>
          <w:lang w:val="en-GB"/>
        </w:rPr>
        <w:t xml:space="preserve">with an average value of 0.27 ± 0.05 </w:t>
      </w:r>
      <w:r w:rsidR="00CD53C2" w:rsidRPr="006E1463">
        <w:rPr>
          <w:rFonts w:ascii="Times New Roman" w:hAnsi="Times New Roman"/>
          <w:color w:val="000000"/>
          <w:lang w:val="en-GB"/>
        </w:rPr>
        <w:t>mg L</w:t>
      </w:r>
      <w:r w:rsidR="00CD53C2" w:rsidRPr="006E1463">
        <w:rPr>
          <w:rFonts w:ascii="Times New Roman" w:hAnsi="Times New Roman"/>
          <w:color w:val="000000"/>
          <w:vertAlign w:val="superscript"/>
          <w:lang w:val="en-GB"/>
        </w:rPr>
        <w:t>-1</w:t>
      </w:r>
      <w:r w:rsidR="00CD53C2">
        <w:rPr>
          <w:rFonts w:ascii="Times New Roman" w:hAnsi="Times New Roman"/>
          <w:color w:val="000000"/>
          <w:lang w:val="en-GB"/>
        </w:rPr>
        <w:t xml:space="preserve"> and </w:t>
      </w:r>
      <w:r w:rsidR="00CD53C2" w:rsidRPr="006E1463">
        <w:rPr>
          <w:rFonts w:ascii="Times New Roman" w:hAnsi="Times New Roman"/>
          <w:color w:val="000000"/>
          <w:lang w:val="en-GB"/>
        </w:rPr>
        <w:t>ranging from 0.20</w:t>
      </w:r>
      <w:r w:rsidR="00CD53C2" w:rsidRPr="005C781D">
        <w:rPr>
          <w:rFonts w:ascii="Times New Roman" w:hAnsi="Times New Roman"/>
          <w:color w:val="000000"/>
          <w:lang w:val="en-GB"/>
        </w:rPr>
        <w:t xml:space="preserve"> </w:t>
      </w:r>
      <w:r w:rsidR="00CD53C2" w:rsidRPr="006E1463">
        <w:rPr>
          <w:rFonts w:ascii="Times New Roman" w:hAnsi="Times New Roman"/>
          <w:color w:val="000000"/>
          <w:lang w:val="en-GB"/>
        </w:rPr>
        <w:t>mg L</w:t>
      </w:r>
      <w:r w:rsidR="00CD53C2" w:rsidRPr="006E1463">
        <w:rPr>
          <w:rFonts w:ascii="Times New Roman" w:hAnsi="Times New Roman"/>
          <w:color w:val="000000"/>
          <w:vertAlign w:val="superscript"/>
          <w:lang w:val="en-GB"/>
        </w:rPr>
        <w:t>-1</w:t>
      </w:r>
      <w:r w:rsidR="00CD53C2" w:rsidRPr="006E1463">
        <w:rPr>
          <w:rFonts w:ascii="Times New Roman" w:hAnsi="Times New Roman"/>
          <w:color w:val="000000"/>
          <w:lang w:val="en-GB"/>
        </w:rPr>
        <w:t xml:space="preserve"> to 0.37 mg L</w:t>
      </w:r>
      <w:r w:rsidR="00CD53C2" w:rsidRPr="006E1463">
        <w:rPr>
          <w:rFonts w:ascii="Times New Roman" w:hAnsi="Times New Roman"/>
          <w:color w:val="000000"/>
          <w:vertAlign w:val="superscript"/>
          <w:lang w:val="en-GB"/>
        </w:rPr>
        <w:t>-1</w:t>
      </w:r>
      <w:r w:rsidR="00CD53C2" w:rsidRPr="006E1463">
        <w:rPr>
          <w:rFonts w:ascii="Times New Roman" w:hAnsi="Times New Roman"/>
          <w:color w:val="000000"/>
          <w:lang w:val="en-GB"/>
        </w:rPr>
        <w:t>.</w:t>
      </w:r>
      <w:r w:rsidR="00CD53C2">
        <w:rPr>
          <w:rFonts w:ascii="Times New Roman" w:hAnsi="Times New Roman"/>
          <w:color w:val="000000"/>
          <w:lang w:val="en-GB"/>
        </w:rPr>
        <w:t xml:space="preserve"> </w:t>
      </w:r>
      <w:r w:rsidRPr="006E1463">
        <w:rPr>
          <w:rFonts w:ascii="Times New Roman" w:hAnsi="Times New Roman"/>
          <w:color w:val="000000"/>
          <w:lang w:val="en-GB"/>
        </w:rPr>
        <w:t>The lowest POC values in the SML were determined at stations W1 – W3, while the highest POC concentrations</w:t>
      </w:r>
      <w:r w:rsidR="002B4142">
        <w:rPr>
          <w:rFonts w:ascii="Times New Roman" w:hAnsi="Times New Roman"/>
          <w:color w:val="000000"/>
          <w:lang w:val="en-GB"/>
        </w:rPr>
        <w:t xml:space="preserve"> in the ULW</w:t>
      </w:r>
      <w:r w:rsidRPr="006E1463">
        <w:rPr>
          <w:rFonts w:ascii="Times New Roman" w:hAnsi="Times New Roman"/>
          <w:color w:val="000000"/>
          <w:lang w:val="en-GB"/>
        </w:rPr>
        <w:t xml:space="preserve"> </w:t>
      </w:r>
      <w:r w:rsidR="002B4142">
        <w:rPr>
          <w:rFonts w:ascii="Times New Roman" w:hAnsi="Times New Roman"/>
          <w:color w:val="000000"/>
          <w:lang w:val="en-GB"/>
        </w:rPr>
        <w:t xml:space="preserve">were found </w:t>
      </w:r>
      <w:r w:rsidR="002B4142" w:rsidRPr="006E1463">
        <w:rPr>
          <w:rFonts w:ascii="Times New Roman" w:hAnsi="Times New Roman"/>
          <w:color w:val="000000"/>
          <w:lang w:val="en-GB"/>
        </w:rPr>
        <w:t>at the same stations</w:t>
      </w:r>
      <w:r w:rsidRPr="006E1463">
        <w:rPr>
          <w:rFonts w:ascii="Times New Roman" w:hAnsi="Times New Roman"/>
          <w:color w:val="000000"/>
          <w:lang w:val="en-GB"/>
        </w:rPr>
        <w:t xml:space="preserve">. POC was enriched in the SML at all stations </w:t>
      </w:r>
      <w:r w:rsidR="00BE37F3">
        <w:rPr>
          <w:rFonts w:ascii="Times New Roman" w:hAnsi="Times New Roman"/>
          <w:color w:val="000000"/>
          <w:lang w:val="en-GB"/>
        </w:rPr>
        <w:t>(</w:t>
      </w:r>
      <w:r w:rsidR="009226CE">
        <w:rPr>
          <w:rFonts w:ascii="Times New Roman" w:hAnsi="Times New Roman"/>
          <w:color w:val="000000"/>
          <w:lang w:val="en-GB"/>
        </w:rPr>
        <w:t>1.3-3.0</w:t>
      </w:r>
      <w:r w:rsidR="00BE37F3">
        <w:rPr>
          <w:rFonts w:ascii="Times New Roman" w:hAnsi="Times New Roman"/>
          <w:color w:val="000000"/>
          <w:lang w:val="en-GB"/>
        </w:rPr>
        <w:t xml:space="preserve">) </w:t>
      </w:r>
      <w:r w:rsidRPr="006E1463">
        <w:rPr>
          <w:rFonts w:ascii="Times New Roman" w:hAnsi="Times New Roman"/>
          <w:color w:val="000000"/>
          <w:lang w:val="en-GB"/>
        </w:rPr>
        <w:t>except station W2</w:t>
      </w:r>
      <w:r w:rsidR="009226CE">
        <w:rPr>
          <w:rFonts w:ascii="Times New Roman" w:hAnsi="Times New Roman"/>
          <w:color w:val="000000"/>
          <w:lang w:val="en-GB"/>
        </w:rPr>
        <w:t xml:space="preserve"> (0.8)</w:t>
      </w:r>
      <w:r w:rsidRPr="006E1463">
        <w:rPr>
          <w:rFonts w:ascii="Times New Roman" w:hAnsi="Times New Roman"/>
          <w:color w:val="000000"/>
          <w:lang w:val="en-GB"/>
        </w:rPr>
        <w:t>,</w:t>
      </w:r>
      <w:r w:rsidR="009A48E7">
        <w:rPr>
          <w:rFonts w:ascii="Times New Roman" w:hAnsi="Times New Roman"/>
          <w:color w:val="000000"/>
          <w:lang w:val="en-GB"/>
        </w:rPr>
        <w:t xml:space="preserve"> </w:t>
      </w:r>
      <w:r w:rsidR="00CD53C2">
        <w:rPr>
          <w:rFonts w:ascii="Times New Roman" w:hAnsi="Times New Roman"/>
          <w:color w:val="000000"/>
          <w:lang w:val="en-GB"/>
        </w:rPr>
        <w:t>with an average enrichment factor of 1.9 ± 0.7 and</w:t>
      </w:r>
      <w:r w:rsidR="00CD53C2" w:rsidRPr="006E1463">
        <w:rPr>
          <w:rFonts w:ascii="Times New Roman" w:hAnsi="Times New Roman"/>
          <w:color w:val="000000"/>
          <w:lang w:val="en-GB"/>
        </w:rPr>
        <w:t xml:space="preserve"> a</w:t>
      </w:r>
      <w:r w:rsidR="00CD53C2">
        <w:rPr>
          <w:rFonts w:ascii="Times New Roman" w:hAnsi="Times New Roman"/>
          <w:color w:val="000000"/>
          <w:lang w:val="en-GB"/>
        </w:rPr>
        <w:t>n</w:t>
      </w:r>
      <w:r w:rsidR="00CD53C2" w:rsidRPr="006E1463">
        <w:rPr>
          <w:rFonts w:ascii="Times New Roman" w:hAnsi="Times New Roman"/>
          <w:color w:val="000000"/>
          <w:lang w:val="en-GB"/>
        </w:rPr>
        <w:t xml:space="preserve"> increasing trend from the river mouth toward the open sea. </w:t>
      </w:r>
    </w:p>
    <w:p w14:paraId="1AC18996" w14:textId="43A5B905" w:rsidR="00624B92" w:rsidRPr="006E1463" w:rsidRDefault="00CD53C2" w:rsidP="00D72BE1">
      <w:pPr>
        <w:pStyle w:val="NoSpacing"/>
        <w:spacing w:line="360" w:lineRule="auto"/>
        <w:ind w:firstLine="708"/>
        <w:rPr>
          <w:rFonts w:ascii="Times New Roman" w:hAnsi="Times New Roman"/>
          <w:color w:val="000000"/>
          <w:lang w:val="en-GB"/>
        </w:rPr>
      </w:pPr>
      <w:r>
        <w:rPr>
          <w:rFonts w:ascii="Times New Roman" w:hAnsi="Times New Roman"/>
          <w:color w:val="000000"/>
          <w:lang w:val="en-GB"/>
        </w:rPr>
        <w:t>The average c</w:t>
      </w:r>
      <w:r w:rsidRPr="006E1463">
        <w:rPr>
          <w:rFonts w:ascii="Times New Roman" w:hAnsi="Times New Roman"/>
          <w:color w:val="000000"/>
          <w:lang w:val="en-GB"/>
        </w:rPr>
        <w:t>oncentration of particulate lipids in the SML</w:t>
      </w:r>
      <w:r>
        <w:rPr>
          <w:rFonts w:ascii="Times New Roman" w:hAnsi="Times New Roman"/>
          <w:color w:val="000000"/>
          <w:lang w:val="en-GB"/>
        </w:rPr>
        <w:t xml:space="preserve"> was 32.6 ± 3.3 </w:t>
      </w:r>
      <w:r w:rsidRPr="006E1463">
        <w:rPr>
          <w:rFonts w:ascii="Times New Roman" w:hAnsi="Times New Roman"/>
          <w:color w:val="000000"/>
          <w:lang w:val="en-GB"/>
        </w:rPr>
        <w:t>µg L</w:t>
      </w:r>
      <w:r w:rsidRPr="006E1463">
        <w:rPr>
          <w:rFonts w:ascii="Times New Roman" w:hAnsi="Times New Roman"/>
          <w:color w:val="000000"/>
          <w:vertAlign w:val="superscript"/>
          <w:lang w:val="en-GB"/>
        </w:rPr>
        <w:t>-1</w:t>
      </w:r>
      <w:r>
        <w:rPr>
          <w:rFonts w:ascii="Times New Roman" w:hAnsi="Times New Roman"/>
          <w:color w:val="000000"/>
          <w:lang w:val="en-GB"/>
        </w:rPr>
        <w:t>,</w:t>
      </w:r>
      <w:r w:rsidRPr="006E1463">
        <w:rPr>
          <w:rFonts w:ascii="Times New Roman" w:hAnsi="Times New Roman"/>
          <w:color w:val="000000"/>
          <w:lang w:val="en-GB"/>
        </w:rPr>
        <w:t xml:space="preserve"> rang</w:t>
      </w:r>
      <w:r>
        <w:rPr>
          <w:rFonts w:ascii="Times New Roman" w:hAnsi="Times New Roman"/>
          <w:color w:val="000000"/>
          <w:lang w:val="en-GB"/>
        </w:rPr>
        <w:t>ing</w:t>
      </w:r>
      <w:r w:rsidRPr="006E1463">
        <w:rPr>
          <w:rFonts w:ascii="Times New Roman" w:hAnsi="Times New Roman"/>
          <w:color w:val="000000"/>
          <w:lang w:val="en-GB"/>
        </w:rPr>
        <w:t xml:space="preserve"> from 27.8</w:t>
      </w:r>
      <w:r>
        <w:rPr>
          <w:rFonts w:ascii="Times New Roman" w:hAnsi="Times New Roman"/>
          <w:color w:val="000000"/>
          <w:lang w:val="en-GB"/>
        </w:rPr>
        <w:t>2 ± 1.58</w:t>
      </w:r>
      <w:r w:rsidRPr="006E1463">
        <w:rPr>
          <w:rFonts w:ascii="Times New Roman" w:hAnsi="Times New Roman"/>
          <w:color w:val="000000"/>
          <w:lang w:val="en-GB"/>
        </w:rPr>
        <w:t xml:space="preserve">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to 37.3</w:t>
      </w:r>
      <w:r>
        <w:rPr>
          <w:rFonts w:ascii="Times New Roman" w:hAnsi="Times New Roman"/>
          <w:color w:val="000000"/>
          <w:lang w:val="en-GB"/>
        </w:rPr>
        <w:t>0 ± 1.79</w:t>
      </w:r>
      <w:r w:rsidRPr="006E1463">
        <w:rPr>
          <w:rFonts w:ascii="Times New Roman" w:hAnsi="Times New Roman"/>
          <w:color w:val="000000"/>
          <w:lang w:val="en-GB"/>
        </w:rPr>
        <w:t xml:space="preserve"> µg L</w:t>
      </w:r>
      <w:r w:rsidRPr="006E1463">
        <w:rPr>
          <w:rFonts w:ascii="Times New Roman" w:hAnsi="Times New Roman"/>
          <w:color w:val="000000"/>
          <w:vertAlign w:val="superscript"/>
          <w:lang w:val="en-GB"/>
        </w:rPr>
        <w:t>-1</w:t>
      </w:r>
      <w:r>
        <w:rPr>
          <w:rFonts w:ascii="Times New Roman" w:hAnsi="Times New Roman"/>
          <w:color w:val="000000"/>
          <w:lang w:val="en-GB"/>
        </w:rPr>
        <w:t>. In the</w:t>
      </w:r>
      <w:r w:rsidRPr="006E1463">
        <w:rPr>
          <w:rFonts w:ascii="Times New Roman" w:hAnsi="Times New Roman"/>
          <w:color w:val="000000"/>
          <w:lang w:val="en-GB"/>
        </w:rPr>
        <w:t xml:space="preserve"> ULW</w:t>
      </w:r>
      <w:r>
        <w:rPr>
          <w:rFonts w:ascii="Times New Roman" w:hAnsi="Times New Roman"/>
          <w:color w:val="000000"/>
          <w:lang w:val="en-GB"/>
        </w:rPr>
        <w:t>, the average concentration was 26.2 ± 3.3</w:t>
      </w:r>
      <w:r w:rsidRPr="005275BD">
        <w:rPr>
          <w:rFonts w:ascii="Times New Roman" w:hAnsi="Times New Roman"/>
          <w:color w:val="000000"/>
          <w:lang w:val="en-GB"/>
        </w:rPr>
        <w:t xml:space="preserve"> </w:t>
      </w:r>
      <w:r w:rsidRPr="006E1463">
        <w:rPr>
          <w:rFonts w:ascii="Times New Roman" w:hAnsi="Times New Roman"/>
          <w:color w:val="000000"/>
          <w:lang w:val="en-GB"/>
        </w:rPr>
        <w:t>µg L</w:t>
      </w:r>
      <w:r w:rsidRPr="006E1463">
        <w:rPr>
          <w:rFonts w:ascii="Times New Roman" w:hAnsi="Times New Roman"/>
          <w:color w:val="000000"/>
          <w:vertAlign w:val="superscript"/>
          <w:lang w:val="en-GB"/>
        </w:rPr>
        <w:t>-</w:t>
      </w:r>
      <w:r w:rsidRPr="005C781D">
        <w:rPr>
          <w:rFonts w:ascii="Times New Roman" w:hAnsi="Times New Roman"/>
          <w:color w:val="000000"/>
          <w:vertAlign w:val="superscript"/>
          <w:lang w:val="en-GB"/>
        </w:rPr>
        <w:t>1</w:t>
      </w:r>
      <w:r>
        <w:rPr>
          <w:rFonts w:ascii="Times New Roman" w:hAnsi="Times New Roman"/>
          <w:color w:val="000000"/>
          <w:lang w:val="en-GB"/>
        </w:rPr>
        <w:t>, much lower than in the SML (</w:t>
      </w:r>
      <w:r>
        <w:rPr>
          <w:rFonts w:ascii="Times New Roman" w:hAnsi="Times New Roman"/>
          <w:color w:val="000000"/>
          <w:lang w:val="en-GB" w:bidi="en-US"/>
        </w:rPr>
        <w:t>two-sample t-test, p &lt; 0.001)</w:t>
      </w:r>
      <w:r w:rsidRPr="006E1463">
        <w:rPr>
          <w:rFonts w:ascii="Times New Roman" w:hAnsi="Times New Roman"/>
          <w:color w:val="000000"/>
          <w:lang w:val="en-GB"/>
        </w:rPr>
        <w:t xml:space="preserve">, </w:t>
      </w:r>
      <w:r>
        <w:rPr>
          <w:rFonts w:ascii="Times New Roman" w:hAnsi="Times New Roman"/>
          <w:color w:val="000000"/>
          <w:lang w:val="en-GB"/>
        </w:rPr>
        <w:t xml:space="preserve">ranging </w:t>
      </w:r>
      <w:r w:rsidRPr="006E1463">
        <w:rPr>
          <w:rFonts w:ascii="Times New Roman" w:hAnsi="Times New Roman"/>
          <w:color w:val="000000"/>
          <w:lang w:val="en-GB"/>
        </w:rPr>
        <w:t>from 21.</w:t>
      </w:r>
      <w:r>
        <w:rPr>
          <w:rFonts w:ascii="Times New Roman" w:hAnsi="Times New Roman"/>
          <w:color w:val="000000"/>
          <w:lang w:val="en-GB"/>
        </w:rPr>
        <w:t>50 ± 1.86</w:t>
      </w:r>
      <w:r w:rsidRPr="006E1463">
        <w:rPr>
          <w:rFonts w:ascii="Times New Roman" w:hAnsi="Times New Roman"/>
          <w:color w:val="000000"/>
          <w:lang w:val="en-GB"/>
        </w:rPr>
        <w:t xml:space="preserve">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to 30.6</w:t>
      </w:r>
      <w:r>
        <w:rPr>
          <w:rFonts w:ascii="Times New Roman" w:hAnsi="Times New Roman"/>
          <w:color w:val="000000"/>
          <w:lang w:val="en-GB"/>
        </w:rPr>
        <w:t>5 ± 1.94</w:t>
      </w:r>
      <w:r w:rsidRPr="006E1463">
        <w:rPr>
          <w:rFonts w:ascii="Times New Roman" w:hAnsi="Times New Roman"/>
          <w:color w:val="000000"/>
          <w:lang w:val="en-GB"/>
        </w:rPr>
        <w:t xml:space="preserve">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with </w:t>
      </w:r>
      <w:r>
        <w:rPr>
          <w:rFonts w:ascii="Times New Roman" w:hAnsi="Times New Roman"/>
          <w:color w:val="000000"/>
          <w:lang w:val="en-GB"/>
        </w:rPr>
        <w:t>a slight</w:t>
      </w:r>
      <w:r w:rsidRPr="006E1463">
        <w:rPr>
          <w:rFonts w:ascii="Times New Roman" w:hAnsi="Times New Roman"/>
          <w:color w:val="000000"/>
          <w:lang w:val="en-GB"/>
        </w:rPr>
        <w:t xml:space="preserve"> increasing trend toward the open sea</w:t>
      </w:r>
      <w:r w:rsidR="007579A1" w:rsidRPr="006E1463">
        <w:rPr>
          <w:rFonts w:ascii="Times New Roman" w:hAnsi="Times New Roman"/>
          <w:color w:val="000000"/>
          <w:lang w:val="en-GB"/>
        </w:rPr>
        <w:t>. Particulate lipids were enriched in all SML samples</w:t>
      </w:r>
      <w:r w:rsidR="00C2730B">
        <w:rPr>
          <w:rFonts w:ascii="Times New Roman" w:hAnsi="Times New Roman"/>
          <w:color w:val="000000"/>
          <w:lang w:val="en-GB"/>
        </w:rPr>
        <w:t>, on average 1.26 ± 0.21</w:t>
      </w:r>
      <w:r w:rsidR="007579A1" w:rsidRPr="006E1463">
        <w:rPr>
          <w:rFonts w:ascii="Times New Roman" w:hAnsi="Times New Roman"/>
          <w:color w:val="000000"/>
          <w:lang w:val="en-GB"/>
        </w:rPr>
        <w:t xml:space="preserve">, with the lowest enrichment at station W9 (1.03) and the highest enrichment at station W1 (1.6) (Figure 6). </w:t>
      </w:r>
      <w:r w:rsidR="007579A1" w:rsidRPr="006E1463">
        <w:rPr>
          <w:rFonts w:ascii="Times New Roman" w:hAnsi="Times New Roman"/>
          <w:color w:val="000000"/>
          <w:lang w:val="en-GB" w:bidi="en-US"/>
        </w:rPr>
        <w:t xml:space="preserve">The </w:t>
      </w:r>
      <w:r w:rsidR="00EE2FA9">
        <w:rPr>
          <w:rFonts w:ascii="Times New Roman" w:hAnsi="Times New Roman"/>
          <w:color w:val="000000"/>
          <w:lang w:val="en-GB" w:bidi="en-US"/>
        </w:rPr>
        <w:t>fraction</w:t>
      </w:r>
      <w:r w:rsidR="00EE2FA9" w:rsidRPr="006E1463">
        <w:rPr>
          <w:rFonts w:ascii="Times New Roman" w:hAnsi="Times New Roman"/>
          <w:color w:val="000000"/>
          <w:lang w:val="en-GB" w:bidi="en-US"/>
        </w:rPr>
        <w:t xml:space="preserve"> </w:t>
      </w:r>
      <w:r w:rsidR="007579A1" w:rsidRPr="006E1463">
        <w:rPr>
          <w:rFonts w:ascii="Times New Roman" w:hAnsi="Times New Roman"/>
          <w:color w:val="000000"/>
          <w:lang w:val="en-GB" w:bidi="en-US"/>
        </w:rPr>
        <w:t xml:space="preserve">of particulate lipid carbon </w:t>
      </w:r>
      <w:r w:rsidR="00EE2FA9">
        <w:rPr>
          <w:rFonts w:ascii="Times New Roman" w:hAnsi="Times New Roman"/>
          <w:color w:val="000000"/>
          <w:lang w:val="en-GB" w:bidi="en-US"/>
        </w:rPr>
        <w:t>in</w:t>
      </w:r>
      <w:r w:rsidR="00EE2FA9" w:rsidRPr="006E1463">
        <w:rPr>
          <w:rFonts w:ascii="Times New Roman" w:hAnsi="Times New Roman"/>
          <w:color w:val="000000"/>
          <w:lang w:val="en-GB" w:bidi="en-US"/>
        </w:rPr>
        <w:t xml:space="preserve"> </w:t>
      </w:r>
      <w:r w:rsidR="007579A1" w:rsidRPr="006E1463">
        <w:rPr>
          <w:rFonts w:ascii="Times New Roman" w:hAnsi="Times New Roman"/>
          <w:color w:val="000000"/>
          <w:lang w:val="en-GB" w:bidi="en-US"/>
        </w:rPr>
        <w:t xml:space="preserve">POC </w:t>
      </w:r>
      <w:r w:rsidR="005275BD" w:rsidRPr="006E1463">
        <w:rPr>
          <w:rFonts w:ascii="Times New Roman" w:hAnsi="Times New Roman"/>
          <w:color w:val="000000"/>
          <w:lang w:val="en-GB" w:bidi="en-US"/>
        </w:rPr>
        <w:t xml:space="preserve">ranged from 2.8 to 9.0% (average 5.1%) in </w:t>
      </w:r>
      <w:r w:rsidR="005275BD">
        <w:rPr>
          <w:rFonts w:ascii="Times New Roman" w:hAnsi="Times New Roman"/>
          <w:color w:val="000000"/>
          <w:lang w:val="en-GB" w:bidi="en-US"/>
        </w:rPr>
        <w:t xml:space="preserve">the </w:t>
      </w:r>
      <w:r w:rsidR="005275BD" w:rsidRPr="006E1463">
        <w:rPr>
          <w:rFonts w:ascii="Times New Roman" w:hAnsi="Times New Roman"/>
          <w:color w:val="000000"/>
          <w:lang w:val="en-GB" w:bidi="en-US"/>
        </w:rPr>
        <w:t xml:space="preserve">SML </w:t>
      </w:r>
      <w:r w:rsidR="005275BD">
        <w:rPr>
          <w:rFonts w:ascii="Times New Roman" w:hAnsi="Times New Roman"/>
          <w:color w:val="000000"/>
          <w:lang w:val="en-GB" w:bidi="en-US"/>
        </w:rPr>
        <w:t xml:space="preserve">and from </w:t>
      </w:r>
      <w:r w:rsidR="005275BD" w:rsidRPr="006E1463">
        <w:rPr>
          <w:rFonts w:ascii="Times New Roman" w:hAnsi="Times New Roman"/>
          <w:color w:val="000000"/>
          <w:lang w:val="en-GB" w:bidi="en-US"/>
        </w:rPr>
        <w:t>5.3 to 10.4% (average 6.9%) in ULW</w:t>
      </w:r>
      <w:r w:rsidR="005275BD">
        <w:rPr>
          <w:rFonts w:ascii="Times New Roman" w:hAnsi="Times New Roman"/>
          <w:color w:val="000000"/>
          <w:lang w:val="en-GB" w:bidi="en-US"/>
        </w:rPr>
        <w:t xml:space="preserve">. </w:t>
      </w:r>
      <w:r w:rsidRPr="00EE2FA9">
        <w:rPr>
          <w:rFonts w:ascii="Times New Roman" w:hAnsi="Times New Roman"/>
          <w:color w:val="000000"/>
          <w:lang w:val="en-GB" w:bidi="en-US"/>
        </w:rPr>
        <w:t>With the exception of</w:t>
      </w:r>
      <w:r>
        <w:rPr>
          <w:rFonts w:ascii="Times New Roman" w:hAnsi="Times New Roman"/>
          <w:color w:val="000000"/>
          <w:lang w:val="en-GB" w:bidi="en-US"/>
        </w:rPr>
        <w:t xml:space="preserve"> stations W1 and W2, which are closest to the river mouth, the contribution of lipids to POC was higher in the ULW than in the SML, with a statistically significant difference of means, when W1 and W2 are excluded from the analysis (two-sample t-test, p = 0.003)</w:t>
      </w:r>
      <w:r w:rsidRPr="006E1463">
        <w:rPr>
          <w:rFonts w:ascii="Times New Roman" w:hAnsi="Times New Roman"/>
          <w:color w:val="000000"/>
          <w:lang w:val="en-GB" w:bidi="en-US"/>
        </w:rPr>
        <w:t xml:space="preserve"> </w:t>
      </w:r>
      <w:r w:rsidR="007579A1" w:rsidRPr="006E1463">
        <w:rPr>
          <w:rFonts w:ascii="Times New Roman" w:hAnsi="Times New Roman"/>
          <w:color w:val="000000"/>
          <w:lang w:val="en-GB" w:bidi="en-US"/>
        </w:rPr>
        <w:t>(Figure 6</w:t>
      </w:r>
      <w:r w:rsidR="007A0936">
        <w:rPr>
          <w:rFonts w:ascii="Times New Roman" w:hAnsi="Times New Roman"/>
          <w:color w:val="000000"/>
          <w:lang w:val="en-GB" w:bidi="en-US"/>
        </w:rPr>
        <w:t>C</w:t>
      </w:r>
      <w:r w:rsidR="007579A1" w:rsidRPr="006E1463">
        <w:rPr>
          <w:rFonts w:ascii="Times New Roman" w:hAnsi="Times New Roman"/>
          <w:color w:val="000000"/>
          <w:lang w:val="en-GB" w:bidi="en-US"/>
        </w:rPr>
        <w:t xml:space="preserve">). </w:t>
      </w:r>
      <w:r w:rsidR="007579A1" w:rsidRPr="006E1463">
        <w:rPr>
          <w:rFonts w:ascii="Times New Roman" w:hAnsi="Times New Roman"/>
          <w:color w:val="000000"/>
          <w:lang w:val="en-GB"/>
        </w:rPr>
        <w:t>The contribution of lipids to POC</w:t>
      </w:r>
      <w:r w:rsidR="005275BD">
        <w:rPr>
          <w:rFonts w:ascii="Times New Roman" w:hAnsi="Times New Roman"/>
          <w:color w:val="000000"/>
          <w:lang w:val="en-GB"/>
        </w:rPr>
        <w:t xml:space="preserve"> in the ULW showed an </w:t>
      </w:r>
      <w:r w:rsidR="007579A1" w:rsidRPr="006E1463">
        <w:rPr>
          <w:rFonts w:ascii="Times New Roman" w:hAnsi="Times New Roman"/>
          <w:color w:val="000000"/>
          <w:lang w:val="en-GB"/>
        </w:rPr>
        <w:t>increas</w:t>
      </w:r>
      <w:r w:rsidR="005275BD">
        <w:rPr>
          <w:rFonts w:ascii="Times New Roman" w:hAnsi="Times New Roman"/>
          <w:color w:val="000000"/>
          <w:lang w:val="en-GB"/>
        </w:rPr>
        <w:t>ing trend</w:t>
      </w:r>
      <w:r w:rsidR="007579A1" w:rsidRPr="006E1463">
        <w:rPr>
          <w:rFonts w:ascii="Times New Roman" w:hAnsi="Times New Roman"/>
          <w:color w:val="000000"/>
          <w:lang w:val="en-GB"/>
        </w:rPr>
        <w:t xml:space="preserve"> toward the open sea.</w:t>
      </w:r>
    </w:p>
    <w:p w14:paraId="0DC801E2" w14:textId="77777777" w:rsidR="007579A1" w:rsidRDefault="00624B92" w:rsidP="00624B92">
      <w:pPr>
        <w:pStyle w:val="NoSpacing"/>
        <w:spacing w:line="360" w:lineRule="auto"/>
        <w:ind w:firstLine="708"/>
        <w:rPr>
          <w:rFonts w:ascii="Times New Roman" w:hAnsi="Times New Roman"/>
          <w:color w:val="000000"/>
          <w:lang w:val="en-GB"/>
        </w:rPr>
      </w:pPr>
      <w:r w:rsidRPr="00624B92">
        <w:rPr>
          <w:rFonts w:ascii="Times New Roman" w:hAnsi="Times New Roman"/>
          <w:noProof/>
          <w:color w:val="000000"/>
          <w:lang w:eastAsia="hr-HR"/>
        </w:rPr>
        <w:lastRenderedPageBreak/>
        <w:drawing>
          <wp:inline distT="0" distB="0" distL="0" distR="0" wp14:anchorId="4E90598C" wp14:editId="12C83B89">
            <wp:extent cx="5261417" cy="3213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7743" cy="3223292"/>
                    </a:xfrm>
                    <a:prstGeom prst="rect">
                      <a:avLst/>
                    </a:prstGeom>
                    <a:noFill/>
                    <a:ln>
                      <a:noFill/>
                    </a:ln>
                  </pic:spPr>
                </pic:pic>
              </a:graphicData>
            </a:graphic>
          </wp:inline>
        </w:drawing>
      </w:r>
    </w:p>
    <w:p w14:paraId="726D55C1" w14:textId="77777777" w:rsidR="003C0D23" w:rsidRPr="006E1463" w:rsidRDefault="003C0D23" w:rsidP="003C0D23">
      <w:pPr>
        <w:pStyle w:val="NoSpacing"/>
        <w:spacing w:line="360" w:lineRule="auto"/>
        <w:rPr>
          <w:rFonts w:ascii="Times New Roman" w:hAnsi="Times New Roman"/>
          <w:color w:val="000000"/>
          <w:lang w:val="en-GB"/>
        </w:rPr>
      </w:pPr>
      <w:r w:rsidRPr="006E1463">
        <w:rPr>
          <w:rFonts w:ascii="Times New Roman" w:hAnsi="Times New Roman"/>
          <w:b/>
          <w:color w:val="000000"/>
          <w:lang w:val="en-GB"/>
        </w:rPr>
        <w:t>Figure 6</w:t>
      </w:r>
      <w:r w:rsidRPr="006E1463">
        <w:rPr>
          <w:rFonts w:ascii="Times New Roman" w:hAnsi="Times New Roman"/>
          <w:color w:val="000000"/>
          <w:lang w:val="en-GB"/>
        </w:rPr>
        <w:t xml:space="preserve">. The distribution of </w:t>
      </w:r>
      <w:r>
        <w:rPr>
          <w:rFonts w:ascii="Times New Roman" w:hAnsi="Times New Roman"/>
          <w:color w:val="000000"/>
          <w:lang w:val="en-GB"/>
        </w:rPr>
        <w:t>particulate organic carbon (</w:t>
      </w:r>
      <w:r w:rsidRPr="006E1463">
        <w:rPr>
          <w:rFonts w:ascii="Times New Roman" w:hAnsi="Times New Roman"/>
          <w:color w:val="000000"/>
          <w:lang w:val="en-GB"/>
        </w:rPr>
        <w:t>POC</w:t>
      </w:r>
      <w:r>
        <w:rPr>
          <w:rFonts w:ascii="Times New Roman" w:hAnsi="Times New Roman"/>
          <w:color w:val="000000"/>
          <w:lang w:val="en-GB"/>
        </w:rPr>
        <w:t>)</w:t>
      </w:r>
      <w:r w:rsidRPr="006E1463">
        <w:rPr>
          <w:rFonts w:ascii="Times New Roman" w:hAnsi="Times New Roman"/>
          <w:color w:val="000000"/>
          <w:lang w:val="en-GB"/>
        </w:rPr>
        <w:t xml:space="preserve"> (A), particulate lipids (B) and the contribution of particulate lipid carbon to POC (C) in the </w:t>
      </w:r>
      <w:r>
        <w:rPr>
          <w:rFonts w:ascii="Times New Roman" w:hAnsi="Times New Roman"/>
          <w:color w:val="000000"/>
          <w:lang w:val="en-GB"/>
        </w:rPr>
        <w:t>sea surface microlayer (</w:t>
      </w:r>
      <w:r w:rsidRPr="006E1463">
        <w:rPr>
          <w:rFonts w:ascii="Times New Roman" w:hAnsi="Times New Roman"/>
          <w:color w:val="000000"/>
          <w:lang w:val="en-GB"/>
        </w:rPr>
        <w:t>SML</w:t>
      </w:r>
      <w:r>
        <w:rPr>
          <w:rFonts w:ascii="Times New Roman" w:hAnsi="Times New Roman"/>
          <w:color w:val="000000"/>
          <w:lang w:val="en-GB"/>
        </w:rPr>
        <w:t>)</w:t>
      </w:r>
      <w:r w:rsidRPr="006E1463">
        <w:rPr>
          <w:rFonts w:ascii="Times New Roman" w:hAnsi="Times New Roman"/>
          <w:color w:val="000000"/>
          <w:lang w:val="en-GB"/>
        </w:rPr>
        <w:t xml:space="preserve"> (circles) and the </w:t>
      </w:r>
      <w:r>
        <w:rPr>
          <w:rFonts w:ascii="Times New Roman" w:hAnsi="Times New Roman"/>
          <w:color w:val="000000"/>
          <w:lang w:val="en-GB"/>
        </w:rPr>
        <w:t>underlying water (</w:t>
      </w:r>
      <w:r w:rsidRPr="006E1463">
        <w:rPr>
          <w:rFonts w:ascii="Times New Roman" w:hAnsi="Times New Roman"/>
          <w:color w:val="000000"/>
          <w:lang w:val="en-GB"/>
        </w:rPr>
        <w:t>ULW</w:t>
      </w:r>
      <w:r>
        <w:rPr>
          <w:rFonts w:ascii="Times New Roman" w:hAnsi="Times New Roman"/>
          <w:color w:val="000000"/>
          <w:lang w:val="en-GB"/>
        </w:rPr>
        <w:t>)</w:t>
      </w:r>
      <w:r w:rsidRPr="006E1463">
        <w:rPr>
          <w:rFonts w:ascii="Times New Roman" w:hAnsi="Times New Roman"/>
          <w:color w:val="000000"/>
          <w:lang w:val="en-GB"/>
        </w:rPr>
        <w:t xml:space="preserve"> (squares), along with the enrichment factors (EF) of POC (D) and lipids (E) throughout the transect.</w:t>
      </w:r>
    </w:p>
    <w:p w14:paraId="4CFCEC07" w14:textId="77777777" w:rsidR="00CB1673" w:rsidRPr="006E1463" w:rsidRDefault="00CB1673" w:rsidP="00CB1673">
      <w:pPr>
        <w:pStyle w:val="NoSpacing"/>
        <w:spacing w:line="360" w:lineRule="auto"/>
        <w:rPr>
          <w:rFonts w:ascii="Times New Roman" w:hAnsi="Times New Roman"/>
          <w:color w:val="000000"/>
          <w:lang w:val="en-GB"/>
        </w:rPr>
      </w:pPr>
    </w:p>
    <w:p w14:paraId="155ADD9A" w14:textId="77777777" w:rsidR="007B5D53" w:rsidRPr="006E1463" w:rsidRDefault="00775E6F" w:rsidP="00D72BE1">
      <w:pPr>
        <w:pStyle w:val="NoSpacing"/>
        <w:spacing w:line="360" w:lineRule="auto"/>
        <w:rPr>
          <w:rFonts w:ascii="Times New Roman" w:hAnsi="Times New Roman"/>
          <w:color w:val="000000"/>
          <w:lang w:val="en-GB" w:bidi="en-US"/>
        </w:rPr>
      </w:pPr>
      <w:r>
        <w:rPr>
          <w:rFonts w:ascii="Times New Roman" w:hAnsi="Times New Roman"/>
          <w:color w:val="000000"/>
          <w:lang w:val="en-GB" w:bidi="en-US"/>
        </w:rPr>
        <w:t>L</w:t>
      </w:r>
      <w:r w:rsidR="007579A1" w:rsidRPr="006E1463">
        <w:rPr>
          <w:rFonts w:ascii="Times New Roman" w:hAnsi="Times New Roman"/>
          <w:color w:val="000000"/>
          <w:lang w:val="en-GB" w:bidi="en-US"/>
        </w:rPr>
        <w:t>ipid classes can be divided into three groups</w:t>
      </w:r>
      <w:r>
        <w:rPr>
          <w:rFonts w:ascii="Times New Roman" w:hAnsi="Times New Roman"/>
          <w:color w:val="000000"/>
          <w:lang w:val="en-GB" w:bidi="en-US"/>
        </w:rPr>
        <w:t xml:space="preserve"> </w:t>
      </w:r>
      <w:r w:rsidR="007579A1" w:rsidRPr="006E1463">
        <w:rPr>
          <w:rFonts w:ascii="Times New Roman" w:hAnsi="Times New Roman"/>
          <w:color w:val="000000"/>
          <w:lang w:val="en-GB" w:bidi="en-US"/>
        </w:rPr>
        <w:t>bas</w:t>
      </w:r>
      <w:r>
        <w:rPr>
          <w:rFonts w:ascii="Times New Roman" w:hAnsi="Times New Roman"/>
          <w:color w:val="000000"/>
          <w:lang w:val="en-GB" w:bidi="en-US"/>
        </w:rPr>
        <w:t>ed on</w:t>
      </w:r>
      <w:r w:rsidR="007579A1" w:rsidRPr="006E1463">
        <w:rPr>
          <w:rFonts w:ascii="Times New Roman" w:hAnsi="Times New Roman"/>
          <w:color w:val="000000"/>
          <w:lang w:val="en-GB" w:bidi="en-US"/>
        </w:rPr>
        <w:t xml:space="preserve"> their functions. Membrane lipids include the phospholipids (PG, PE and PC) and ST, which are components of planktonic plasma membranes</w:t>
      </w:r>
      <w:r w:rsidR="007B5D53" w:rsidRPr="006E1463">
        <w:rPr>
          <w:rFonts w:ascii="Times New Roman" w:hAnsi="Times New Roman"/>
          <w:color w:val="000000"/>
          <w:lang w:val="en-GB" w:bidi="en-US"/>
        </w:rPr>
        <w:t xml:space="preserve"> </w:t>
      </w:r>
      <w:r w:rsidR="007579A1" w:rsidRPr="006E1463">
        <w:rPr>
          <w:rFonts w:ascii="Times New Roman" w:hAnsi="Times New Roman"/>
          <w:noProof/>
          <w:color w:val="000000"/>
          <w:lang w:val="en-GB" w:bidi="en-US"/>
        </w:rPr>
        <w:t>(Cantarero et al., 2020)</w:t>
      </w:r>
      <w:r>
        <w:rPr>
          <w:rFonts w:ascii="Times New Roman" w:hAnsi="Times New Roman"/>
          <w:noProof/>
          <w:color w:val="000000"/>
          <w:lang w:val="en-GB" w:bidi="en-US"/>
        </w:rPr>
        <w:t>,</w:t>
      </w:r>
      <w:r w:rsidR="007B5D53" w:rsidRPr="006E1463">
        <w:rPr>
          <w:rFonts w:ascii="Times New Roman" w:hAnsi="Times New Roman"/>
          <w:color w:val="000000"/>
          <w:lang w:val="en-GB" w:bidi="en-US"/>
        </w:rPr>
        <w:t xml:space="preserve"> </w:t>
      </w:r>
      <w:r w:rsidR="007579A1" w:rsidRPr="006E1463">
        <w:rPr>
          <w:rFonts w:ascii="Times New Roman" w:hAnsi="Times New Roman"/>
          <w:color w:val="000000"/>
          <w:lang w:val="en-GB" w:bidi="en-US"/>
        </w:rPr>
        <w:t xml:space="preserve">and the glycolipids </w:t>
      </w:r>
      <w:r w:rsidR="001C4500">
        <w:rPr>
          <w:rFonts w:ascii="Times New Roman" w:hAnsi="Times New Roman"/>
          <w:color w:val="000000"/>
          <w:lang w:val="en-GB" w:bidi="en-US"/>
        </w:rPr>
        <w:t>(GL)</w:t>
      </w:r>
      <w:r w:rsidR="008C297E">
        <w:rPr>
          <w:rFonts w:ascii="Times New Roman" w:hAnsi="Times New Roman"/>
          <w:color w:val="000000"/>
          <w:lang w:val="en-GB" w:bidi="en-US"/>
        </w:rPr>
        <w:t>:</w:t>
      </w:r>
      <w:r w:rsidR="001C4500">
        <w:rPr>
          <w:rFonts w:ascii="Times New Roman" w:hAnsi="Times New Roman"/>
          <w:color w:val="000000"/>
          <w:lang w:val="en-GB" w:bidi="en-US"/>
        </w:rPr>
        <w:t xml:space="preserve"> </w:t>
      </w:r>
      <w:r w:rsidR="007579A1" w:rsidRPr="006E1463">
        <w:rPr>
          <w:rFonts w:ascii="Times New Roman" w:hAnsi="Times New Roman"/>
          <w:color w:val="000000"/>
          <w:lang w:val="en-GB" w:bidi="en-US"/>
        </w:rPr>
        <w:t>MGDG, DGDG, SQDG</w:t>
      </w:r>
      <w:r>
        <w:rPr>
          <w:rFonts w:ascii="Times New Roman" w:hAnsi="Times New Roman"/>
          <w:color w:val="000000"/>
          <w:lang w:val="en-GB" w:bidi="en-US"/>
        </w:rPr>
        <w:t>,</w:t>
      </w:r>
      <w:r w:rsidR="007579A1" w:rsidRPr="006E1463">
        <w:rPr>
          <w:rFonts w:ascii="Times New Roman" w:hAnsi="Times New Roman"/>
          <w:color w:val="000000"/>
          <w:lang w:val="en-GB" w:bidi="en-US"/>
        </w:rPr>
        <w:t xml:space="preserve"> and PIG, </w:t>
      </w:r>
      <w:r>
        <w:rPr>
          <w:rFonts w:ascii="Times New Roman" w:hAnsi="Times New Roman"/>
          <w:color w:val="000000"/>
          <w:lang w:val="en-GB" w:bidi="en-US"/>
        </w:rPr>
        <w:t xml:space="preserve">which are </w:t>
      </w:r>
      <w:r w:rsidR="007579A1" w:rsidRPr="006E1463">
        <w:rPr>
          <w:rFonts w:ascii="Times New Roman" w:hAnsi="Times New Roman"/>
          <w:color w:val="000000"/>
          <w:lang w:val="en-GB" w:bidi="en-US"/>
        </w:rPr>
        <w:t xml:space="preserve">found in thylakoid membranes and </w:t>
      </w:r>
      <w:r>
        <w:rPr>
          <w:rFonts w:ascii="Times New Roman" w:hAnsi="Times New Roman"/>
          <w:color w:val="000000"/>
          <w:lang w:val="en-GB" w:bidi="en-US"/>
        </w:rPr>
        <w:t xml:space="preserve">are </w:t>
      </w:r>
      <w:r w:rsidR="007579A1" w:rsidRPr="006E1463">
        <w:rPr>
          <w:rFonts w:ascii="Times New Roman" w:hAnsi="Times New Roman"/>
          <w:color w:val="000000"/>
          <w:lang w:val="en-GB" w:bidi="en-US"/>
        </w:rPr>
        <w:t xml:space="preserve">indicators of autotrophs </w:t>
      </w:r>
      <w:r w:rsidR="007B5D53" w:rsidRPr="006E1463">
        <w:rPr>
          <w:rFonts w:ascii="Times New Roman" w:hAnsi="Times New Roman"/>
          <w:noProof/>
          <w:color w:val="000000"/>
          <w:lang w:val="en-GB" w:bidi="en-US"/>
        </w:rPr>
        <w:t>(Guschina and Harwood, 2009)</w:t>
      </w:r>
      <w:r w:rsidR="007B5D53" w:rsidRPr="006E1463">
        <w:rPr>
          <w:rFonts w:ascii="Times New Roman" w:hAnsi="Times New Roman"/>
          <w:color w:val="000000"/>
          <w:lang w:val="en-GB" w:bidi="en-US"/>
        </w:rPr>
        <w:t>.</w:t>
      </w:r>
    </w:p>
    <w:p w14:paraId="59F406FB" w14:textId="77777777" w:rsidR="003A3B4B" w:rsidRDefault="007579A1" w:rsidP="003A3B4B">
      <w:pPr>
        <w:pStyle w:val="NoSpacing"/>
        <w:spacing w:line="360" w:lineRule="auto"/>
        <w:rPr>
          <w:rFonts w:ascii="Times New Roman" w:hAnsi="Times New Roman"/>
          <w:color w:val="000000"/>
          <w:lang w:val="en-GB"/>
        </w:rPr>
      </w:pPr>
      <w:r w:rsidRPr="006E1463">
        <w:rPr>
          <w:rFonts w:ascii="Times New Roman" w:hAnsi="Times New Roman"/>
          <w:color w:val="000000"/>
          <w:lang w:val="en-GB" w:bidi="en-US"/>
        </w:rPr>
        <w:t xml:space="preserve">Triacylglycerols, WE and ME indicate metabolic reserves of phytoplankton </w:t>
      </w:r>
      <w:r w:rsidRPr="006E1463">
        <w:rPr>
          <w:rFonts w:ascii="Times New Roman" w:hAnsi="Times New Roman"/>
          <w:noProof/>
          <w:color w:val="000000"/>
          <w:lang w:val="en-GB" w:bidi="en-US"/>
        </w:rPr>
        <w:t>(Arts, 1999)</w:t>
      </w:r>
      <w:r w:rsidR="007B5D53" w:rsidRPr="006E1463">
        <w:rPr>
          <w:rFonts w:ascii="Times New Roman" w:hAnsi="Times New Roman"/>
          <w:color w:val="000000"/>
          <w:lang w:val="en-GB" w:bidi="en-US"/>
        </w:rPr>
        <w:t xml:space="preserve">. </w:t>
      </w:r>
      <w:r w:rsidR="009F3506" w:rsidRPr="006E1463">
        <w:rPr>
          <w:rFonts w:ascii="Times New Roman" w:hAnsi="Times New Roman"/>
          <w:color w:val="000000"/>
          <w:lang w:val="en-GB" w:bidi="en-US"/>
        </w:rPr>
        <w:t xml:space="preserve">Lipid classes including FFA, ALC, 1,2 DG, 1,3 DG, and MG indicate lipid degradation processes and are referred to as degradation indices </w:t>
      </w:r>
      <w:r w:rsidR="009F3506" w:rsidRPr="006E1463">
        <w:rPr>
          <w:rFonts w:ascii="Times New Roman" w:hAnsi="Times New Roman"/>
          <w:noProof/>
          <w:color w:val="000000"/>
          <w:lang w:val="en-GB" w:bidi="en-US"/>
        </w:rPr>
        <w:t>(Goutx et al., 2003)</w:t>
      </w:r>
      <w:r w:rsidR="009F3506" w:rsidRPr="006E1463">
        <w:rPr>
          <w:rFonts w:ascii="Times New Roman" w:hAnsi="Times New Roman"/>
          <w:color w:val="000000"/>
          <w:lang w:val="en-GB" w:bidi="en-US"/>
        </w:rPr>
        <w:t>.</w:t>
      </w:r>
      <w:r w:rsidR="009F3506">
        <w:rPr>
          <w:rFonts w:ascii="Times New Roman" w:hAnsi="Times New Roman"/>
          <w:color w:val="000000"/>
          <w:lang w:val="en-GB" w:bidi="en-US"/>
        </w:rPr>
        <w:t xml:space="preserve"> </w:t>
      </w:r>
      <w:r w:rsidRPr="006E1463">
        <w:rPr>
          <w:rFonts w:ascii="Times New Roman" w:hAnsi="Times New Roman"/>
          <w:color w:val="000000"/>
          <w:lang w:val="en-GB" w:bidi="en-US"/>
        </w:rPr>
        <w:t xml:space="preserve">The distribution and concentrations of the three groups of </w:t>
      </w:r>
      <w:r w:rsidR="002214F7">
        <w:rPr>
          <w:rFonts w:ascii="Times New Roman" w:hAnsi="Times New Roman"/>
          <w:color w:val="000000"/>
          <w:lang w:val="en-GB" w:bidi="en-US"/>
        </w:rPr>
        <w:t xml:space="preserve">lipids </w:t>
      </w:r>
      <w:r w:rsidRPr="006E1463">
        <w:rPr>
          <w:rFonts w:ascii="Times New Roman" w:hAnsi="Times New Roman"/>
          <w:color w:val="000000"/>
          <w:lang w:val="en-GB" w:bidi="en-US"/>
        </w:rPr>
        <w:t xml:space="preserve">are shown in Figure 7. </w:t>
      </w:r>
      <w:r w:rsidR="008C297E" w:rsidRPr="006E1463">
        <w:rPr>
          <w:rFonts w:ascii="Times New Roman" w:hAnsi="Times New Roman"/>
          <w:color w:val="000000"/>
          <w:lang w:val="en-GB" w:bidi="en-US"/>
        </w:rPr>
        <w:t>Membrane lipids were the most abundant group,</w:t>
      </w:r>
      <w:r w:rsidR="008C297E">
        <w:rPr>
          <w:rFonts w:ascii="Times New Roman" w:hAnsi="Times New Roman"/>
          <w:color w:val="000000"/>
          <w:lang w:val="en-GB" w:bidi="en-US"/>
        </w:rPr>
        <w:t xml:space="preserve"> with an average concentration of 19.94 </w:t>
      </w:r>
      <w:r w:rsidR="008C297E">
        <w:rPr>
          <w:rFonts w:ascii="Times New Roman" w:hAnsi="Times New Roman"/>
          <w:color w:val="000000"/>
          <w:lang w:val="en-GB"/>
        </w:rPr>
        <w:t>± 2.28</w:t>
      </w:r>
      <w:r w:rsidR="008C297E" w:rsidRPr="006E1463">
        <w:rPr>
          <w:rFonts w:ascii="Times New Roman" w:hAnsi="Times New Roman"/>
          <w:color w:val="000000"/>
          <w:lang w:val="en-GB" w:bidi="en-US"/>
        </w:rPr>
        <w:t xml:space="preserve"> </w:t>
      </w:r>
      <w:r w:rsidR="008C297E" w:rsidRPr="006E1463">
        <w:rPr>
          <w:rFonts w:ascii="Times New Roman" w:hAnsi="Times New Roman"/>
          <w:color w:val="000000"/>
          <w:lang w:val="en-GB"/>
        </w:rPr>
        <w:t>µg L</w:t>
      </w:r>
      <w:r w:rsidR="008C297E" w:rsidRPr="006E1463">
        <w:rPr>
          <w:rFonts w:ascii="Times New Roman" w:hAnsi="Times New Roman"/>
          <w:color w:val="000000"/>
          <w:vertAlign w:val="superscript"/>
          <w:lang w:val="en-GB"/>
        </w:rPr>
        <w:t>-1</w:t>
      </w:r>
      <w:r w:rsidR="008C297E">
        <w:rPr>
          <w:rFonts w:ascii="Times New Roman" w:hAnsi="Times New Roman"/>
          <w:color w:val="000000"/>
          <w:vertAlign w:val="superscript"/>
          <w:lang w:val="en-GB"/>
        </w:rPr>
        <w:t xml:space="preserve"> </w:t>
      </w:r>
      <w:r w:rsidR="008C297E">
        <w:rPr>
          <w:rFonts w:ascii="Times New Roman" w:hAnsi="Times New Roman"/>
          <w:color w:val="000000"/>
          <w:lang w:val="en-GB" w:bidi="en-US"/>
        </w:rPr>
        <w:t>in the SML</w:t>
      </w:r>
      <w:r w:rsidR="008C297E" w:rsidRPr="005E5C1C">
        <w:rPr>
          <w:rFonts w:ascii="Times New Roman" w:hAnsi="Times New Roman"/>
          <w:color w:val="000000"/>
          <w:lang w:val="en-GB"/>
        </w:rPr>
        <w:t>,</w:t>
      </w:r>
      <w:r w:rsidR="008C297E">
        <w:rPr>
          <w:rFonts w:ascii="Times New Roman" w:hAnsi="Times New Roman"/>
          <w:color w:val="000000"/>
          <w:lang w:val="en-GB"/>
        </w:rPr>
        <w:t xml:space="preserve"> and 17.78 ± 2.44</w:t>
      </w:r>
      <w:r w:rsidR="008C297E" w:rsidRPr="006E1463">
        <w:rPr>
          <w:rFonts w:ascii="Times New Roman" w:hAnsi="Times New Roman"/>
          <w:color w:val="000000"/>
          <w:lang w:val="en-GB" w:bidi="en-US"/>
        </w:rPr>
        <w:t xml:space="preserve"> </w:t>
      </w:r>
      <w:r w:rsidR="008C297E" w:rsidRPr="006E1463">
        <w:rPr>
          <w:rFonts w:ascii="Times New Roman" w:hAnsi="Times New Roman"/>
          <w:color w:val="000000"/>
          <w:lang w:val="en-GB"/>
        </w:rPr>
        <w:t>µg L</w:t>
      </w:r>
      <w:r w:rsidR="008C297E" w:rsidRPr="006E1463">
        <w:rPr>
          <w:rFonts w:ascii="Times New Roman" w:hAnsi="Times New Roman"/>
          <w:color w:val="000000"/>
          <w:vertAlign w:val="superscript"/>
          <w:lang w:val="en-GB"/>
        </w:rPr>
        <w:t>-1</w:t>
      </w:r>
      <w:r w:rsidR="008C297E">
        <w:rPr>
          <w:rFonts w:ascii="Times New Roman" w:hAnsi="Times New Roman"/>
          <w:color w:val="000000"/>
          <w:vertAlign w:val="superscript"/>
          <w:lang w:val="en-GB"/>
        </w:rPr>
        <w:t xml:space="preserve"> </w:t>
      </w:r>
      <w:r w:rsidR="008C297E">
        <w:rPr>
          <w:rFonts w:ascii="Times New Roman" w:hAnsi="Times New Roman"/>
          <w:color w:val="000000"/>
          <w:lang w:val="en-GB"/>
        </w:rPr>
        <w:t>in the ULW. Membrane lipids</w:t>
      </w:r>
      <w:r w:rsidR="008C297E" w:rsidRPr="006E1463">
        <w:rPr>
          <w:rFonts w:ascii="Times New Roman" w:hAnsi="Times New Roman"/>
          <w:color w:val="000000"/>
          <w:lang w:val="en-GB"/>
        </w:rPr>
        <w:t xml:space="preserve"> </w:t>
      </w:r>
      <w:r w:rsidR="008C297E" w:rsidRPr="00775E6F">
        <w:rPr>
          <w:rFonts w:ascii="Times New Roman" w:hAnsi="Times New Roman"/>
          <w:color w:val="000000"/>
          <w:lang w:val="en-GB" w:bidi="en-US"/>
        </w:rPr>
        <w:t>accounted for an</w:t>
      </w:r>
      <w:r w:rsidR="008C297E">
        <w:rPr>
          <w:rFonts w:ascii="Times New Roman" w:hAnsi="Times New Roman"/>
          <w:color w:val="000000"/>
          <w:lang w:val="en-GB" w:bidi="en-US"/>
        </w:rPr>
        <w:t xml:space="preserve"> </w:t>
      </w:r>
      <w:r w:rsidR="008C297E" w:rsidRPr="006E1463">
        <w:rPr>
          <w:rFonts w:ascii="Times New Roman" w:hAnsi="Times New Roman"/>
          <w:color w:val="000000"/>
          <w:lang w:val="en-GB"/>
        </w:rPr>
        <w:t xml:space="preserve">average </w:t>
      </w:r>
      <w:r w:rsidR="008C297E">
        <w:rPr>
          <w:rFonts w:ascii="Times New Roman" w:hAnsi="Times New Roman"/>
          <w:color w:val="000000"/>
          <w:lang w:val="en-GB"/>
        </w:rPr>
        <w:t xml:space="preserve">of </w:t>
      </w:r>
      <w:r w:rsidR="008C297E" w:rsidRPr="006E1463">
        <w:rPr>
          <w:rFonts w:ascii="Times New Roman" w:hAnsi="Times New Roman"/>
          <w:color w:val="000000"/>
          <w:lang w:val="en-GB"/>
        </w:rPr>
        <w:t>61</w:t>
      </w:r>
      <w:r w:rsidR="008C297E">
        <w:rPr>
          <w:rFonts w:ascii="Times New Roman" w:hAnsi="Times New Roman"/>
          <w:color w:val="000000"/>
          <w:lang w:val="en-GB"/>
        </w:rPr>
        <w:t xml:space="preserve"> ± 6</w:t>
      </w:r>
      <w:r w:rsidR="008C297E" w:rsidRPr="006E1463">
        <w:rPr>
          <w:rFonts w:ascii="Times New Roman" w:hAnsi="Times New Roman"/>
          <w:color w:val="000000"/>
          <w:lang w:val="en-GB"/>
        </w:rPr>
        <w:t>% of particulate lipids in SML and 68</w:t>
      </w:r>
      <w:r w:rsidR="008C297E">
        <w:rPr>
          <w:rFonts w:ascii="Times New Roman" w:hAnsi="Times New Roman"/>
          <w:color w:val="000000"/>
          <w:lang w:val="en-GB"/>
        </w:rPr>
        <w:t xml:space="preserve"> ± 4</w:t>
      </w:r>
      <w:r w:rsidR="008C297E" w:rsidRPr="006E1463">
        <w:rPr>
          <w:rFonts w:ascii="Times New Roman" w:hAnsi="Times New Roman"/>
          <w:color w:val="000000"/>
          <w:lang w:val="en-GB"/>
        </w:rPr>
        <w:t>% in ULW</w:t>
      </w:r>
      <w:r w:rsidR="008C297E">
        <w:rPr>
          <w:rFonts w:ascii="Times New Roman" w:hAnsi="Times New Roman"/>
          <w:color w:val="000000"/>
          <w:lang w:val="en-GB"/>
        </w:rPr>
        <w:t xml:space="preserve">, and statistically significant </w:t>
      </w:r>
      <w:r w:rsidR="001A432B">
        <w:rPr>
          <w:rFonts w:ascii="Times New Roman" w:hAnsi="Times New Roman"/>
          <w:color w:val="000000"/>
          <w:lang w:val="en-GB"/>
        </w:rPr>
        <w:t xml:space="preserve">positive </w:t>
      </w:r>
      <w:r w:rsidR="008C297E">
        <w:rPr>
          <w:rFonts w:ascii="Times New Roman" w:hAnsi="Times New Roman"/>
          <w:color w:val="000000"/>
          <w:lang w:val="en-GB"/>
        </w:rPr>
        <w:t xml:space="preserve">correlations were found between the concentrations of PIG (r = 0.802, p = 0.009), </w:t>
      </w:r>
      <w:r w:rsidR="008C297E">
        <w:rPr>
          <w:rFonts w:ascii="Times New Roman" w:hAnsi="Times New Roman"/>
          <w:color w:val="000000"/>
          <w:lang w:val="en-GB" w:bidi="en-US"/>
        </w:rPr>
        <w:t xml:space="preserve">DGDG </w:t>
      </w:r>
      <w:r w:rsidR="008C297E">
        <w:rPr>
          <w:rFonts w:ascii="Times New Roman" w:hAnsi="Times New Roman"/>
          <w:color w:val="000000"/>
          <w:lang w:val="en-GB"/>
        </w:rPr>
        <w:t xml:space="preserve">(r = 0.677, p = 0.045), SQDG (r = 0.817, p = 0.007), </w:t>
      </w:r>
      <w:r w:rsidR="008C297E">
        <w:rPr>
          <w:rFonts w:ascii="Times New Roman" w:hAnsi="Times New Roman"/>
          <w:color w:val="000000"/>
          <w:lang w:val="en-GB" w:bidi="en-US"/>
        </w:rPr>
        <w:t xml:space="preserve">and PE </w:t>
      </w:r>
      <w:r w:rsidR="008C297E">
        <w:rPr>
          <w:rFonts w:ascii="Times New Roman" w:hAnsi="Times New Roman"/>
          <w:color w:val="000000"/>
          <w:lang w:val="en-GB"/>
        </w:rPr>
        <w:t>(r = 0.768, p = 0.015) in SML and ULW. The average concentration of degradation indices in the SML was 6.79 ± 1.25</w:t>
      </w:r>
      <w:r w:rsidR="008C297E" w:rsidRPr="006E1463">
        <w:rPr>
          <w:rFonts w:ascii="Times New Roman" w:hAnsi="Times New Roman"/>
          <w:color w:val="000000"/>
          <w:lang w:val="en-GB" w:bidi="en-US"/>
        </w:rPr>
        <w:t xml:space="preserve"> </w:t>
      </w:r>
      <w:r w:rsidR="008C297E" w:rsidRPr="006E1463">
        <w:rPr>
          <w:rFonts w:ascii="Times New Roman" w:hAnsi="Times New Roman"/>
          <w:color w:val="000000"/>
          <w:lang w:val="en-GB"/>
        </w:rPr>
        <w:t>µg L</w:t>
      </w:r>
      <w:r w:rsidR="008C297E" w:rsidRPr="006E1463">
        <w:rPr>
          <w:rFonts w:ascii="Times New Roman" w:hAnsi="Times New Roman"/>
          <w:color w:val="000000"/>
          <w:vertAlign w:val="superscript"/>
          <w:lang w:val="en-GB"/>
        </w:rPr>
        <w:t>-1</w:t>
      </w:r>
      <w:r w:rsidR="008C297E">
        <w:rPr>
          <w:rFonts w:ascii="Times New Roman" w:hAnsi="Times New Roman"/>
          <w:color w:val="000000"/>
          <w:lang w:val="en-GB"/>
        </w:rPr>
        <w:t>,</w:t>
      </w:r>
      <w:r w:rsidR="008C297E">
        <w:rPr>
          <w:rFonts w:ascii="Times New Roman" w:hAnsi="Times New Roman"/>
          <w:color w:val="000000"/>
          <w:vertAlign w:val="superscript"/>
          <w:lang w:val="en-GB"/>
        </w:rPr>
        <w:t xml:space="preserve"> </w:t>
      </w:r>
      <w:r w:rsidR="008C297E">
        <w:rPr>
          <w:rFonts w:ascii="Times New Roman" w:hAnsi="Times New Roman"/>
          <w:color w:val="000000"/>
          <w:lang w:val="en-GB"/>
        </w:rPr>
        <w:t>while in the ULW it was 5.35 ± 0.96</w:t>
      </w:r>
      <w:r w:rsidR="008C297E" w:rsidRPr="006E1463">
        <w:rPr>
          <w:rFonts w:ascii="Times New Roman" w:hAnsi="Times New Roman"/>
          <w:color w:val="000000"/>
          <w:lang w:val="en-GB" w:bidi="en-US"/>
        </w:rPr>
        <w:t xml:space="preserve"> </w:t>
      </w:r>
      <w:r w:rsidR="008C297E" w:rsidRPr="006E1463">
        <w:rPr>
          <w:rFonts w:ascii="Times New Roman" w:hAnsi="Times New Roman"/>
          <w:color w:val="000000"/>
          <w:lang w:val="en-GB"/>
        </w:rPr>
        <w:t>µg L</w:t>
      </w:r>
      <w:r w:rsidR="008C297E" w:rsidRPr="006E1463">
        <w:rPr>
          <w:rFonts w:ascii="Times New Roman" w:hAnsi="Times New Roman"/>
          <w:color w:val="000000"/>
          <w:vertAlign w:val="superscript"/>
          <w:lang w:val="en-GB"/>
        </w:rPr>
        <w:t>-1</w:t>
      </w:r>
      <w:r w:rsidR="008C297E">
        <w:rPr>
          <w:rFonts w:ascii="Times New Roman" w:hAnsi="Times New Roman"/>
          <w:color w:val="000000"/>
          <w:lang w:val="en-GB"/>
        </w:rPr>
        <w:t xml:space="preserve">, with a statistically significant difference between the two means (two-sample t-test, p = 0.014). </w:t>
      </w:r>
      <w:r w:rsidR="00775E6F">
        <w:rPr>
          <w:rFonts w:ascii="Times New Roman" w:hAnsi="Times New Roman"/>
          <w:color w:val="000000"/>
          <w:lang w:val="en-GB"/>
        </w:rPr>
        <w:t>The d</w:t>
      </w:r>
      <w:r w:rsidRPr="006E1463">
        <w:rPr>
          <w:rFonts w:ascii="Times New Roman" w:hAnsi="Times New Roman"/>
          <w:color w:val="000000"/>
          <w:lang w:val="en-GB"/>
        </w:rPr>
        <w:t>egradation indices</w:t>
      </w:r>
      <w:r w:rsidR="009F3506">
        <w:rPr>
          <w:rFonts w:ascii="Times New Roman" w:hAnsi="Times New Roman"/>
          <w:color w:val="000000"/>
          <w:lang w:val="en-GB"/>
        </w:rPr>
        <w:t xml:space="preserve"> </w:t>
      </w:r>
      <w:r w:rsidR="00775E6F">
        <w:rPr>
          <w:rFonts w:ascii="Times New Roman" w:hAnsi="Times New Roman"/>
          <w:color w:val="000000"/>
          <w:lang w:val="en-GB"/>
        </w:rPr>
        <w:t>accounted for</w:t>
      </w:r>
      <w:r w:rsidR="00775E6F">
        <w:rPr>
          <w:rFonts w:ascii="Times New Roman" w:hAnsi="Times New Roman"/>
          <w:color w:val="000000"/>
          <w:lang w:val="en-GB" w:bidi="en-US"/>
        </w:rPr>
        <w:t xml:space="preserve"> a</w:t>
      </w:r>
      <w:r w:rsidR="005E5C1C">
        <w:rPr>
          <w:rFonts w:ascii="Times New Roman" w:hAnsi="Times New Roman"/>
          <w:color w:val="000000"/>
          <w:lang w:val="en-GB" w:bidi="en-US"/>
        </w:rPr>
        <w:t>n</w:t>
      </w:r>
      <w:r w:rsidRPr="006E1463">
        <w:rPr>
          <w:rFonts w:ascii="Times New Roman" w:hAnsi="Times New Roman"/>
          <w:color w:val="000000"/>
          <w:lang w:val="en-GB" w:bidi="en-US"/>
        </w:rPr>
        <w:t xml:space="preserve"> </w:t>
      </w:r>
      <w:r w:rsidRPr="006E1463">
        <w:rPr>
          <w:rFonts w:ascii="Times New Roman" w:hAnsi="Times New Roman"/>
          <w:color w:val="000000"/>
          <w:lang w:val="en-GB"/>
        </w:rPr>
        <w:t xml:space="preserve">average </w:t>
      </w:r>
      <w:r w:rsidR="00775E6F">
        <w:rPr>
          <w:rFonts w:ascii="Times New Roman" w:hAnsi="Times New Roman"/>
          <w:color w:val="000000"/>
          <w:lang w:val="en-GB"/>
        </w:rPr>
        <w:t xml:space="preserve">of </w:t>
      </w:r>
      <w:r w:rsidRPr="006E1463">
        <w:rPr>
          <w:rFonts w:ascii="Times New Roman" w:hAnsi="Times New Roman"/>
          <w:color w:val="000000"/>
          <w:lang w:val="en-GB"/>
        </w:rPr>
        <w:t>21</w:t>
      </w:r>
      <w:r w:rsidR="005E5C1C">
        <w:rPr>
          <w:rFonts w:ascii="Times New Roman" w:hAnsi="Times New Roman"/>
          <w:color w:val="000000"/>
          <w:lang w:val="en-GB"/>
        </w:rPr>
        <w:t xml:space="preserve"> ± 3</w:t>
      </w:r>
      <w:r w:rsidRPr="006E1463">
        <w:rPr>
          <w:rFonts w:ascii="Times New Roman" w:hAnsi="Times New Roman"/>
          <w:color w:val="000000"/>
          <w:lang w:val="en-GB"/>
        </w:rPr>
        <w:t>% and 20</w:t>
      </w:r>
      <w:r w:rsidR="005E5C1C">
        <w:rPr>
          <w:rFonts w:ascii="Times New Roman" w:hAnsi="Times New Roman"/>
          <w:color w:val="000000"/>
          <w:lang w:val="en-GB"/>
        </w:rPr>
        <w:t xml:space="preserve"> ± 3</w:t>
      </w:r>
      <w:r w:rsidRPr="006E1463">
        <w:rPr>
          <w:rFonts w:ascii="Times New Roman" w:hAnsi="Times New Roman"/>
          <w:color w:val="000000"/>
          <w:lang w:val="en-GB"/>
        </w:rPr>
        <w:t>% of particulate lipids in SML and ULW, respectively.</w:t>
      </w:r>
      <w:r w:rsidR="009F3506">
        <w:rPr>
          <w:rFonts w:ascii="Times New Roman" w:hAnsi="Times New Roman"/>
          <w:color w:val="000000"/>
          <w:lang w:val="en-GB"/>
        </w:rPr>
        <w:t xml:space="preserve"> </w:t>
      </w:r>
      <w:r w:rsidR="003A3B4B">
        <w:rPr>
          <w:rFonts w:ascii="Times New Roman" w:hAnsi="Times New Roman"/>
          <w:color w:val="000000"/>
          <w:lang w:val="en-GB"/>
        </w:rPr>
        <w:t xml:space="preserve">Statistically significant </w:t>
      </w:r>
      <w:r w:rsidR="003A3B4B">
        <w:rPr>
          <w:rFonts w:ascii="Times New Roman" w:hAnsi="Times New Roman"/>
          <w:color w:val="000000"/>
          <w:lang w:val="en-GB"/>
        </w:rPr>
        <w:lastRenderedPageBreak/>
        <w:t>correlations were found between the concentrations of ALC (r = 0.762, p = 0.017)</w:t>
      </w:r>
      <w:r w:rsidR="003A3B4B">
        <w:rPr>
          <w:rFonts w:ascii="Times New Roman" w:hAnsi="Times New Roman"/>
          <w:color w:val="000000"/>
          <w:lang w:val="en-GB" w:bidi="en-US"/>
        </w:rPr>
        <w:t xml:space="preserve">, 1,3 DG </w:t>
      </w:r>
      <w:r w:rsidR="003A3B4B">
        <w:rPr>
          <w:rFonts w:ascii="Times New Roman" w:hAnsi="Times New Roman"/>
          <w:color w:val="000000"/>
          <w:lang w:val="en-GB"/>
        </w:rPr>
        <w:t>(r = 0.738, p = 0.023), 1,2 DG (r = 0.709, p = 0.032), MG (r = 0.952, p &lt; 0.001) in the SML and ULW.</w:t>
      </w:r>
    </w:p>
    <w:p w14:paraId="01BCA135" w14:textId="77777777" w:rsidR="00611FA0" w:rsidRDefault="003A3B4B" w:rsidP="003A3B4B">
      <w:pPr>
        <w:pStyle w:val="NoSpacing"/>
        <w:spacing w:line="360" w:lineRule="auto"/>
        <w:ind w:firstLine="708"/>
        <w:rPr>
          <w:rFonts w:ascii="Times New Roman" w:hAnsi="Times New Roman"/>
          <w:color w:val="000000"/>
          <w:lang w:val="en-GB"/>
        </w:rPr>
      </w:pPr>
      <w:r w:rsidRPr="00017DF4">
        <w:rPr>
          <w:rFonts w:ascii="Times New Roman" w:hAnsi="Times New Roman"/>
          <w:color w:val="000000"/>
          <w:lang w:val="en-GB"/>
        </w:rPr>
        <w:t>The lowest concentrations</w:t>
      </w:r>
      <w:r>
        <w:rPr>
          <w:rFonts w:ascii="Times New Roman" w:hAnsi="Times New Roman"/>
          <w:color w:val="000000"/>
          <w:lang w:val="en-GB"/>
        </w:rPr>
        <w:t xml:space="preserve"> determined were those of reserve lipids, with an average value of 3.21 ± 1.44</w:t>
      </w:r>
      <w:r w:rsidRPr="006E1463">
        <w:rPr>
          <w:rFonts w:ascii="Times New Roman" w:hAnsi="Times New Roman"/>
          <w:color w:val="000000"/>
          <w:lang w:val="en-GB" w:bidi="en-US"/>
        </w:rPr>
        <w:t xml:space="preserve"> </w:t>
      </w:r>
      <w:r w:rsidRPr="006E1463">
        <w:rPr>
          <w:rFonts w:ascii="Times New Roman" w:hAnsi="Times New Roman"/>
          <w:color w:val="000000"/>
          <w:lang w:val="en-GB"/>
        </w:rPr>
        <w:t>µg L</w:t>
      </w:r>
      <w:r w:rsidRPr="006E1463">
        <w:rPr>
          <w:rFonts w:ascii="Times New Roman" w:hAnsi="Times New Roman"/>
          <w:color w:val="000000"/>
          <w:vertAlign w:val="superscript"/>
          <w:lang w:val="en-GB"/>
        </w:rPr>
        <w:t>-1</w:t>
      </w:r>
      <w:r>
        <w:rPr>
          <w:rFonts w:ascii="Times New Roman" w:hAnsi="Times New Roman"/>
          <w:color w:val="000000"/>
          <w:lang w:val="en-GB"/>
        </w:rPr>
        <w:t xml:space="preserve"> in the SML and a slightly, but still significantly lower (two-sample t-test, p = 0.003) value of 1.48 ± 0.46</w:t>
      </w:r>
      <w:r w:rsidRPr="006E1463">
        <w:rPr>
          <w:rFonts w:ascii="Times New Roman" w:hAnsi="Times New Roman"/>
          <w:color w:val="000000"/>
          <w:lang w:val="en-GB" w:bidi="en-US"/>
        </w:rPr>
        <w:t xml:space="preserve"> </w:t>
      </w:r>
      <w:r w:rsidRPr="006E1463">
        <w:rPr>
          <w:rFonts w:ascii="Times New Roman" w:hAnsi="Times New Roman"/>
          <w:color w:val="000000"/>
          <w:lang w:val="en-GB"/>
        </w:rPr>
        <w:t>µg L</w:t>
      </w:r>
      <w:r w:rsidRPr="006E1463">
        <w:rPr>
          <w:rFonts w:ascii="Times New Roman" w:hAnsi="Times New Roman"/>
          <w:color w:val="000000"/>
          <w:vertAlign w:val="superscript"/>
          <w:lang w:val="en-GB"/>
        </w:rPr>
        <w:t>-1</w:t>
      </w:r>
      <w:r>
        <w:rPr>
          <w:rFonts w:ascii="Times New Roman" w:hAnsi="Times New Roman"/>
          <w:color w:val="000000"/>
          <w:vertAlign w:val="superscript"/>
          <w:lang w:val="en-GB"/>
        </w:rPr>
        <w:t xml:space="preserve"> </w:t>
      </w:r>
      <w:r>
        <w:rPr>
          <w:rFonts w:ascii="Times New Roman" w:hAnsi="Times New Roman"/>
          <w:color w:val="000000"/>
          <w:lang w:val="en-GB"/>
        </w:rPr>
        <w:t>in the ULW. R</w:t>
      </w:r>
      <w:r w:rsidRPr="006E1463">
        <w:rPr>
          <w:rFonts w:ascii="Times New Roman" w:hAnsi="Times New Roman"/>
          <w:color w:val="000000"/>
          <w:lang w:val="en-GB"/>
        </w:rPr>
        <w:t>eserve lipids accounted for 10</w:t>
      </w:r>
      <w:r>
        <w:rPr>
          <w:rFonts w:ascii="Times New Roman" w:hAnsi="Times New Roman"/>
          <w:color w:val="000000"/>
          <w:lang w:val="en-GB"/>
        </w:rPr>
        <w:t xml:space="preserve"> ± 4</w:t>
      </w:r>
      <w:r w:rsidRPr="006E1463">
        <w:rPr>
          <w:rFonts w:ascii="Times New Roman" w:hAnsi="Times New Roman"/>
          <w:color w:val="000000"/>
          <w:lang w:val="en-GB"/>
        </w:rPr>
        <w:t>% and 6</w:t>
      </w:r>
      <w:r>
        <w:rPr>
          <w:rFonts w:ascii="Times New Roman" w:hAnsi="Times New Roman"/>
          <w:color w:val="000000"/>
          <w:lang w:val="en-GB"/>
        </w:rPr>
        <w:t xml:space="preserve"> ± 2</w:t>
      </w:r>
      <w:r w:rsidRPr="006E1463">
        <w:rPr>
          <w:rFonts w:ascii="Times New Roman" w:hAnsi="Times New Roman"/>
          <w:color w:val="000000"/>
          <w:lang w:val="en-GB"/>
        </w:rPr>
        <w:t xml:space="preserve">% of </w:t>
      </w:r>
      <w:r>
        <w:rPr>
          <w:rFonts w:ascii="Times New Roman" w:hAnsi="Times New Roman"/>
          <w:color w:val="000000"/>
          <w:lang w:val="en-GB"/>
        </w:rPr>
        <w:t xml:space="preserve">the </w:t>
      </w:r>
      <w:r w:rsidRPr="006E1463">
        <w:rPr>
          <w:rFonts w:ascii="Times New Roman" w:hAnsi="Times New Roman"/>
          <w:color w:val="000000"/>
          <w:lang w:val="en-GB"/>
        </w:rPr>
        <w:t xml:space="preserve">particulate lipids in </w:t>
      </w:r>
      <w:r>
        <w:rPr>
          <w:rFonts w:ascii="Times New Roman" w:hAnsi="Times New Roman"/>
          <w:color w:val="000000"/>
          <w:lang w:val="en-GB"/>
        </w:rPr>
        <w:t xml:space="preserve">the </w:t>
      </w:r>
      <w:r w:rsidRPr="006E1463">
        <w:rPr>
          <w:rFonts w:ascii="Times New Roman" w:hAnsi="Times New Roman"/>
          <w:color w:val="000000"/>
          <w:lang w:val="en-GB"/>
        </w:rPr>
        <w:t>SML and ULW</w:t>
      </w:r>
      <w:r>
        <w:rPr>
          <w:rFonts w:ascii="Times New Roman" w:hAnsi="Times New Roman"/>
          <w:color w:val="000000"/>
          <w:lang w:val="en-GB"/>
        </w:rPr>
        <w:t>,</w:t>
      </w:r>
      <w:r w:rsidRPr="006E1463">
        <w:rPr>
          <w:rFonts w:ascii="Times New Roman" w:hAnsi="Times New Roman"/>
          <w:color w:val="000000"/>
          <w:lang w:val="en-GB"/>
        </w:rPr>
        <w:t xml:space="preserve"> respectively. </w:t>
      </w:r>
      <w:r>
        <w:rPr>
          <w:rFonts w:ascii="Times New Roman" w:hAnsi="Times New Roman"/>
          <w:color w:val="000000"/>
          <w:lang w:val="en-GB"/>
        </w:rPr>
        <w:t>A statistically significant correlation was found between the concentrations of TG (r = 0.754, p = 0.019) in SML and ULW.</w:t>
      </w:r>
    </w:p>
    <w:p w14:paraId="3E3A742A" w14:textId="28221AAC" w:rsidR="009F54B9" w:rsidRDefault="007579A1" w:rsidP="00DC19BD">
      <w:pPr>
        <w:pStyle w:val="NoSpacing"/>
        <w:spacing w:line="360" w:lineRule="auto"/>
        <w:rPr>
          <w:rFonts w:ascii="Times New Roman" w:hAnsi="Times New Roman"/>
          <w:color w:val="000000"/>
          <w:lang w:val="en-GB"/>
        </w:rPr>
      </w:pPr>
      <w:r w:rsidRPr="006E1463">
        <w:rPr>
          <w:rFonts w:ascii="Times New Roman" w:hAnsi="Times New Roman"/>
          <w:color w:val="000000"/>
          <w:lang w:val="en-GB"/>
        </w:rPr>
        <w:t xml:space="preserve">Hydrocarbons are present in living organisms and account for </w:t>
      </w:r>
      <w:r w:rsidR="009A78D7" w:rsidRPr="009A78D7">
        <w:rPr>
          <w:rFonts w:ascii="Times New Roman" w:hAnsi="Times New Roman"/>
          <w:color w:val="000000"/>
          <w:lang w:val="en-GB"/>
        </w:rPr>
        <w:t>approximately</w:t>
      </w:r>
      <w:r w:rsidRPr="006E1463">
        <w:rPr>
          <w:rFonts w:ascii="Times New Roman" w:hAnsi="Times New Roman"/>
          <w:color w:val="000000"/>
          <w:lang w:val="en-GB"/>
        </w:rPr>
        <w:t xml:space="preserve"> 1% of the lipid content of marine microorganisms</w:t>
      </w:r>
      <w:r w:rsidR="006C75CA" w:rsidRPr="006E1463">
        <w:rPr>
          <w:rFonts w:ascii="Times New Roman" w:hAnsi="Times New Roman"/>
          <w:color w:val="000000"/>
          <w:lang w:val="en-US"/>
        </w:rPr>
        <w:t xml:space="preserve"> </w:t>
      </w:r>
      <w:r w:rsidR="00901F9B" w:rsidRPr="006E1463">
        <w:rPr>
          <w:rFonts w:ascii="Times New Roman" w:hAnsi="Times New Roman"/>
          <w:noProof/>
          <w:color w:val="000000"/>
          <w:lang w:val="en-US"/>
        </w:rPr>
        <w:t>(Sargent et al., 1976)</w:t>
      </w:r>
      <w:r w:rsidR="006C75CA" w:rsidRPr="006E1463">
        <w:rPr>
          <w:rFonts w:ascii="Times New Roman" w:hAnsi="Times New Roman"/>
          <w:color w:val="000000"/>
          <w:lang w:val="en-US"/>
        </w:rPr>
        <w:t xml:space="preserve">. </w:t>
      </w:r>
      <w:r w:rsidRPr="006E1463">
        <w:rPr>
          <w:rFonts w:ascii="Times New Roman" w:hAnsi="Times New Roman"/>
          <w:color w:val="000000"/>
          <w:lang w:val="en-GB"/>
        </w:rPr>
        <w:t>The concentration of hydrocarbons in the particulate fraction range</w:t>
      </w:r>
      <w:r w:rsidR="005E5C1C">
        <w:rPr>
          <w:rFonts w:ascii="Times New Roman" w:hAnsi="Times New Roman"/>
          <w:color w:val="000000"/>
          <w:lang w:val="en-GB"/>
        </w:rPr>
        <w:t>d</w:t>
      </w:r>
      <w:r w:rsidRPr="006E1463">
        <w:rPr>
          <w:rFonts w:ascii="Times New Roman" w:hAnsi="Times New Roman"/>
          <w:color w:val="000000"/>
          <w:lang w:val="en-GB"/>
        </w:rPr>
        <w:t xml:space="preserve"> from 1.75 to 4.41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the SML and </w:t>
      </w:r>
      <w:r w:rsidR="003A3B4B">
        <w:rPr>
          <w:rFonts w:ascii="Times New Roman" w:hAnsi="Times New Roman"/>
          <w:color w:val="000000"/>
          <w:lang w:val="en-GB"/>
        </w:rPr>
        <w:t xml:space="preserve">from </w:t>
      </w:r>
      <w:r w:rsidRPr="006E1463">
        <w:rPr>
          <w:rFonts w:ascii="Times New Roman" w:hAnsi="Times New Roman"/>
          <w:color w:val="000000"/>
          <w:lang w:val="en-GB"/>
        </w:rPr>
        <w:t>1.2</w:t>
      </w:r>
      <w:r w:rsidR="003A3B4B">
        <w:rPr>
          <w:rFonts w:ascii="Times New Roman" w:hAnsi="Times New Roman"/>
          <w:color w:val="000000"/>
          <w:lang w:val="en-GB"/>
        </w:rPr>
        <w:t>0</w:t>
      </w:r>
      <w:r w:rsidRPr="006E1463">
        <w:rPr>
          <w:rFonts w:ascii="Times New Roman" w:hAnsi="Times New Roman"/>
          <w:color w:val="000000"/>
          <w:lang w:val="en-GB"/>
        </w:rPr>
        <w:t xml:space="preserve"> to 1.98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w:t>
      </w:r>
      <w:r w:rsidR="009A78D7">
        <w:rPr>
          <w:rFonts w:ascii="Times New Roman" w:hAnsi="Times New Roman"/>
          <w:color w:val="000000"/>
          <w:lang w:val="en-GB"/>
        </w:rPr>
        <w:t>in</w:t>
      </w:r>
      <w:r w:rsidR="009A78D7" w:rsidRPr="006E1463">
        <w:rPr>
          <w:rFonts w:ascii="Times New Roman" w:hAnsi="Times New Roman"/>
          <w:color w:val="000000"/>
          <w:lang w:val="en-GB"/>
        </w:rPr>
        <w:t xml:space="preserve"> </w:t>
      </w:r>
      <w:r w:rsidRPr="006E1463">
        <w:rPr>
          <w:rFonts w:ascii="Times New Roman" w:hAnsi="Times New Roman"/>
          <w:color w:val="000000"/>
          <w:lang w:val="en-GB"/>
        </w:rPr>
        <w:t xml:space="preserve">the ULW. </w:t>
      </w:r>
    </w:p>
    <w:p w14:paraId="63874161" w14:textId="77777777" w:rsidR="00611FA0" w:rsidRPr="006E1463" w:rsidRDefault="00611FA0" w:rsidP="00DC19BD">
      <w:pPr>
        <w:pStyle w:val="NoSpacing"/>
        <w:spacing w:line="360" w:lineRule="auto"/>
        <w:rPr>
          <w:rFonts w:ascii="Times New Roman" w:hAnsi="Times New Roman"/>
          <w:color w:val="000000"/>
          <w:lang w:val="en-GB" w:bidi="en-US"/>
        </w:rPr>
        <w:sectPr w:rsidR="00611FA0" w:rsidRPr="006E1463" w:rsidSect="000A7F40">
          <w:footerReference w:type="default" r:id="rId14"/>
          <w:endnotePr>
            <w:numFmt w:val="decimal"/>
          </w:endnotePr>
          <w:type w:val="continuous"/>
          <w:pgSz w:w="11906" w:h="16838"/>
          <w:pgMar w:top="1418" w:right="1418" w:bottom="1418" w:left="1418" w:header="709" w:footer="709" w:gutter="0"/>
          <w:lnNumType w:countBy="1" w:restart="continuous"/>
          <w:cols w:space="708"/>
          <w:docGrid w:linePitch="360"/>
        </w:sectPr>
      </w:pPr>
    </w:p>
    <w:p w14:paraId="56E40313" w14:textId="337EC549" w:rsidR="00D46C07" w:rsidRDefault="00FC1541" w:rsidP="00DC19BD">
      <w:pPr>
        <w:pStyle w:val="NoSpacing"/>
        <w:rPr>
          <w:rFonts w:ascii="Times New Roman" w:hAnsi="Times New Roman"/>
          <w:color w:val="000000"/>
          <w:lang w:val="en-US"/>
        </w:rPr>
      </w:pPr>
      <w:r w:rsidRPr="006E1463">
        <w:rPr>
          <w:rFonts w:ascii="Times New Roman" w:hAnsi="Times New Roman"/>
          <w:color w:val="000000"/>
          <w:lang w:val="en-US"/>
        </w:rPr>
        <w:lastRenderedPageBreak/>
        <w:t xml:space="preserve">Table </w:t>
      </w:r>
      <w:r w:rsidR="008C3378">
        <w:rPr>
          <w:rFonts w:ascii="Times New Roman" w:hAnsi="Times New Roman"/>
          <w:color w:val="000000"/>
          <w:lang w:val="en-US"/>
        </w:rPr>
        <w:t>1</w:t>
      </w:r>
      <w:r w:rsidR="00D46C07" w:rsidRPr="006E1463">
        <w:rPr>
          <w:rFonts w:ascii="Times New Roman" w:hAnsi="Times New Roman"/>
          <w:color w:val="000000"/>
          <w:lang w:val="en-US"/>
        </w:rPr>
        <w:t xml:space="preserve">. </w:t>
      </w:r>
      <w:r w:rsidR="00C91EC3">
        <w:rPr>
          <w:rFonts w:ascii="Times New Roman" w:hAnsi="Times New Roman"/>
          <w:color w:val="000000"/>
          <w:lang w:val="en-US"/>
        </w:rPr>
        <w:t>C</w:t>
      </w:r>
      <w:r w:rsidR="00D46C07" w:rsidRPr="006E1463">
        <w:rPr>
          <w:rFonts w:ascii="Times New Roman" w:hAnsi="Times New Roman"/>
          <w:color w:val="000000"/>
          <w:lang w:val="en-US"/>
        </w:rPr>
        <w:t>oncentrations of particulate</w:t>
      </w:r>
      <w:r w:rsidR="007579A1" w:rsidRPr="006E1463">
        <w:rPr>
          <w:rFonts w:ascii="Times New Roman" w:hAnsi="Times New Roman"/>
          <w:color w:val="000000"/>
          <w:lang w:val="en-US"/>
        </w:rPr>
        <w:t xml:space="preserve"> total</w:t>
      </w:r>
      <w:r w:rsidR="00D46C07" w:rsidRPr="006E1463">
        <w:rPr>
          <w:rFonts w:ascii="Times New Roman" w:hAnsi="Times New Roman"/>
          <w:color w:val="000000"/>
          <w:lang w:val="en-US"/>
        </w:rPr>
        <w:t xml:space="preserve"> lipids</w:t>
      </w:r>
      <w:r w:rsidR="007579A1" w:rsidRPr="006E1463">
        <w:rPr>
          <w:rFonts w:ascii="Times New Roman" w:hAnsi="Times New Roman"/>
          <w:color w:val="000000"/>
          <w:lang w:val="en-US"/>
        </w:rPr>
        <w:t xml:space="preserve"> and lipid classes</w:t>
      </w:r>
      <w:r w:rsidR="00C91EC3">
        <w:rPr>
          <w:rFonts w:ascii="Times New Roman" w:hAnsi="Times New Roman"/>
          <w:color w:val="000000"/>
          <w:lang w:val="en-US"/>
        </w:rPr>
        <w:t xml:space="preserve"> (</w:t>
      </w:r>
      <w:r w:rsidR="00C91EC3" w:rsidRPr="00C91EC3">
        <w:rPr>
          <w:rFonts w:ascii="Times New Roman" w:hAnsi="Times New Roman"/>
          <w:color w:val="000000"/>
        </w:rPr>
        <w:t xml:space="preserve">± </w:t>
      </w:r>
      <w:r w:rsidR="00C91EC3">
        <w:rPr>
          <w:rFonts w:ascii="Times New Roman" w:hAnsi="Times New Roman"/>
          <w:color w:val="000000"/>
        </w:rPr>
        <w:t>SD)</w:t>
      </w:r>
      <w:r w:rsidR="00D46C07" w:rsidRPr="006E1463">
        <w:rPr>
          <w:rFonts w:ascii="Times New Roman" w:hAnsi="Times New Roman"/>
          <w:color w:val="000000"/>
          <w:lang w:val="en-US"/>
        </w:rPr>
        <w:t xml:space="preserve"> in the </w:t>
      </w:r>
      <w:r w:rsidR="00A32210">
        <w:rPr>
          <w:rFonts w:ascii="Times New Roman" w:hAnsi="Times New Roman"/>
          <w:color w:val="000000"/>
          <w:lang w:val="en-US"/>
        </w:rPr>
        <w:t>sea surface microlayer (</w:t>
      </w:r>
      <w:r w:rsidR="00D46C07" w:rsidRPr="006E1463">
        <w:rPr>
          <w:rFonts w:ascii="Times New Roman" w:hAnsi="Times New Roman"/>
          <w:color w:val="000000"/>
          <w:lang w:val="en-US"/>
        </w:rPr>
        <w:t>SML</w:t>
      </w:r>
      <w:r w:rsidR="00A32210">
        <w:rPr>
          <w:rFonts w:ascii="Times New Roman" w:hAnsi="Times New Roman"/>
          <w:color w:val="000000"/>
          <w:lang w:val="en-US"/>
        </w:rPr>
        <w:t>)</w:t>
      </w:r>
      <w:r w:rsidR="00D46C07" w:rsidRPr="006E1463">
        <w:rPr>
          <w:rFonts w:ascii="Times New Roman" w:hAnsi="Times New Roman"/>
          <w:color w:val="000000"/>
          <w:lang w:val="en-US"/>
        </w:rPr>
        <w:t xml:space="preserve"> and </w:t>
      </w:r>
      <w:r w:rsidR="00A32210">
        <w:rPr>
          <w:rFonts w:ascii="Times New Roman" w:hAnsi="Times New Roman"/>
          <w:color w:val="000000"/>
          <w:lang w:val="en-US"/>
        </w:rPr>
        <w:t>underlying (</w:t>
      </w:r>
      <w:r w:rsidR="00D46C07" w:rsidRPr="006E1463">
        <w:rPr>
          <w:rFonts w:ascii="Times New Roman" w:hAnsi="Times New Roman"/>
          <w:color w:val="000000"/>
          <w:lang w:val="en-US"/>
        </w:rPr>
        <w:t>ULW</w:t>
      </w:r>
      <w:r w:rsidR="00A32210">
        <w:rPr>
          <w:rFonts w:ascii="Times New Roman" w:hAnsi="Times New Roman"/>
          <w:color w:val="000000"/>
          <w:lang w:val="en-US"/>
        </w:rPr>
        <w:t>)</w:t>
      </w:r>
      <w:r w:rsidR="00D46C07" w:rsidRPr="006E1463">
        <w:rPr>
          <w:rFonts w:ascii="Times New Roman" w:hAnsi="Times New Roman"/>
          <w:color w:val="000000"/>
          <w:lang w:val="en-US"/>
        </w:rPr>
        <w:t xml:space="preserve"> in the </w:t>
      </w:r>
      <w:r w:rsidR="00C91EC3" w:rsidRPr="006E1463">
        <w:rPr>
          <w:rFonts w:ascii="Times New Roman" w:hAnsi="Times New Roman"/>
          <w:color w:val="000000"/>
          <w:lang w:val="en-US"/>
        </w:rPr>
        <w:t>analy</w:t>
      </w:r>
      <w:r w:rsidR="00C91EC3">
        <w:rPr>
          <w:rFonts w:ascii="Times New Roman" w:hAnsi="Times New Roman"/>
          <w:color w:val="000000"/>
          <w:lang w:val="en-US"/>
        </w:rPr>
        <w:t>z</w:t>
      </w:r>
      <w:r w:rsidR="00C91EC3" w:rsidRPr="006E1463">
        <w:rPr>
          <w:rFonts w:ascii="Times New Roman" w:hAnsi="Times New Roman"/>
          <w:color w:val="000000"/>
          <w:lang w:val="en-US"/>
        </w:rPr>
        <w:t>ed</w:t>
      </w:r>
      <w:r w:rsidR="00D46C07" w:rsidRPr="006E1463">
        <w:rPr>
          <w:rFonts w:ascii="Times New Roman" w:hAnsi="Times New Roman"/>
          <w:color w:val="000000"/>
          <w:lang w:val="en-US"/>
        </w:rPr>
        <w:t xml:space="preserve"> transect.</w:t>
      </w:r>
    </w:p>
    <w:tbl>
      <w:tblPr>
        <w:tblW w:w="15593" w:type="dxa"/>
        <w:tblInd w:w="-714" w:type="dxa"/>
        <w:tblLook w:val="04A0" w:firstRow="1" w:lastRow="0" w:firstColumn="1" w:lastColumn="0" w:noHBand="0" w:noVBand="1"/>
      </w:tblPr>
      <w:tblGrid>
        <w:gridCol w:w="840"/>
        <w:gridCol w:w="918"/>
        <w:gridCol w:w="850"/>
        <w:gridCol w:w="851"/>
        <w:gridCol w:w="794"/>
        <w:gridCol w:w="889"/>
        <w:gridCol w:w="852"/>
        <w:gridCol w:w="850"/>
        <w:gridCol w:w="811"/>
        <w:gridCol w:w="853"/>
        <w:gridCol w:w="800"/>
        <w:gridCol w:w="9"/>
        <w:gridCol w:w="808"/>
        <w:gridCol w:w="790"/>
        <w:gridCol w:w="851"/>
        <w:gridCol w:w="788"/>
        <w:gridCol w:w="850"/>
        <w:gridCol w:w="802"/>
        <w:gridCol w:w="809"/>
        <w:gridCol w:w="793"/>
      </w:tblGrid>
      <w:tr w:rsidR="00403B14" w:rsidRPr="00403B14" w14:paraId="10D3EC35" w14:textId="77777777" w:rsidTr="007A4EAA">
        <w:trPr>
          <w:trHeight w:val="506"/>
        </w:trPr>
        <w:tc>
          <w:tcPr>
            <w:tcW w:w="1559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56CBC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SML (µg L</w:t>
            </w:r>
            <w:r w:rsidRPr="00C91EC3">
              <w:rPr>
                <w:rFonts w:ascii="Times New Roman" w:hAnsi="Times New Roman"/>
                <w:color w:val="000000"/>
                <w:vertAlign w:val="superscript"/>
                <w:lang w:bidi="ar-SA"/>
              </w:rPr>
              <w:t>-1</w:t>
            </w:r>
            <w:r w:rsidRPr="00C91EC3">
              <w:rPr>
                <w:rFonts w:ascii="Times New Roman" w:hAnsi="Times New Roman"/>
                <w:color w:val="000000"/>
                <w:lang w:bidi="ar-SA"/>
              </w:rPr>
              <w:t>)</w:t>
            </w:r>
          </w:p>
        </w:tc>
      </w:tr>
      <w:tr w:rsidR="00403B14" w:rsidRPr="00403B14" w14:paraId="19B23176"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2D19641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Station</w:t>
            </w:r>
          </w:p>
        </w:tc>
        <w:tc>
          <w:tcPr>
            <w:tcW w:w="918" w:type="dxa"/>
            <w:tcBorders>
              <w:top w:val="nil"/>
              <w:left w:val="single" w:sz="4" w:space="0" w:color="auto"/>
              <w:bottom w:val="nil"/>
              <w:right w:val="single" w:sz="4" w:space="0" w:color="auto"/>
            </w:tcBorders>
            <w:shd w:val="clear" w:color="auto" w:fill="auto"/>
            <w:noWrap/>
            <w:vAlign w:val="bottom"/>
            <w:hideMark/>
          </w:tcPr>
          <w:p w14:paraId="422211C9" w14:textId="77777777" w:rsidR="00403B14" w:rsidRPr="00C91EC3" w:rsidRDefault="00403B14" w:rsidP="00403B14">
            <w:pPr>
              <w:spacing w:after="0" w:line="240" w:lineRule="auto"/>
              <w:rPr>
                <w:rFonts w:ascii="Times New Roman" w:hAnsi="Times New Roman"/>
                <w:color w:val="000000"/>
                <w:lang w:bidi="ar-SA"/>
              </w:rPr>
            </w:pPr>
            <w:r w:rsidRPr="00C91EC3">
              <w:rPr>
                <w:rFonts w:ascii="Times New Roman" w:hAnsi="Times New Roman"/>
                <w:color w:val="000000"/>
                <w:lang w:bidi="ar-SA"/>
              </w:rPr>
              <w:t> </w:t>
            </w:r>
          </w:p>
        </w:tc>
        <w:tc>
          <w:tcPr>
            <w:tcW w:w="850" w:type="dxa"/>
            <w:tcBorders>
              <w:top w:val="nil"/>
              <w:left w:val="nil"/>
              <w:bottom w:val="nil"/>
              <w:right w:val="nil"/>
            </w:tcBorders>
            <w:shd w:val="clear" w:color="auto" w:fill="auto"/>
            <w:noWrap/>
            <w:vAlign w:val="bottom"/>
            <w:hideMark/>
          </w:tcPr>
          <w:p w14:paraId="30112BC7" w14:textId="77777777" w:rsidR="00403B14" w:rsidRPr="00C91EC3" w:rsidRDefault="00403B14" w:rsidP="00403B14">
            <w:pPr>
              <w:spacing w:after="0" w:line="240" w:lineRule="auto"/>
              <w:rPr>
                <w:rFonts w:ascii="Times New Roman" w:hAnsi="Times New Roman"/>
                <w:color w:val="000000"/>
                <w:lang w:bidi="ar-SA"/>
              </w:rPr>
            </w:pPr>
            <w:r w:rsidRPr="00C91EC3">
              <w:rPr>
                <w:rFonts w:ascii="Times New Roman" w:hAnsi="Times New Roman"/>
                <w:color w:val="000000"/>
                <w:lang w:bidi="ar-SA"/>
              </w:rPr>
              <w:t> </w:t>
            </w:r>
          </w:p>
        </w:tc>
        <w:tc>
          <w:tcPr>
            <w:tcW w:w="6700" w:type="dxa"/>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C9506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Membrane lipids</w:t>
            </w:r>
          </w:p>
        </w:tc>
        <w:tc>
          <w:tcPr>
            <w:tcW w:w="245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F1D5FF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Intracellular reserve lipids</w:t>
            </w:r>
          </w:p>
        </w:tc>
        <w:tc>
          <w:tcPr>
            <w:tcW w:w="382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4F798EB" w14:textId="77777777" w:rsidR="00403B14" w:rsidRPr="00C91EC3" w:rsidRDefault="00403B14" w:rsidP="00403B14">
            <w:pPr>
              <w:tabs>
                <w:tab w:val="left" w:pos="1124"/>
              </w:tabs>
              <w:spacing w:after="0" w:line="240" w:lineRule="auto"/>
              <w:ind w:hanging="117"/>
              <w:jc w:val="center"/>
              <w:rPr>
                <w:rFonts w:ascii="Times New Roman" w:hAnsi="Times New Roman"/>
                <w:color w:val="000000"/>
                <w:lang w:bidi="ar-SA"/>
              </w:rPr>
            </w:pPr>
            <w:r w:rsidRPr="00C91EC3">
              <w:rPr>
                <w:rFonts w:ascii="Times New Roman" w:hAnsi="Times New Roman"/>
                <w:color w:val="000000"/>
                <w:lang w:bidi="ar-SA"/>
              </w:rPr>
              <w:t>Degradation indices</w:t>
            </w:r>
          </w:p>
        </w:tc>
      </w:tr>
      <w:tr w:rsidR="007A4EAA" w:rsidRPr="00403B14" w14:paraId="2342488B" w14:textId="77777777" w:rsidTr="007A4EAA">
        <w:trPr>
          <w:trHeight w:val="506"/>
        </w:trPr>
        <w:tc>
          <w:tcPr>
            <w:tcW w:w="840" w:type="dxa"/>
            <w:tcBorders>
              <w:top w:val="single" w:sz="4" w:space="0" w:color="auto"/>
              <w:left w:val="single" w:sz="4" w:space="0" w:color="auto"/>
              <w:bottom w:val="nil"/>
              <w:right w:val="nil"/>
            </w:tcBorders>
            <w:shd w:val="clear" w:color="auto" w:fill="auto"/>
            <w:noWrap/>
            <w:vAlign w:val="center"/>
            <w:hideMark/>
          </w:tcPr>
          <w:p w14:paraId="6420374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 </w:t>
            </w:r>
          </w:p>
        </w:tc>
        <w:tc>
          <w:tcPr>
            <w:tcW w:w="918" w:type="dxa"/>
            <w:tcBorders>
              <w:top w:val="single" w:sz="4" w:space="0" w:color="auto"/>
              <w:left w:val="single" w:sz="4" w:space="0" w:color="auto"/>
              <w:bottom w:val="nil"/>
              <w:right w:val="nil"/>
            </w:tcBorders>
            <w:shd w:val="clear" w:color="auto" w:fill="auto"/>
            <w:vAlign w:val="center"/>
            <w:hideMark/>
          </w:tcPr>
          <w:p w14:paraId="42F5C6EF"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Total</w:t>
            </w:r>
          </w:p>
        </w:tc>
        <w:tc>
          <w:tcPr>
            <w:tcW w:w="850" w:type="dxa"/>
            <w:tcBorders>
              <w:top w:val="single" w:sz="4" w:space="0" w:color="auto"/>
              <w:left w:val="single" w:sz="4" w:space="0" w:color="auto"/>
              <w:bottom w:val="nil"/>
              <w:right w:val="single" w:sz="4" w:space="0" w:color="auto"/>
            </w:tcBorders>
            <w:shd w:val="clear" w:color="auto" w:fill="auto"/>
            <w:noWrap/>
            <w:vAlign w:val="center"/>
            <w:hideMark/>
          </w:tcPr>
          <w:p w14:paraId="69DD8960"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HC</w:t>
            </w:r>
          </w:p>
        </w:tc>
        <w:tc>
          <w:tcPr>
            <w:tcW w:w="851" w:type="dxa"/>
            <w:tcBorders>
              <w:top w:val="nil"/>
              <w:left w:val="nil"/>
              <w:bottom w:val="nil"/>
              <w:right w:val="nil"/>
            </w:tcBorders>
            <w:shd w:val="clear" w:color="auto" w:fill="auto"/>
            <w:noWrap/>
            <w:vAlign w:val="center"/>
            <w:hideMark/>
          </w:tcPr>
          <w:p w14:paraId="72EC1DC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ST</w:t>
            </w:r>
          </w:p>
        </w:tc>
        <w:tc>
          <w:tcPr>
            <w:tcW w:w="794" w:type="dxa"/>
            <w:tcBorders>
              <w:top w:val="nil"/>
              <w:left w:val="nil"/>
              <w:bottom w:val="nil"/>
              <w:right w:val="nil"/>
            </w:tcBorders>
            <w:shd w:val="clear" w:color="auto" w:fill="auto"/>
            <w:noWrap/>
            <w:vAlign w:val="center"/>
            <w:hideMark/>
          </w:tcPr>
          <w:p w14:paraId="67408AA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PIG</w:t>
            </w:r>
          </w:p>
        </w:tc>
        <w:tc>
          <w:tcPr>
            <w:tcW w:w="889" w:type="dxa"/>
            <w:tcBorders>
              <w:top w:val="nil"/>
              <w:left w:val="nil"/>
              <w:bottom w:val="nil"/>
              <w:right w:val="nil"/>
            </w:tcBorders>
            <w:shd w:val="clear" w:color="auto" w:fill="auto"/>
            <w:noWrap/>
            <w:vAlign w:val="center"/>
            <w:hideMark/>
          </w:tcPr>
          <w:p w14:paraId="32141DA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MGDG</w:t>
            </w:r>
          </w:p>
        </w:tc>
        <w:tc>
          <w:tcPr>
            <w:tcW w:w="852" w:type="dxa"/>
            <w:tcBorders>
              <w:top w:val="nil"/>
              <w:left w:val="nil"/>
              <w:bottom w:val="nil"/>
              <w:right w:val="nil"/>
            </w:tcBorders>
            <w:shd w:val="clear" w:color="auto" w:fill="auto"/>
            <w:noWrap/>
            <w:vAlign w:val="center"/>
            <w:hideMark/>
          </w:tcPr>
          <w:p w14:paraId="48C1981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DGDG</w:t>
            </w:r>
          </w:p>
        </w:tc>
        <w:tc>
          <w:tcPr>
            <w:tcW w:w="850" w:type="dxa"/>
            <w:tcBorders>
              <w:top w:val="nil"/>
              <w:left w:val="nil"/>
              <w:bottom w:val="nil"/>
              <w:right w:val="nil"/>
            </w:tcBorders>
            <w:shd w:val="clear" w:color="auto" w:fill="auto"/>
            <w:noWrap/>
            <w:vAlign w:val="center"/>
            <w:hideMark/>
          </w:tcPr>
          <w:p w14:paraId="45F43B5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SQDG</w:t>
            </w:r>
          </w:p>
        </w:tc>
        <w:tc>
          <w:tcPr>
            <w:tcW w:w="811" w:type="dxa"/>
            <w:tcBorders>
              <w:top w:val="nil"/>
              <w:left w:val="nil"/>
              <w:bottom w:val="nil"/>
              <w:right w:val="nil"/>
            </w:tcBorders>
            <w:shd w:val="clear" w:color="auto" w:fill="auto"/>
            <w:noWrap/>
            <w:vAlign w:val="center"/>
            <w:hideMark/>
          </w:tcPr>
          <w:p w14:paraId="4596418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PG</w:t>
            </w:r>
          </w:p>
        </w:tc>
        <w:tc>
          <w:tcPr>
            <w:tcW w:w="853" w:type="dxa"/>
            <w:tcBorders>
              <w:top w:val="nil"/>
              <w:left w:val="nil"/>
              <w:bottom w:val="nil"/>
              <w:right w:val="nil"/>
            </w:tcBorders>
            <w:shd w:val="clear" w:color="auto" w:fill="auto"/>
            <w:noWrap/>
            <w:vAlign w:val="center"/>
            <w:hideMark/>
          </w:tcPr>
          <w:p w14:paraId="305D346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PE</w:t>
            </w:r>
          </w:p>
        </w:tc>
        <w:tc>
          <w:tcPr>
            <w:tcW w:w="809" w:type="dxa"/>
            <w:gridSpan w:val="2"/>
            <w:tcBorders>
              <w:top w:val="nil"/>
              <w:left w:val="nil"/>
              <w:bottom w:val="nil"/>
              <w:right w:val="single" w:sz="4" w:space="0" w:color="auto"/>
            </w:tcBorders>
            <w:shd w:val="clear" w:color="auto" w:fill="auto"/>
            <w:noWrap/>
            <w:vAlign w:val="center"/>
            <w:hideMark/>
          </w:tcPr>
          <w:p w14:paraId="02B05B7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PC</w:t>
            </w:r>
          </w:p>
        </w:tc>
        <w:tc>
          <w:tcPr>
            <w:tcW w:w="808" w:type="dxa"/>
            <w:tcBorders>
              <w:top w:val="nil"/>
              <w:left w:val="nil"/>
              <w:bottom w:val="nil"/>
              <w:right w:val="nil"/>
            </w:tcBorders>
            <w:shd w:val="clear" w:color="auto" w:fill="auto"/>
            <w:noWrap/>
            <w:vAlign w:val="center"/>
            <w:hideMark/>
          </w:tcPr>
          <w:p w14:paraId="42B29ED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WE</w:t>
            </w:r>
          </w:p>
        </w:tc>
        <w:tc>
          <w:tcPr>
            <w:tcW w:w="790" w:type="dxa"/>
            <w:tcBorders>
              <w:top w:val="nil"/>
              <w:left w:val="nil"/>
              <w:bottom w:val="nil"/>
              <w:right w:val="nil"/>
            </w:tcBorders>
            <w:shd w:val="clear" w:color="auto" w:fill="auto"/>
            <w:noWrap/>
            <w:vAlign w:val="center"/>
            <w:hideMark/>
          </w:tcPr>
          <w:p w14:paraId="5985063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ME</w:t>
            </w:r>
          </w:p>
        </w:tc>
        <w:tc>
          <w:tcPr>
            <w:tcW w:w="851" w:type="dxa"/>
            <w:tcBorders>
              <w:top w:val="nil"/>
              <w:left w:val="nil"/>
              <w:bottom w:val="nil"/>
              <w:right w:val="single" w:sz="4" w:space="0" w:color="auto"/>
            </w:tcBorders>
            <w:shd w:val="clear" w:color="auto" w:fill="auto"/>
            <w:noWrap/>
            <w:vAlign w:val="center"/>
            <w:hideMark/>
          </w:tcPr>
          <w:p w14:paraId="5F4D11F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TG</w:t>
            </w:r>
          </w:p>
        </w:tc>
        <w:tc>
          <w:tcPr>
            <w:tcW w:w="788" w:type="dxa"/>
            <w:tcBorders>
              <w:top w:val="nil"/>
              <w:left w:val="nil"/>
              <w:bottom w:val="nil"/>
              <w:right w:val="nil"/>
            </w:tcBorders>
            <w:shd w:val="clear" w:color="auto" w:fill="auto"/>
            <w:noWrap/>
            <w:vAlign w:val="center"/>
            <w:hideMark/>
          </w:tcPr>
          <w:p w14:paraId="2AB85A8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FFA</w:t>
            </w:r>
          </w:p>
        </w:tc>
        <w:tc>
          <w:tcPr>
            <w:tcW w:w="850" w:type="dxa"/>
            <w:tcBorders>
              <w:top w:val="nil"/>
              <w:left w:val="nil"/>
              <w:bottom w:val="nil"/>
              <w:right w:val="nil"/>
            </w:tcBorders>
            <w:shd w:val="clear" w:color="auto" w:fill="auto"/>
            <w:noWrap/>
            <w:vAlign w:val="center"/>
            <w:hideMark/>
          </w:tcPr>
          <w:p w14:paraId="7D7690C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ALC</w:t>
            </w:r>
          </w:p>
        </w:tc>
        <w:tc>
          <w:tcPr>
            <w:tcW w:w="802" w:type="dxa"/>
            <w:tcBorders>
              <w:top w:val="nil"/>
              <w:left w:val="nil"/>
              <w:bottom w:val="nil"/>
              <w:right w:val="nil"/>
            </w:tcBorders>
            <w:shd w:val="clear" w:color="auto" w:fill="auto"/>
            <w:noWrap/>
            <w:vAlign w:val="center"/>
            <w:hideMark/>
          </w:tcPr>
          <w:p w14:paraId="489E613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 DG</w:t>
            </w:r>
          </w:p>
        </w:tc>
        <w:tc>
          <w:tcPr>
            <w:tcW w:w="809" w:type="dxa"/>
            <w:tcBorders>
              <w:top w:val="nil"/>
              <w:left w:val="nil"/>
              <w:bottom w:val="nil"/>
              <w:right w:val="nil"/>
            </w:tcBorders>
            <w:shd w:val="clear" w:color="auto" w:fill="auto"/>
            <w:noWrap/>
            <w:vAlign w:val="center"/>
            <w:hideMark/>
          </w:tcPr>
          <w:p w14:paraId="7F054DB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1,2DG</w:t>
            </w:r>
          </w:p>
        </w:tc>
        <w:tc>
          <w:tcPr>
            <w:tcW w:w="578" w:type="dxa"/>
            <w:tcBorders>
              <w:top w:val="nil"/>
              <w:left w:val="nil"/>
              <w:bottom w:val="nil"/>
              <w:right w:val="single" w:sz="4" w:space="0" w:color="auto"/>
            </w:tcBorders>
            <w:shd w:val="clear" w:color="auto" w:fill="auto"/>
            <w:noWrap/>
            <w:vAlign w:val="center"/>
            <w:hideMark/>
          </w:tcPr>
          <w:p w14:paraId="0983E05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MG</w:t>
            </w:r>
          </w:p>
        </w:tc>
      </w:tr>
      <w:tr w:rsidR="007A4EAA" w:rsidRPr="00403B14" w14:paraId="1BFC7794" w14:textId="77777777" w:rsidTr="007A4EAA">
        <w:trPr>
          <w:trHeight w:val="506"/>
        </w:trPr>
        <w:tc>
          <w:tcPr>
            <w:tcW w:w="840" w:type="dxa"/>
            <w:tcBorders>
              <w:top w:val="single" w:sz="4" w:space="0" w:color="auto"/>
              <w:left w:val="single" w:sz="4" w:space="0" w:color="auto"/>
              <w:bottom w:val="nil"/>
              <w:right w:val="nil"/>
            </w:tcBorders>
            <w:shd w:val="clear" w:color="auto" w:fill="auto"/>
            <w:noWrap/>
            <w:vAlign w:val="center"/>
            <w:hideMark/>
          </w:tcPr>
          <w:p w14:paraId="40E5B54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W1</w:t>
            </w:r>
          </w:p>
        </w:tc>
        <w:tc>
          <w:tcPr>
            <w:tcW w:w="918" w:type="dxa"/>
            <w:tcBorders>
              <w:top w:val="single" w:sz="4" w:space="0" w:color="auto"/>
              <w:left w:val="single" w:sz="4" w:space="0" w:color="auto"/>
              <w:bottom w:val="nil"/>
              <w:right w:val="single" w:sz="4" w:space="0" w:color="auto"/>
            </w:tcBorders>
            <w:shd w:val="clear" w:color="auto" w:fill="auto"/>
            <w:noWrap/>
            <w:vAlign w:val="center"/>
            <w:hideMark/>
          </w:tcPr>
          <w:p w14:paraId="4768CBF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37.30 ± 1.79</w:t>
            </w:r>
          </w:p>
        </w:tc>
        <w:tc>
          <w:tcPr>
            <w:tcW w:w="850" w:type="dxa"/>
            <w:tcBorders>
              <w:top w:val="single" w:sz="4" w:space="0" w:color="auto"/>
              <w:left w:val="nil"/>
              <w:bottom w:val="nil"/>
              <w:right w:val="single" w:sz="4" w:space="0" w:color="auto"/>
            </w:tcBorders>
            <w:shd w:val="clear" w:color="auto" w:fill="auto"/>
            <w:noWrap/>
            <w:vAlign w:val="center"/>
            <w:hideMark/>
          </w:tcPr>
          <w:p w14:paraId="1A64EA9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4.07 ± 0.35</w:t>
            </w:r>
          </w:p>
        </w:tc>
        <w:tc>
          <w:tcPr>
            <w:tcW w:w="851" w:type="dxa"/>
            <w:tcBorders>
              <w:top w:val="single" w:sz="4" w:space="0" w:color="auto"/>
              <w:left w:val="nil"/>
              <w:bottom w:val="nil"/>
              <w:right w:val="nil"/>
            </w:tcBorders>
            <w:shd w:val="clear" w:color="auto" w:fill="auto"/>
            <w:noWrap/>
            <w:vAlign w:val="center"/>
            <w:hideMark/>
          </w:tcPr>
          <w:p w14:paraId="2C8971D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1.75 ± 0.02</w:t>
            </w:r>
          </w:p>
        </w:tc>
        <w:tc>
          <w:tcPr>
            <w:tcW w:w="794" w:type="dxa"/>
            <w:tcBorders>
              <w:top w:val="single" w:sz="4" w:space="0" w:color="auto"/>
              <w:left w:val="nil"/>
              <w:bottom w:val="nil"/>
              <w:right w:val="nil"/>
            </w:tcBorders>
            <w:shd w:val="clear" w:color="auto" w:fill="auto"/>
            <w:noWrap/>
            <w:vAlign w:val="center"/>
            <w:hideMark/>
          </w:tcPr>
          <w:p w14:paraId="2FE1E32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0.73 ± 0.04</w:t>
            </w:r>
          </w:p>
        </w:tc>
        <w:tc>
          <w:tcPr>
            <w:tcW w:w="889" w:type="dxa"/>
            <w:tcBorders>
              <w:top w:val="single" w:sz="4" w:space="0" w:color="auto"/>
              <w:left w:val="nil"/>
              <w:bottom w:val="nil"/>
              <w:right w:val="nil"/>
            </w:tcBorders>
            <w:shd w:val="clear" w:color="auto" w:fill="auto"/>
            <w:noWrap/>
            <w:vAlign w:val="center"/>
            <w:hideMark/>
          </w:tcPr>
          <w:p w14:paraId="07D548E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1.14 ± 0.02</w:t>
            </w:r>
          </w:p>
        </w:tc>
        <w:tc>
          <w:tcPr>
            <w:tcW w:w="852" w:type="dxa"/>
            <w:tcBorders>
              <w:top w:val="single" w:sz="4" w:space="0" w:color="auto"/>
              <w:left w:val="nil"/>
              <w:bottom w:val="nil"/>
              <w:right w:val="nil"/>
            </w:tcBorders>
            <w:shd w:val="clear" w:color="auto" w:fill="auto"/>
            <w:noWrap/>
            <w:vAlign w:val="center"/>
            <w:hideMark/>
          </w:tcPr>
          <w:p w14:paraId="1C59D28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1.20 ± 0.04</w:t>
            </w:r>
          </w:p>
        </w:tc>
        <w:tc>
          <w:tcPr>
            <w:tcW w:w="850" w:type="dxa"/>
            <w:tcBorders>
              <w:top w:val="single" w:sz="4" w:space="0" w:color="auto"/>
              <w:left w:val="nil"/>
              <w:bottom w:val="nil"/>
              <w:right w:val="nil"/>
            </w:tcBorders>
            <w:shd w:val="clear" w:color="auto" w:fill="auto"/>
            <w:noWrap/>
            <w:vAlign w:val="center"/>
            <w:hideMark/>
          </w:tcPr>
          <w:p w14:paraId="3CEE695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4.50 ± 0.23</w:t>
            </w:r>
          </w:p>
        </w:tc>
        <w:tc>
          <w:tcPr>
            <w:tcW w:w="811" w:type="dxa"/>
            <w:tcBorders>
              <w:top w:val="single" w:sz="4" w:space="0" w:color="auto"/>
              <w:left w:val="nil"/>
              <w:bottom w:val="nil"/>
              <w:right w:val="nil"/>
            </w:tcBorders>
            <w:shd w:val="clear" w:color="auto" w:fill="auto"/>
            <w:noWrap/>
            <w:vAlign w:val="center"/>
            <w:hideMark/>
          </w:tcPr>
          <w:p w14:paraId="214D43A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5.09 ± 0.60</w:t>
            </w:r>
          </w:p>
        </w:tc>
        <w:tc>
          <w:tcPr>
            <w:tcW w:w="853" w:type="dxa"/>
            <w:tcBorders>
              <w:top w:val="single" w:sz="4" w:space="0" w:color="auto"/>
              <w:left w:val="nil"/>
              <w:bottom w:val="nil"/>
              <w:right w:val="nil"/>
            </w:tcBorders>
            <w:shd w:val="clear" w:color="auto" w:fill="auto"/>
            <w:noWrap/>
            <w:vAlign w:val="center"/>
            <w:hideMark/>
          </w:tcPr>
          <w:p w14:paraId="2C29CF0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3.76 ± 0.46</w:t>
            </w:r>
          </w:p>
        </w:tc>
        <w:tc>
          <w:tcPr>
            <w:tcW w:w="809" w:type="dxa"/>
            <w:gridSpan w:val="2"/>
            <w:tcBorders>
              <w:top w:val="single" w:sz="4" w:space="0" w:color="auto"/>
              <w:left w:val="nil"/>
              <w:bottom w:val="nil"/>
              <w:right w:val="single" w:sz="4" w:space="0" w:color="auto"/>
            </w:tcBorders>
            <w:shd w:val="clear" w:color="auto" w:fill="auto"/>
            <w:noWrap/>
            <w:vAlign w:val="center"/>
            <w:hideMark/>
          </w:tcPr>
          <w:p w14:paraId="5AF7826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0.83 ± 0.12</w:t>
            </w:r>
          </w:p>
        </w:tc>
        <w:tc>
          <w:tcPr>
            <w:tcW w:w="808" w:type="dxa"/>
            <w:tcBorders>
              <w:top w:val="single" w:sz="4" w:space="0" w:color="auto"/>
              <w:left w:val="nil"/>
              <w:bottom w:val="nil"/>
              <w:right w:val="nil"/>
            </w:tcBorders>
            <w:shd w:val="clear" w:color="auto" w:fill="auto"/>
            <w:noWrap/>
            <w:vAlign w:val="center"/>
            <w:hideMark/>
          </w:tcPr>
          <w:p w14:paraId="64527AD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2.13 ± 0.29</w:t>
            </w:r>
          </w:p>
        </w:tc>
        <w:tc>
          <w:tcPr>
            <w:tcW w:w="790" w:type="dxa"/>
            <w:tcBorders>
              <w:top w:val="single" w:sz="4" w:space="0" w:color="auto"/>
              <w:left w:val="nil"/>
              <w:bottom w:val="nil"/>
              <w:right w:val="nil"/>
            </w:tcBorders>
            <w:shd w:val="clear" w:color="auto" w:fill="auto"/>
            <w:noWrap/>
            <w:vAlign w:val="center"/>
            <w:hideMark/>
          </w:tcPr>
          <w:p w14:paraId="4B405B2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0.29 ± 0.09</w:t>
            </w:r>
          </w:p>
        </w:tc>
        <w:tc>
          <w:tcPr>
            <w:tcW w:w="851" w:type="dxa"/>
            <w:tcBorders>
              <w:top w:val="single" w:sz="4" w:space="0" w:color="auto"/>
              <w:left w:val="nil"/>
              <w:bottom w:val="nil"/>
              <w:right w:val="single" w:sz="4" w:space="0" w:color="auto"/>
            </w:tcBorders>
            <w:shd w:val="clear" w:color="auto" w:fill="auto"/>
            <w:noWrap/>
            <w:vAlign w:val="center"/>
            <w:hideMark/>
          </w:tcPr>
          <w:p w14:paraId="7EF501F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3.16 ± 0.02</w:t>
            </w:r>
          </w:p>
        </w:tc>
        <w:tc>
          <w:tcPr>
            <w:tcW w:w="788" w:type="dxa"/>
            <w:tcBorders>
              <w:top w:val="single" w:sz="4" w:space="0" w:color="auto"/>
              <w:left w:val="nil"/>
              <w:bottom w:val="nil"/>
              <w:right w:val="nil"/>
            </w:tcBorders>
            <w:shd w:val="clear" w:color="auto" w:fill="auto"/>
            <w:noWrap/>
            <w:vAlign w:val="center"/>
            <w:hideMark/>
          </w:tcPr>
          <w:p w14:paraId="1858452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5.76 ± 0.56</w:t>
            </w:r>
          </w:p>
        </w:tc>
        <w:tc>
          <w:tcPr>
            <w:tcW w:w="850" w:type="dxa"/>
            <w:tcBorders>
              <w:top w:val="single" w:sz="4" w:space="0" w:color="auto"/>
              <w:left w:val="nil"/>
              <w:bottom w:val="nil"/>
              <w:right w:val="nil"/>
            </w:tcBorders>
            <w:shd w:val="clear" w:color="auto" w:fill="auto"/>
            <w:noWrap/>
            <w:vAlign w:val="center"/>
            <w:hideMark/>
          </w:tcPr>
          <w:p w14:paraId="0D62CC4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0.59 ± 0.07</w:t>
            </w:r>
          </w:p>
        </w:tc>
        <w:tc>
          <w:tcPr>
            <w:tcW w:w="802" w:type="dxa"/>
            <w:tcBorders>
              <w:top w:val="single" w:sz="4" w:space="0" w:color="auto"/>
              <w:left w:val="nil"/>
              <w:bottom w:val="nil"/>
              <w:right w:val="nil"/>
            </w:tcBorders>
            <w:shd w:val="clear" w:color="auto" w:fill="auto"/>
            <w:noWrap/>
            <w:vAlign w:val="center"/>
            <w:hideMark/>
          </w:tcPr>
          <w:p w14:paraId="2242AB9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0.91 ± 0.01</w:t>
            </w:r>
          </w:p>
        </w:tc>
        <w:tc>
          <w:tcPr>
            <w:tcW w:w="809" w:type="dxa"/>
            <w:tcBorders>
              <w:top w:val="single" w:sz="4" w:space="0" w:color="auto"/>
              <w:left w:val="nil"/>
              <w:bottom w:val="nil"/>
              <w:right w:val="nil"/>
            </w:tcBorders>
            <w:shd w:val="clear" w:color="auto" w:fill="auto"/>
            <w:noWrap/>
            <w:vAlign w:val="center"/>
            <w:hideMark/>
          </w:tcPr>
          <w:p w14:paraId="72BD686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1.38 ± 0.27</w:t>
            </w:r>
          </w:p>
        </w:tc>
        <w:tc>
          <w:tcPr>
            <w:tcW w:w="578" w:type="dxa"/>
            <w:tcBorders>
              <w:top w:val="single" w:sz="4" w:space="0" w:color="auto"/>
              <w:left w:val="nil"/>
              <w:bottom w:val="nil"/>
              <w:right w:val="single" w:sz="4" w:space="0" w:color="auto"/>
            </w:tcBorders>
            <w:shd w:val="clear" w:color="auto" w:fill="auto"/>
            <w:noWrap/>
            <w:vAlign w:val="center"/>
            <w:hideMark/>
          </w:tcPr>
          <w:p w14:paraId="675AA86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0.02 ± 0.00</w:t>
            </w:r>
          </w:p>
        </w:tc>
      </w:tr>
      <w:tr w:rsidR="007A4EAA" w:rsidRPr="00403B14" w14:paraId="2DBEF1C6"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3F8426A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W2</w:t>
            </w:r>
          </w:p>
        </w:tc>
        <w:tc>
          <w:tcPr>
            <w:tcW w:w="918" w:type="dxa"/>
            <w:tcBorders>
              <w:top w:val="nil"/>
              <w:left w:val="single" w:sz="4" w:space="0" w:color="auto"/>
              <w:bottom w:val="nil"/>
              <w:right w:val="single" w:sz="4" w:space="0" w:color="auto"/>
            </w:tcBorders>
            <w:shd w:val="clear" w:color="auto" w:fill="auto"/>
            <w:noWrap/>
            <w:vAlign w:val="center"/>
            <w:hideMark/>
          </w:tcPr>
          <w:p w14:paraId="4BCBD6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35.80 ± 1.82</w:t>
            </w:r>
          </w:p>
        </w:tc>
        <w:tc>
          <w:tcPr>
            <w:tcW w:w="850" w:type="dxa"/>
            <w:tcBorders>
              <w:top w:val="nil"/>
              <w:left w:val="nil"/>
              <w:bottom w:val="nil"/>
              <w:right w:val="single" w:sz="4" w:space="0" w:color="auto"/>
            </w:tcBorders>
            <w:shd w:val="clear" w:color="auto" w:fill="auto"/>
            <w:noWrap/>
            <w:vAlign w:val="center"/>
            <w:hideMark/>
          </w:tcPr>
          <w:p w14:paraId="65E5FE5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2.85 ± 0.09</w:t>
            </w:r>
          </w:p>
        </w:tc>
        <w:tc>
          <w:tcPr>
            <w:tcW w:w="851" w:type="dxa"/>
            <w:tcBorders>
              <w:top w:val="nil"/>
              <w:left w:val="nil"/>
              <w:bottom w:val="nil"/>
              <w:right w:val="nil"/>
            </w:tcBorders>
            <w:shd w:val="clear" w:color="auto" w:fill="auto"/>
            <w:noWrap/>
            <w:vAlign w:val="center"/>
            <w:hideMark/>
          </w:tcPr>
          <w:p w14:paraId="435BC4F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1.63 ± 0.14</w:t>
            </w:r>
          </w:p>
        </w:tc>
        <w:tc>
          <w:tcPr>
            <w:tcW w:w="794" w:type="dxa"/>
            <w:tcBorders>
              <w:top w:val="nil"/>
              <w:left w:val="nil"/>
              <w:bottom w:val="nil"/>
              <w:right w:val="nil"/>
            </w:tcBorders>
            <w:shd w:val="clear" w:color="auto" w:fill="auto"/>
            <w:noWrap/>
            <w:vAlign w:val="center"/>
            <w:hideMark/>
          </w:tcPr>
          <w:p w14:paraId="32A13F9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0.73 ± 0.06</w:t>
            </w:r>
          </w:p>
        </w:tc>
        <w:tc>
          <w:tcPr>
            <w:tcW w:w="889" w:type="dxa"/>
            <w:tcBorders>
              <w:top w:val="nil"/>
              <w:left w:val="nil"/>
              <w:bottom w:val="nil"/>
              <w:right w:val="nil"/>
            </w:tcBorders>
            <w:shd w:val="clear" w:color="auto" w:fill="auto"/>
            <w:noWrap/>
            <w:vAlign w:val="center"/>
            <w:hideMark/>
          </w:tcPr>
          <w:p w14:paraId="6F11F66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3.89 ± 0.45</w:t>
            </w:r>
          </w:p>
        </w:tc>
        <w:tc>
          <w:tcPr>
            <w:tcW w:w="852" w:type="dxa"/>
            <w:tcBorders>
              <w:top w:val="nil"/>
              <w:left w:val="nil"/>
              <w:bottom w:val="nil"/>
              <w:right w:val="nil"/>
            </w:tcBorders>
            <w:shd w:val="clear" w:color="auto" w:fill="auto"/>
            <w:noWrap/>
            <w:vAlign w:val="center"/>
            <w:hideMark/>
          </w:tcPr>
          <w:p w14:paraId="1F267FC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1.26 ± 0.07</w:t>
            </w:r>
          </w:p>
        </w:tc>
        <w:tc>
          <w:tcPr>
            <w:tcW w:w="850" w:type="dxa"/>
            <w:tcBorders>
              <w:top w:val="nil"/>
              <w:left w:val="nil"/>
              <w:bottom w:val="nil"/>
              <w:right w:val="nil"/>
            </w:tcBorders>
            <w:shd w:val="clear" w:color="auto" w:fill="auto"/>
            <w:noWrap/>
            <w:vAlign w:val="center"/>
            <w:hideMark/>
          </w:tcPr>
          <w:p w14:paraId="230084C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5.12 ± 0.61</w:t>
            </w:r>
          </w:p>
        </w:tc>
        <w:tc>
          <w:tcPr>
            <w:tcW w:w="811" w:type="dxa"/>
            <w:tcBorders>
              <w:top w:val="nil"/>
              <w:left w:val="nil"/>
              <w:bottom w:val="nil"/>
              <w:right w:val="nil"/>
            </w:tcBorders>
            <w:shd w:val="clear" w:color="auto" w:fill="auto"/>
            <w:noWrap/>
            <w:vAlign w:val="center"/>
            <w:hideMark/>
          </w:tcPr>
          <w:p w14:paraId="65F39D5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4.05 ± 0.21</w:t>
            </w:r>
          </w:p>
        </w:tc>
        <w:tc>
          <w:tcPr>
            <w:tcW w:w="853" w:type="dxa"/>
            <w:tcBorders>
              <w:top w:val="nil"/>
              <w:left w:val="nil"/>
              <w:bottom w:val="nil"/>
              <w:right w:val="nil"/>
            </w:tcBorders>
            <w:shd w:val="clear" w:color="auto" w:fill="auto"/>
            <w:noWrap/>
            <w:vAlign w:val="center"/>
            <w:hideMark/>
          </w:tcPr>
          <w:p w14:paraId="4DE6F50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2.62 ± 0.04</w:t>
            </w:r>
          </w:p>
        </w:tc>
        <w:tc>
          <w:tcPr>
            <w:tcW w:w="809" w:type="dxa"/>
            <w:gridSpan w:val="2"/>
            <w:tcBorders>
              <w:top w:val="nil"/>
              <w:left w:val="nil"/>
              <w:bottom w:val="nil"/>
              <w:right w:val="single" w:sz="4" w:space="0" w:color="auto"/>
            </w:tcBorders>
            <w:shd w:val="clear" w:color="auto" w:fill="auto"/>
            <w:noWrap/>
            <w:vAlign w:val="center"/>
            <w:hideMark/>
          </w:tcPr>
          <w:p w14:paraId="30530E1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0.81 ± 0.02</w:t>
            </w:r>
          </w:p>
        </w:tc>
        <w:tc>
          <w:tcPr>
            <w:tcW w:w="808" w:type="dxa"/>
            <w:tcBorders>
              <w:top w:val="nil"/>
              <w:left w:val="nil"/>
              <w:bottom w:val="nil"/>
              <w:right w:val="nil"/>
            </w:tcBorders>
            <w:shd w:val="clear" w:color="auto" w:fill="auto"/>
            <w:noWrap/>
            <w:vAlign w:val="center"/>
            <w:hideMark/>
          </w:tcPr>
          <w:p w14:paraId="7D51896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1.25 ± 0.13</w:t>
            </w:r>
          </w:p>
        </w:tc>
        <w:tc>
          <w:tcPr>
            <w:tcW w:w="790" w:type="dxa"/>
            <w:tcBorders>
              <w:top w:val="nil"/>
              <w:left w:val="nil"/>
              <w:bottom w:val="nil"/>
              <w:right w:val="nil"/>
            </w:tcBorders>
            <w:shd w:val="clear" w:color="auto" w:fill="auto"/>
            <w:noWrap/>
            <w:vAlign w:val="center"/>
            <w:hideMark/>
          </w:tcPr>
          <w:p w14:paraId="3C116C4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0.12 ± 0.05</w:t>
            </w:r>
          </w:p>
        </w:tc>
        <w:tc>
          <w:tcPr>
            <w:tcW w:w="851" w:type="dxa"/>
            <w:tcBorders>
              <w:top w:val="nil"/>
              <w:left w:val="nil"/>
              <w:bottom w:val="nil"/>
              <w:right w:val="single" w:sz="4" w:space="0" w:color="auto"/>
            </w:tcBorders>
            <w:shd w:val="clear" w:color="auto" w:fill="auto"/>
            <w:noWrap/>
            <w:vAlign w:val="center"/>
            <w:hideMark/>
          </w:tcPr>
          <w:p w14:paraId="0374498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3.39 ± 0.60</w:t>
            </w:r>
          </w:p>
        </w:tc>
        <w:tc>
          <w:tcPr>
            <w:tcW w:w="788" w:type="dxa"/>
            <w:tcBorders>
              <w:top w:val="nil"/>
              <w:left w:val="nil"/>
              <w:bottom w:val="nil"/>
              <w:right w:val="nil"/>
            </w:tcBorders>
            <w:shd w:val="clear" w:color="auto" w:fill="auto"/>
            <w:noWrap/>
            <w:vAlign w:val="center"/>
            <w:hideMark/>
          </w:tcPr>
          <w:p w14:paraId="1F3455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5.82 ± 0.56</w:t>
            </w:r>
          </w:p>
        </w:tc>
        <w:tc>
          <w:tcPr>
            <w:tcW w:w="850" w:type="dxa"/>
            <w:tcBorders>
              <w:top w:val="nil"/>
              <w:left w:val="nil"/>
              <w:bottom w:val="nil"/>
              <w:right w:val="nil"/>
            </w:tcBorders>
            <w:shd w:val="clear" w:color="auto" w:fill="auto"/>
            <w:noWrap/>
            <w:vAlign w:val="center"/>
            <w:hideMark/>
          </w:tcPr>
          <w:p w14:paraId="35B6152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0.51 ± 0.05</w:t>
            </w:r>
          </w:p>
        </w:tc>
        <w:tc>
          <w:tcPr>
            <w:tcW w:w="802" w:type="dxa"/>
            <w:tcBorders>
              <w:top w:val="nil"/>
              <w:left w:val="nil"/>
              <w:bottom w:val="nil"/>
              <w:right w:val="nil"/>
            </w:tcBorders>
            <w:shd w:val="clear" w:color="auto" w:fill="auto"/>
            <w:noWrap/>
            <w:vAlign w:val="center"/>
            <w:hideMark/>
          </w:tcPr>
          <w:p w14:paraId="2555F11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0.45 ± 0.16</w:t>
            </w:r>
          </w:p>
        </w:tc>
        <w:tc>
          <w:tcPr>
            <w:tcW w:w="809" w:type="dxa"/>
            <w:tcBorders>
              <w:top w:val="nil"/>
              <w:left w:val="nil"/>
              <w:bottom w:val="nil"/>
              <w:right w:val="nil"/>
            </w:tcBorders>
            <w:shd w:val="clear" w:color="auto" w:fill="auto"/>
            <w:noWrap/>
            <w:vAlign w:val="center"/>
            <w:hideMark/>
          </w:tcPr>
          <w:p w14:paraId="6D0E4E6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1.29 ± 0.08</w:t>
            </w:r>
          </w:p>
        </w:tc>
        <w:tc>
          <w:tcPr>
            <w:tcW w:w="578" w:type="dxa"/>
            <w:tcBorders>
              <w:top w:val="nil"/>
              <w:left w:val="nil"/>
              <w:bottom w:val="nil"/>
              <w:right w:val="single" w:sz="4" w:space="0" w:color="auto"/>
            </w:tcBorders>
            <w:shd w:val="clear" w:color="auto" w:fill="auto"/>
            <w:noWrap/>
            <w:vAlign w:val="center"/>
            <w:hideMark/>
          </w:tcPr>
          <w:p w14:paraId="58E3945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0.02 ± 0.00</w:t>
            </w:r>
          </w:p>
        </w:tc>
      </w:tr>
      <w:tr w:rsidR="007A4EAA" w:rsidRPr="00403B14" w14:paraId="52DE904D"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114E11C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W3</w:t>
            </w:r>
          </w:p>
        </w:tc>
        <w:tc>
          <w:tcPr>
            <w:tcW w:w="918" w:type="dxa"/>
            <w:tcBorders>
              <w:top w:val="nil"/>
              <w:left w:val="single" w:sz="4" w:space="0" w:color="auto"/>
              <w:bottom w:val="nil"/>
              <w:right w:val="single" w:sz="4" w:space="0" w:color="auto"/>
            </w:tcBorders>
            <w:shd w:val="clear" w:color="auto" w:fill="auto"/>
            <w:noWrap/>
            <w:vAlign w:val="center"/>
            <w:hideMark/>
          </w:tcPr>
          <w:p w14:paraId="7B0D82E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28.16 ± 1.48</w:t>
            </w:r>
          </w:p>
        </w:tc>
        <w:tc>
          <w:tcPr>
            <w:tcW w:w="850" w:type="dxa"/>
            <w:tcBorders>
              <w:top w:val="nil"/>
              <w:left w:val="nil"/>
              <w:bottom w:val="nil"/>
              <w:right w:val="single" w:sz="4" w:space="0" w:color="auto"/>
            </w:tcBorders>
            <w:shd w:val="clear" w:color="auto" w:fill="auto"/>
            <w:noWrap/>
            <w:vAlign w:val="center"/>
            <w:hideMark/>
          </w:tcPr>
          <w:p w14:paraId="506459F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1.87 ± 0.11</w:t>
            </w:r>
          </w:p>
        </w:tc>
        <w:tc>
          <w:tcPr>
            <w:tcW w:w="851" w:type="dxa"/>
            <w:tcBorders>
              <w:top w:val="nil"/>
              <w:left w:val="nil"/>
              <w:bottom w:val="nil"/>
              <w:right w:val="nil"/>
            </w:tcBorders>
            <w:shd w:val="clear" w:color="auto" w:fill="auto"/>
            <w:noWrap/>
            <w:vAlign w:val="center"/>
            <w:hideMark/>
          </w:tcPr>
          <w:p w14:paraId="34DC6ED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1.35 ± 0.03</w:t>
            </w:r>
          </w:p>
        </w:tc>
        <w:tc>
          <w:tcPr>
            <w:tcW w:w="794" w:type="dxa"/>
            <w:tcBorders>
              <w:top w:val="nil"/>
              <w:left w:val="nil"/>
              <w:bottom w:val="nil"/>
              <w:right w:val="nil"/>
            </w:tcBorders>
            <w:shd w:val="clear" w:color="auto" w:fill="auto"/>
            <w:noWrap/>
            <w:vAlign w:val="center"/>
            <w:hideMark/>
          </w:tcPr>
          <w:p w14:paraId="0793F4B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0.78 ± 0.10</w:t>
            </w:r>
          </w:p>
        </w:tc>
        <w:tc>
          <w:tcPr>
            <w:tcW w:w="889" w:type="dxa"/>
            <w:tcBorders>
              <w:top w:val="nil"/>
              <w:left w:val="nil"/>
              <w:bottom w:val="nil"/>
              <w:right w:val="nil"/>
            </w:tcBorders>
            <w:shd w:val="clear" w:color="auto" w:fill="auto"/>
            <w:noWrap/>
            <w:vAlign w:val="center"/>
            <w:hideMark/>
          </w:tcPr>
          <w:p w14:paraId="52209B9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2.81 ± 0.03</w:t>
            </w:r>
          </w:p>
        </w:tc>
        <w:tc>
          <w:tcPr>
            <w:tcW w:w="852" w:type="dxa"/>
            <w:tcBorders>
              <w:top w:val="nil"/>
              <w:left w:val="nil"/>
              <w:bottom w:val="nil"/>
              <w:right w:val="nil"/>
            </w:tcBorders>
            <w:shd w:val="clear" w:color="auto" w:fill="auto"/>
            <w:noWrap/>
            <w:vAlign w:val="center"/>
            <w:hideMark/>
          </w:tcPr>
          <w:p w14:paraId="47FE2B7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1.61 ± 0.07</w:t>
            </w:r>
          </w:p>
        </w:tc>
        <w:tc>
          <w:tcPr>
            <w:tcW w:w="850" w:type="dxa"/>
            <w:tcBorders>
              <w:top w:val="nil"/>
              <w:left w:val="nil"/>
              <w:bottom w:val="nil"/>
              <w:right w:val="nil"/>
            </w:tcBorders>
            <w:shd w:val="clear" w:color="auto" w:fill="auto"/>
            <w:noWrap/>
            <w:vAlign w:val="center"/>
            <w:hideMark/>
          </w:tcPr>
          <w:p w14:paraId="7CD6BA9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2.41 ± 0.38</w:t>
            </w:r>
          </w:p>
        </w:tc>
        <w:tc>
          <w:tcPr>
            <w:tcW w:w="811" w:type="dxa"/>
            <w:tcBorders>
              <w:top w:val="nil"/>
              <w:left w:val="nil"/>
              <w:bottom w:val="nil"/>
              <w:right w:val="nil"/>
            </w:tcBorders>
            <w:shd w:val="clear" w:color="auto" w:fill="auto"/>
            <w:noWrap/>
            <w:vAlign w:val="center"/>
            <w:hideMark/>
          </w:tcPr>
          <w:p w14:paraId="54C01EF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5.36 ± 0.32</w:t>
            </w:r>
          </w:p>
        </w:tc>
        <w:tc>
          <w:tcPr>
            <w:tcW w:w="853" w:type="dxa"/>
            <w:tcBorders>
              <w:top w:val="nil"/>
              <w:left w:val="nil"/>
              <w:bottom w:val="nil"/>
              <w:right w:val="nil"/>
            </w:tcBorders>
            <w:shd w:val="clear" w:color="auto" w:fill="auto"/>
            <w:noWrap/>
            <w:vAlign w:val="center"/>
            <w:hideMark/>
          </w:tcPr>
          <w:p w14:paraId="697014D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2.07 ± 0.09</w:t>
            </w:r>
          </w:p>
        </w:tc>
        <w:tc>
          <w:tcPr>
            <w:tcW w:w="809" w:type="dxa"/>
            <w:gridSpan w:val="2"/>
            <w:tcBorders>
              <w:top w:val="nil"/>
              <w:left w:val="nil"/>
              <w:bottom w:val="nil"/>
              <w:right w:val="single" w:sz="4" w:space="0" w:color="auto"/>
            </w:tcBorders>
            <w:shd w:val="clear" w:color="auto" w:fill="auto"/>
            <w:noWrap/>
            <w:vAlign w:val="center"/>
            <w:hideMark/>
          </w:tcPr>
          <w:p w14:paraId="0BDC374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0.67 ± 0.06</w:t>
            </w:r>
          </w:p>
        </w:tc>
        <w:tc>
          <w:tcPr>
            <w:tcW w:w="808" w:type="dxa"/>
            <w:tcBorders>
              <w:top w:val="nil"/>
              <w:left w:val="nil"/>
              <w:bottom w:val="nil"/>
              <w:right w:val="nil"/>
            </w:tcBorders>
            <w:shd w:val="clear" w:color="auto" w:fill="auto"/>
            <w:noWrap/>
            <w:vAlign w:val="center"/>
            <w:hideMark/>
          </w:tcPr>
          <w:p w14:paraId="1A424B7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0.59 ± 0.10</w:t>
            </w:r>
          </w:p>
        </w:tc>
        <w:tc>
          <w:tcPr>
            <w:tcW w:w="790" w:type="dxa"/>
            <w:tcBorders>
              <w:top w:val="nil"/>
              <w:left w:val="nil"/>
              <w:bottom w:val="nil"/>
              <w:right w:val="nil"/>
            </w:tcBorders>
            <w:shd w:val="clear" w:color="auto" w:fill="auto"/>
            <w:noWrap/>
            <w:vAlign w:val="center"/>
            <w:hideMark/>
          </w:tcPr>
          <w:p w14:paraId="7C56849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0.23 ± 0.01</w:t>
            </w:r>
          </w:p>
        </w:tc>
        <w:tc>
          <w:tcPr>
            <w:tcW w:w="851" w:type="dxa"/>
            <w:tcBorders>
              <w:top w:val="nil"/>
              <w:left w:val="nil"/>
              <w:bottom w:val="nil"/>
              <w:right w:val="single" w:sz="4" w:space="0" w:color="auto"/>
            </w:tcBorders>
            <w:shd w:val="clear" w:color="auto" w:fill="auto"/>
            <w:noWrap/>
            <w:vAlign w:val="center"/>
            <w:hideMark/>
          </w:tcPr>
          <w:p w14:paraId="1E29D66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3.15 ± 0.24</w:t>
            </w:r>
          </w:p>
        </w:tc>
        <w:tc>
          <w:tcPr>
            <w:tcW w:w="788" w:type="dxa"/>
            <w:tcBorders>
              <w:top w:val="nil"/>
              <w:left w:val="nil"/>
              <w:bottom w:val="nil"/>
              <w:right w:val="nil"/>
            </w:tcBorders>
            <w:shd w:val="clear" w:color="auto" w:fill="auto"/>
            <w:noWrap/>
            <w:vAlign w:val="center"/>
            <w:hideMark/>
          </w:tcPr>
          <w:p w14:paraId="4612C16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3.58 ± 0.49</w:t>
            </w:r>
          </w:p>
        </w:tc>
        <w:tc>
          <w:tcPr>
            <w:tcW w:w="850" w:type="dxa"/>
            <w:tcBorders>
              <w:top w:val="nil"/>
              <w:left w:val="nil"/>
              <w:bottom w:val="nil"/>
              <w:right w:val="nil"/>
            </w:tcBorders>
            <w:shd w:val="clear" w:color="auto" w:fill="auto"/>
            <w:noWrap/>
            <w:vAlign w:val="center"/>
            <w:hideMark/>
          </w:tcPr>
          <w:p w14:paraId="5893392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0.58 ± 0.08</w:t>
            </w:r>
          </w:p>
        </w:tc>
        <w:tc>
          <w:tcPr>
            <w:tcW w:w="802" w:type="dxa"/>
            <w:tcBorders>
              <w:top w:val="nil"/>
              <w:left w:val="nil"/>
              <w:bottom w:val="nil"/>
              <w:right w:val="nil"/>
            </w:tcBorders>
            <w:shd w:val="clear" w:color="auto" w:fill="auto"/>
            <w:noWrap/>
            <w:vAlign w:val="center"/>
            <w:hideMark/>
          </w:tcPr>
          <w:p w14:paraId="2305779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0.53 ± 0.05</w:t>
            </w:r>
          </w:p>
        </w:tc>
        <w:tc>
          <w:tcPr>
            <w:tcW w:w="809" w:type="dxa"/>
            <w:tcBorders>
              <w:top w:val="nil"/>
              <w:left w:val="nil"/>
              <w:bottom w:val="nil"/>
              <w:right w:val="nil"/>
            </w:tcBorders>
            <w:shd w:val="clear" w:color="auto" w:fill="auto"/>
            <w:noWrap/>
            <w:vAlign w:val="center"/>
            <w:hideMark/>
          </w:tcPr>
          <w:p w14:paraId="23C9F2E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0.53 ± 0.02</w:t>
            </w:r>
          </w:p>
        </w:tc>
        <w:tc>
          <w:tcPr>
            <w:tcW w:w="578" w:type="dxa"/>
            <w:tcBorders>
              <w:top w:val="nil"/>
              <w:left w:val="nil"/>
              <w:bottom w:val="nil"/>
              <w:right w:val="single" w:sz="4" w:space="0" w:color="auto"/>
            </w:tcBorders>
            <w:shd w:val="clear" w:color="auto" w:fill="auto"/>
            <w:noWrap/>
            <w:vAlign w:val="center"/>
            <w:hideMark/>
          </w:tcPr>
          <w:p w14:paraId="1578B5A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0.05 ± 0.02</w:t>
            </w:r>
          </w:p>
        </w:tc>
      </w:tr>
      <w:tr w:rsidR="007A4EAA" w:rsidRPr="00403B14" w14:paraId="344153FF"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3F52CDB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W4</w:t>
            </w:r>
          </w:p>
        </w:tc>
        <w:tc>
          <w:tcPr>
            <w:tcW w:w="918" w:type="dxa"/>
            <w:tcBorders>
              <w:top w:val="nil"/>
              <w:left w:val="single" w:sz="4" w:space="0" w:color="auto"/>
              <w:bottom w:val="nil"/>
              <w:right w:val="single" w:sz="4" w:space="0" w:color="auto"/>
            </w:tcBorders>
            <w:shd w:val="clear" w:color="auto" w:fill="auto"/>
            <w:noWrap/>
            <w:vAlign w:val="center"/>
            <w:hideMark/>
          </w:tcPr>
          <w:p w14:paraId="66AB977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27.82 ± 1.58</w:t>
            </w:r>
          </w:p>
        </w:tc>
        <w:tc>
          <w:tcPr>
            <w:tcW w:w="850" w:type="dxa"/>
            <w:tcBorders>
              <w:top w:val="nil"/>
              <w:left w:val="nil"/>
              <w:bottom w:val="nil"/>
              <w:right w:val="single" w:sz="4" w:space="0" w:color="auto"/>
            </w:tcBorders>
            <w:shd w:val="clear" w:color="auto" w:fill="auto"/>
            <w:noWrap/>
            <w:vAlign w:val="center"/>
            <w:hideMark/>
          </w:tcPr>
          <w:p w14:paraId="5FDF695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1.75 ± 0.02</w:t>
            </w:r>
          </w:p>
        </w:tc>
        <w:tc>
          <w:tcPr>
            <w:tcW w:w="851" w:type="dxa"/>
            <w:tcBorders>
              <w:top w:val="nil"/>
              <w:left w:val="nil"/>
              <w:bottom w:val="nil"/>
              <w:right w:val="nil"/>
            </w:tcBorders>
            <w:shd w:val="clear" w:color="auto" w:fill="auto"/>
            <w:noWrap/>
            <w:vAlign w:val="center"/>
            <w:hideMark/>
          </w:tcPr>
          <w:p w14:paraId="18D9A4D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1.17 ± 0.05</w:t>
            </w:r>
          </w:p>
        </w:tc>
        <w:tc>
          <w:tcPr>
            <w:tcW w:w="794" w:type="dxa"/>
            <w:tcBorders>
              <w:top w:val="nil"/>
              <w:left w:val="nil"/>
              <w:bottom w:val="nil"/>
              <w:right w:val="nil"/>
            </w:tcBorders>
            <w:shd w:val="clear" w:color="auto" w:fill="auto"/>
            <w:noWrap/>
            <w:vAlign w:val="center"/>
            <w:hideMark/>
          </w:tcPr>
          <w:p w14:paraId="7094E12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1.29 ± 0.14</w:t>
            </w:r>
          </w:p>
        </w:tc>
        <w:tc>
          <w:tcPr>
            <w:tcW w:w="889" w:type="dxa"/>
            <w:tcBorders>
              <w:top w:val="nil"/>
              <w:left w:val="nil"/>
              <w:bottom w:val="nil"/>
              <w:right w:val="nil"/>
            </w:tcBorders>
            <w:shd w:val="clear" w:color="auto" w:fill="auto"/>
            <w:noWrap/>
            <w:vAlign w:val="center"/>
            <w:hideMark/>
          </w:tcPr>
          <w:p w14:paraId="1A8F9A3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1.67 ± 0.06</w:t>
            </w:r>
          </w:p>
        </w:tc>
        <w:tc>
          <w:tcPr>
            <w:tcW w:w="852" w:type="dxa"/>
            <w:tcBorders>
              <w:top w:val="nil"/>
              <w:left w:val="nil"/>
              <w:bottom w:val="nil"/>
              <w:right w:val="nil"/>
            </w:tcBorders>
            <w:shd w:val="clear" w:color="auto" w:fill="auto"/>
            <w:noWrap/>
            <w:vAlign w:val="center"/>
            <w:hideMark/>
          </w:tcPr>
          <w:p w14:paraId="121B4D0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1.79 ± 0.25</w:t>
            </w:r>
          </w:p>
        </w:tc>
        <w:tc>
          <w:tcPr>
            <w:tcW w:w="850" w:type="dxa"/>
            <w:tcBorders>
              <w:top w:val="nil"/>
              <w:left w:val="nil"/>
              <w:bottom w:val="nil"/>
              <w:right w:val="nil"/>
            </w:tcBorders>
            <w:shd w:val="clear" w:color="auto" w:fill="auto"/>
            <w:noWrap/>
            <w:vAlign w:val="center"/>
            <w:hideMark/>
          </w:tcPr>
          <w:p w14:paraId="3C65D4D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3.63 ± 0.05</w:t>
            </w:r>
          </w:p>
        </w:tc>
        <w:tc>
          <w:tcPr>
            <w:tcW w:w="811" w:type="dxa"/>
            <w:tcBorders>
              <w:top w:val="nil"/>
              <w:left w:val="nil"/>
              <w:bottom w:val="nil"/>
              <w:right w:val="nil"/>
            </w:tcBorders>
            <w:shd w:val="clear" w:color="auto" w:fill="auto"/>
            <w:noWrap/>
            <w:vAlign w:val="center"/>
            <w:hideMark/>
          </w:tcPr>
          <w:p w14:paraId="29A3F04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5.35 ± 0.71</w:t>
            </w:r>
          </w:p>
        </w:tc>
        <w:tc>
          <w:tcPr>
            <w:tcW w:w="853" w:type="dxa"/>
            <w:tcBorders>
              <w:top w:val="nil"/>
              <w:left w:val="nil"/>
              <w:bottom w:val="nil"/>
              <w:right w:val="nil"/>
            </w:tcBorders>
            <w:shd w:val="clear" w:color="auto" w:fill="auto"/>
            <w:noWrap/>
            <w:vAlign w:val="center"/>
            <w:hideMark/>
          </w:tcPr>
          <w:p w14:paraId="1145FDB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2.04 ± 0.03</w:t>
            </w:r>
          </w:p>
        </w:tc>
        <w:tc>
          <w:tcPr>
            <w:tcW w:w="809" w:type="dxa"/>
            <w:gridSpan w:val="2"/>
            <w:tcBorders>
              <w:top w:val="nil"/>
              <w:left w:val="nil"/>
              <w:bottom w:val="nil"/>
              <w:right w:val="single" w:sz="4" w:space="0" w:color="auto"/>
            </w:tcBorders>
            <w:shd w:val="clear" w:color="auto" w:fill="auto"/>
            <w:noWrap/>
            <w:vAlign w:val="center"/>
            <w:hideMark/>
          </w:tcPr>
          <w:p w14:paraId="4523C74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0.79 ± 0.10</w:t>
            </w:r>
          </w:p>
        </w:tc>
        <w:tc>
          <w:tcPr>
            <w:tcW w:w="808" w:type="dxa"/>
            <w:tcBorders>
              <w:top w:val="nil"/>
              <w:left w:val="nil"/>
              <w:bottom w:val="nil"/>
              <w:right w:val="nil"/>
            </w:tcBorders>
            <w:shd w:val="clear" w:color="auto" w:fill="auto"/>
            <w:noWrap/>
            <w:vAlign w:val="center"/>
            <w:hideMark/>
          </w:tcPr>
          <w:p w14:paraId="08A0A83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0.54 ± 0.21</w:t>
            </w:r>
          </w:p>
        </w:tc>
        <w:tc>
          <w:tcPr>
            <w:tcW w:w="790" w:type="dxa"/>
            <w:tcBorders>
              <w:top w:val="nil"/>
              <w:left w:val="nil"/>
              <w:bottom w:val="nil"/>
              <w:right w:val="nil"/>
            </w:tcBorders>
            <w:shd w:val="clear" w:color="auto" w:fill="auto"/>
            <w:noWrap/>
            <w:vAlign w:val="center"/>
            <w:hideMark/>
          </w:tcPr>
          <w:p w14:paraId="1661188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0.19 ± 0.11</w:t>
            </w:r>
          </w:p>
        </w:tc>
        <w:tc>
          <w:tcPr>
            <w:tcW w:w="851" w:type="dxa"/>
            <w:tcBorders>
              <w:top w:val="nil"/>
              <w:left w:val="nil"/>
              <w:bottom w:val="nil"/>
              <w:right w:val="single" w:sz="4" w:space="0" w:color="auto"/>
            </w:tcBorders>
            <w:shd w:val="clear" w:color="auto" w:fill="auto"/>
            <w:noWrap/>
            <w:vAlign w:val="center"/>
            <w:hideMark/>
          </w:tcPr>
          <w:p w14:paraId="25F6936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1.12 ± 0.22</w:t>
            </w:r>
          </w:p>
        </w:tc>
        <w:tc>
          <w:tcPr>
            <w:tcW w:w="788" w:type="dxa"/>
            <w:tcBorders>
              <w:top w:val="nil"/>
              <w:left w:val="nil"/>
              <w:bottom w:val="nil"/>
              <w:right w:val="nil"/>
            </w:tcBorders>
            <w:shd w:val="clear" w:color="auto" w:fill="auto"/>
            <w:noWrap/>
            <w:vAlign w:val="center"/>
            <w:hideMark/>
          </w:tcPr>
          <w:p w14:paraId="7F820EF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4.69 ± 0.42</w:t>
            </w:r>
          </w:p>
        </w:tc>
        <w:tc>
          <w:tcPr>
            <w:tcW w:w="850" w:type="dxa"/>
            <w:tcBorders>
              <w:top w:val="nil"/>
              <w:left w:val="nil"/>
              <w:bottom w:val="nil"/>
              <w:right w:val="nil"/>
            </w:tcBorders>
            <w:shd w:val="clear" w:color="auto" w:fill="auto"/>
            <w:noWrap/>
            <w:vAlign w:val="center"/>
            <w:hideMark/>
          </w:tcPr>
          <w:p w14:paraId="3B85022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0.95 ± 0.02</w:t>
            </w:r>
          </w:p>
        </w:tc>
        <w:tc>
          <w:tcPr>
            <w:tcW w:w="802" w:type="dxa"/>
            <w:tcBorders>
              <w:top w:val="nil"/>
              <w:left w:val="nil"/>
              <w:bottom w:val="nil"/>
              <w:right w:val="nil"/>
            </w:tcBorders>
            <w:shd w:val="clear" w:color="auto" w:fill="auto"/>
            <w:noWrap/>
            <w:vAlign w:val="center"/>
            <w:hideMark/>
          </w:tcPr>
          <w:p w14:paraId="78B180A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0.38 ± 0.07</w:t>
            </w:r>
          </w:p>
        </w:tc>
        <w:tc>
          <w:tcPr>
            <w:tcW w:w="809" w:type="dxa"/>
            <w:tcBorders>
              <w:top w:val="nil"/>
              <w:left w:val="nil"/>
              <w:bottom w:val="nil"/>
              <w:right w:val="nil"/>
            </w:tcBorders>
            <w:shd w:val="clear" w:color="auto" w:fill="auto"/>
            <w:noWrap/>
            <w:vAlign w:val="center"/>
            <w:hideMark/>
          </w:tcPr>
          <w:p w14:paraId="4CA0FCE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0.03</w:t>
            </w:r>
          </w:p>
        </w:tc>
        <w:tc>
          <w:tcPr>
            <w:tcW w:w="578" w:type="dxa"/>
            <w:tcBorders>
              <w:top w:val="nil"/>
              <w:left w:val="nil"/>
              <w:bottom w:val="nil"/>
              <w:right w:val="single" w:sz="4" w:space="0" w:color="auto"/>
            </w:tcBorders>
            <w:shd w:val="clear" w:color="auto" w:fill="auto"/>
            <w:noWrap/>
            <w:vAlign w:val="center"/>
            <w:hideMark/>
          </w:tcPr>
          <w:p w14:paraId="5713F8E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0.03 ± 0.00</w:t>
            </w:r>
          </w:p>
        </w:tc>
      </w:tr>
      <w:tr w:rsidR="007A4EAA" w:rsidRPr="00403B14" w14:paraId="016F8D5B"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4940247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W5</w:t>
            </w:r>
          </w:p>
        </w:tc>
        <w:tc>
          <w:tcPr>
            <w:tcW w:w="918" w:type="dxa"/>
            <w:tcBorders>
              <w:top w:val="nil"/>
              <w:left w:val="single" w:sz="4" w:space="0" w:color="auto"/>
              <w:bottom w:val="nil"/>
              <w:right w:val="single" w:sz="4" w:space="0" w:color="auto"/>
            </w:tcBorders>
            <w:shd w:val="clear" w:color="auto" w:fill="auto"/>
            <w:noWrap/>
            <w:vAlign w:val="center"/>
            <w:hideMark/>
          </w:tcPr>
          <w:p w14:paraId="3CC2F5D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30.65 ± 1.94</w:t>
            </w:r>
          </w:p>
        </w:tc>
        <w:tc>
          <w:tcPr>
            <w:tcW w:w="850" w:type="dxa"/>
            <w:tcBorders>
              <w:top w:val="nil"/>
              <w:left w:val="nil"/>
              <w:bottom w:val="nil"/>
              <w:right w:val="single" w:sz="4" w:space="0" w:color="auto"/>
            </w:tcBorders>
            <w:shd w:val="clear" w:color="auto" w:fill="auto"/>
            <w:noWrap/>
            <w:vAlign w:val="center"/>
            <w:hideMark/>
          </w:tcPr>
          <w:p w14:paraId="1E5E1D7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4.41 ± 0.40</w:t>
            </w:r>
          </w:p>
        </w:tc>
        <w:tc>
          <w:tcPr>
            <w:tcW w:w="851" w:type="dxa"/>
            <w:tcBorders>
              <w:top w:val="nil"/>
              <w:left w:val="nil"/>
              <w:bottom w:val="nil"/>
              <w:right w:val="nil"/>
            </w:tcBorders>
            <w:shd w:val="clear" w:color="auto" w:fill="auto"/>
            <w:noWrap/>
            <w:vAlign w:val="center"/>
            <w:hideMark/>
          </w:tcPr>
          <w:p w14:paraId="1B9C0D7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1.15 ± 0.03</w:t>
            </w:r>
          </w:p>
        </w:tc>
        <w:tc>
          <w:tcPr>
            <w:tcW w:w="794" w:type="dxa"/>
            <w:tcBorders>
              <w:top w:val="nil"/>
              <w:left w:val="nil"/>
              <w:bottom w:val="nil"/>
              <w:right w:val="nil"/>
            </w:tcBorders>
            <w:shd w:val="clear" w:color="auto" w:fill="auto"/>
            <w:noWrap/>
            <w:vAlign w:val="center"/>
            <w:hideMark/>
          </w:tcPr>
          <w:p w14:paraId="4CBDFF9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0.70 ± 0.11</w:t>
            </w:r>
          </w:p>
        </w:tc>
        <w:tc>
          <w:tcPr>
            <w:tcW w:w="889" w:type="dxa"/>
            <w:tcBorders>
              <w:top w:val="nil"/>
              <w:left w:val="nil"/>
              <w:bottom w:val="nil"/>
              <w:right w:val="nil"/>
            </w:tcBorders>
            <w:shd w:val="clear" w:color="auto" w:fill="auto"/>
            <w:noWrap/>
            <w:vAlign w:val="center"/>
            <w:hideMark/>
          </w:tcPr>
          <w:p w14:paraId="300286B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1.83 ± 0.10</w:t>
            </w:r>
          </w:p>
        </w:tc>
        <w:tc>
          <w:tcPr>
            <w:tcW w:w="852" w:type="dxa"/>
            <w:tcBorders>
              <w:top w:val="nil"/>
              <w:left w:val="nil"/>
              <w:bottom w:val="nil"/>
              <w:right w:val="nil"/>
            </w:tcBorders>
            <w:shd w:val="clear" w:color="auto" w:fill="auto"/>
            <w:noWrap/>
            <w:vAlign w:val="center"/>
            <w:hideMark/>
          </w:tcPr>
          <w:p w14:paraId="6BF6EBE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1.94 ± 0.20</w:t>
            </w:r>
          </w:p>
        </w:tc>
        <w:tc>
          <w:tcPr>
            <w:tcW w:w="850" w:type="dxa"/>
            <w:tcBorders>
              <w:top w:val="nil"/>
              <w:left w:val="nil"/>
              <w:bottom w:val="nil"/>
              <w:right w:val="nil"/>
            </w:tcBorders>
            <w:shd w:val="clear" w:color="auto" w:fill="auto"/>
            <w:noWrap/>
            <w:vAlign w:val="center"/>
            <w:hideMark/>
          </w:tcPr>
          <w:p w14:paraId="7AC5CDF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5.70 ± 0.48</w:t>
            </w:r>
          </w:p>
        </w:tc>
        <w:tc>
          <w:tcPr>
            <w:tcW w:w="811" w:type="dxa"/>
            <w:tcBorders>
              <w:top w:val="nil"/>
              <w:left w:val="nil"/>
              <w:bottom w:val="nil"/>
              <w:right w:val="nil"/>
            </w:tcBorders>
            <w:shd w:val="clear" w:color="auto" w:fill="auto"/>
            <w:noWrap/>
            <w:vAlign w:val="center"/>
            <w:hideMark/>
          </w:tcPr>
          <w:p w14:paraId="117A97A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4.69 ± 1.03</w:t>
            </w:r>
          </w:p>
        </w:tc>
        <w:tc>
          <w:tcPr>
            <w:tcW w:w="853" w:type="dxa"/>
            <w:tcBorders>
              <w:top w:val="nil"/>
              <w:left w:val="nil"/>
              <w:bottom w:val="nil"/>
              <w:right w:val="nil"/>
            </w:tcBorders>
            <w:shd w:val="clear" w:color="auto" w:fill="auto"/>
            <w:noWrap/>
            <w:vAlign w:val="center"/>
            <w:hideMark/>
          </w:tcPr>
          <w:p w14:paraId="2718BA4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2.36 ± 0.10</w:t>
            </w:r>
          </w:p>
        </w:tc>
        <w:tc>
          <w:tcPr>
            <w:tcW w:w="809" w:type="dxa"/>
            <w:gridSpan w:val="2"/>
            <w:tcBorders>
              <w:top w:val="nil"/>
              <w:left w:val="nil"/>
              <w:bottom w:val="nil"/>
              <w:right w:val="single" w:sz="4" w:space="0" w:color="auto"/>
            </w:tcBorders>
            <w:shd w:val="clear" w:color="auto" w:fill="auto"/>
            <w:noWrap/>
            <w:vAlign w:val="center"/>
            <w:hideMark/>
          </w:tcPr>
          <w:p w14:paraId="7AB03DF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0.85 ± 0.12</w:t>
            </w:r>
          </w:p>
        </w:tc>
        <w:tc>
          <w:tcPr>
            <w:tcW w:w="808" w:type="dxa"/>
            <w:tcBorders>
              <w:top w:val="nil"/>
              <w:left w:val="nil"/>
              <w:bottom w:val="nil"/>
              <w:right w:val="nil"/>
            </w:tcBorders>
            <w:shd w:val="clear" w:color="auto" w:fill="auto"/>
            <w:noWrap/>
            <w:vAlign w:val="center"/>
            <w:hideMark/>
          </w:tcPr>
          <w:p w14:paraId="564621B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0.60 ± 0.13</w:t>
            </w:r>
          </w:p>
        </w:tc>
        <w:tc>
          <w:tcPr>
            <w:tcW w:w="790" w:type="dxa"/>
            <w:tcBorders>
              <w:top w:val="nil"/>
              <w:left w:val="nil"/>
              <w:bottom w:val="nil"/>
              <w:right w:val="nil"/>
            </w:tcBorders>
            <w:shd w:val="clear" w:color="auto" w:fill="auto"/>
            <w:noWrap/>
            <w:vAlign w:val="center"/>
            <w:hideMark/>
          </w:tcPr>
          <w:p w14:paraId="5B8771F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0.07 ± 0.02</w:t>
            </w:r>
          </w:p>
        </w:tc>
        <w:tc>
          <w:tcPr>
            <w:tcW w:w="851" w:type="dxa"/>
            <w:tcBorders>
              <w:top w:val="nil"/>
              <w:left w:val="nil"/>
              <w:bottom w:val="nil"/>
              <w:right w:val="single" w:sz="4" w:space="0" w:color="auto"/>
            </w:tcBorders>
            <w:shd w:val="clear" w:color="auto" w:fill="auto"/>
            <w:noWrap/>
            <w:vAlign w:val="center"/>
            <w:hideMark/>
          </w:tcPr>
          <w:p w14:paraId="762C1BC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0.83 ± 0.03</w:t>
            </w:r>
          </w:p>
        </w:tc>
        <w:tc>
          <w:tcPr>
            <w:tcW w:w="788" w:type="dxa"/>
            <w:tcBorders>
              <w:top w:val="nil"/>
              <w:left w:val="nil"/>
              <w:bottom w:val="nil"/>
              <w:right w:val="nil"/>
            </w:tcBorders>
            <w:shd w:val="clear" w:color="auto" w:fill="auto"/>
            <w:noWrap/>
            <w:vAlign w:val="center"/>
            <w:hideMark/>
          </w:tcPr>
          <w:p w14:paraId="15333FB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3.79 ± 0.80</w:t>
            </w:r>
          </w:p>
        </w:tc>
        <w:tc>
          <w:tcPr>
            <w:tcW w:w="850" w:type="dxa"/>
            <w:tcBorders>
              <w:top w:val="nil"/>
              <w:left w:val="nil"/>
              <w:bottom w:val="nil"/>
              <w:right w:val="nil"/>
            </w:tcBorders>
            <w:shd w:val="clear" w:color="auto" w:fill="auto"/>
            <w:noWrap/>
            <w:vAlign w:val="center"/>
            <w:hideMark/>
          </w:tcPr>
          <w:p w14:paraId="6A2145B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0.81 ± 0.08</w:t>
            </w:r>
          </w:p>
        </w:tc>
        <w:tc>
          <w:tcPr>
            <w:tcW w:w="802" w:type="dxa"/>
            <w:tcBorders>
              <w:top w:val="nil"/>
              <w:left w:val="nil"/>
              <w:bottom w:val="nil"/>
              <w:right w:val="nil"/>
            </w:tcBorders>
            <w:shd w:val="clear" w:color="auto" w:fill="auto"/>
            <w:noWrap/>
            <w:vAlign w:val="center"/>
            <w:hideMark/>
          </w:tcPr>
          <w:p w14:paraId="197D958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0.43 ± 0.04</w:t>
            </w:r>
          </w:p>
        </w:tc>
        <w:tc>
          <w:tcPr>
            <w:tcW w:w="809" w:type="dxa"/>
            <w:tcBorders>
              <w:top w:val="nil"/>
              <w:left w:val="nil"/>
              <w:bottom w:val="nil"/>
              <w:right w:val="nil"/>
            </w:tcBorders>
            <w:shd w:val="clear" w:color="auto" w:fill="auto"/>
            <w:noWrap/>
            <w:vAlign w:val="center"/>
            <w:hideMark/>
          </w:tcPr>
          <w:p w14:paraId="01DEB1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0.50 ± 0.10</w:t>
            </w:r>
          </w:p>
        </w:tc>
        <w:tc>
          <w:tcPr>
            <w:tcW w:w="578" w:type="dxa"/>
            <w:tcBorders>
              <w:top w:val="nil"/>
              <w:left w:val="nil"/>
              <w:bottom w:val="nil"/>
              <w:right w:val="single" w:sz="4" w:space="0" w:color="auto"/>
            </w:tcBorders>
            <w:shd w:val="clear" w:color="auto" w:fill="auto"/>
            <w:noWrap/>
            <w:vAlign w:val="center"/>
            <w:hideMark/>
          </w:tcPr>
          <w:p w14:paraId="57415BE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4828AEE0"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2F8E9DC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W6</w:t>
            </w:r>
          </w:p>
        </w:tc>
        <w:tc>
          <w:tcPr>
            <w:tcW w:w="918" w:type="dxa"/>
            <w:tcBorders>
              <w:top w:val="nil"/>
              <w:left w:val="single" w:sz="4" w:space="0" w:color="auto"/>
              <w:bottom w:val="nil"/>
              <w:right w:val="single" w:sz="4" w:space="0" w:color="auto"/>
            </w:tcBorders>
            <w:shd w:val="clear" w:color="auto" w:fill="auto"/>
            <w:noWrap/>
            <w:vAlign w:val="center"/>
            <w:hideMark/>
          </w:tcPr>
          <w:p w14:paraId="0D4773E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33.04 ± 1.70</w:t>
            </w:r>
          </w:p>
        </w:tc>
        <w:tc>
          <w:tcPr>
            <w:tcW w:w="850" w:type="dxa"/>
            <w:tcBorders>
              <w:top w:val="nil"/>
              <w:left w:val="nil"/>
              <w:bottom w:val="nil"/>
              <w:right w:val="single" w:sz="4" w:space="0" w:color="auto"/>
            </w:tcBorders>
            <w:shd w:val="clear" w:color="auto" w:fill="auto"/>
            <w:noWrap/>
            <w:vAlign w:val="center"/>
            <w:hideMark/>
          </w:tcPr>
          <w:p w14:paraId="0935072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2.45 ± 0.25</w:t>
            </w:r>
          </w:p>
        </w:tc>
        <w:tc>
          <w:tcPr>
            <w:tcW w:w="851" w:type="dxa"/>
            <w:tcBorders>
              <w:top w:val="nil"/>
              <w:left w:val="nil"/>
              <w:bottom w:val="nil"/>
              <w:right w:val="nil"/>
            </w:tcBorders>
            <w:shd w:val="clear" w:color="auto" w:fill="auto"/>
            <w:noWrap/>
            <w:vAlign w:val="center"/>
            <w:hideMark/>
          </w:tcPr>
          <w:p w14:paraId="5260D3F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1.13 ± 0.20</w:t>
            </w:r>
          </w:p>
        </w:tc>
        <w:tc>
          <w:tcPr>
            <w:tcW w:w="794" w:type="dxa"/>
            <w:tcBorders>
              <w:top w:val="nil"/>
              <w:left w:val="nil"/>
              <w:bottom w:val="nil"/>
              <w:right w:val="nil"/>
            </w:tcBorders>
            <w:shd w:val="clear" w:color="auto" w:fill="auto"/>
            <w:noWrap/>
            <w:vAlign w:val="center"/>
            <w:hideMark/>
          </w:tcPr>
          <w:p w14:paraId="67AFF2D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0.79 ± 0.13</w:t>
            </w:r>
          </w:p>
        </w:tc>
        <w:tc>
          <w:tcPr>
            <w:tcW w:w="889" w:type="dxa"/>
            <w:tcBorders>
              <w:top w:val="nil"/>
              <w:left w:val="nil"/>
              <w:bottom w:val="nil"/>
              <w:right w:val="nil"/>
            </w:tcBorders>
            <w:shd w:val="clear" w:color="auto" w:fill="auto"/>
            <w:noWrap/>
            <w:vAlign w:val="center"/>
            <w:hideMark/>
          </w:tcPr>
          <w:p w14:paraId="640532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6.20 ± 0.47</w:t>
            </w:r>
          </w:p>
        </w:tc>
        <w:tc>
          <w:tcPr>
            <w:tcW w:w="852" w:type="dxa"/>
            <w:tcBorders>
              <w:top w:val="nil"/>
              <w:left w:val="nil"/>
              <w:bottom w:val="nil"/>
              <w:right w:val="nil"/>
            </w:tcBorders>
            <w:shd w:val="clear" w:color="auto" w:fill="auto"/>
            <w:noWrap/>
            <w:vAlign w:val="center"/>
            <w:hideMark/>
          </w:tcPr>
          <w:p w14:paraId="36648D0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1.56 ± 0.16</w:t>
            </w:r>
          </w:p>
        </w:tc>
        <w:tc>
          <w:tcPr>
            <w:tcW w:w="850" w:type="dxa"/>
            <w:tcBorders>
              <w:top w:val="nil"/>
              <w:left w:val="nil"/>
              <w:bottom w:val="nil"/>
              <w:right w:val="nil"/>
            </w:tcBorders>
            <w:shd w:val="clear" w:color="auto" w:fill="auto"/>
            <w:noWrap/>
            <w:vAlign w:val="center"/>
            <w:hideMark/>
          </w:tcPr>
          <w:p w14:paraId="4A83E51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5.06 ± 0.39</w:t>
            </w:r>
          </w:p>
        </w:tc>
        <w:tc>
          <w:tcPr>
            <w:tcW w:w="811" w:type="dxa"/>
            <w:tcBorders>
              <w:top w:val="nil"/>
              <w:left w:val="nil"/>
              <w:bottom w:val="nil"/>
              <w:right w:val="nil"/>
            </w:tcBorders>
            <w:shd w:val="clear" w:color="auto" w:fill="auto"/>
            <w:noWrap/>
            <w:vAlign w:val="center"/>
            <w:hideMark/>
          </w:tcPr>
          <w:p w14:paraId="40F98EF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5.03 ± 0.30</w:t>
            </w:r>
          </w:p>
        </w:tc>
        <w:tc>
          <w:tcPr>
            <w:tcW w:w="853" w:type="dxa"/>
            <w:tcBorders>
              <w:top w:val="nil"/>
              <w:left w:val="nil"/>
              <w:bottom w:val="nil"/>
              <w:right w:val="nil"/>
            </w:tcBorders>
            <w:shd w:val="clear" w:color="auto" w:fill="auto"/>
            <w:noWrap/>
            <w:vAlign w:val="center"/>
            <w:hideMark/>
          </w:tcPr>
          <w:p w14:paraId="40EF204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1.86 ± 0.06</w:t>
            </w:r>
          </w:p>
        </w:tc>
        <w:tc>
          <w:tcPr>
            <w:tcW w:w="809" w:type="dxa"/>
            <w:gridSpan w:val="2"/>
            <w:tcBorders>
              <w:top w:val="nil"/>
              <w:left w:val="nil"/>
              <w:bottom w:val="nil"/>
              <w:right w:val="single" w:sz="4" w:space="0" w:color="auto"/>
            </w:tcBorders>
            <w:shd w:val="clear" w:color="auto" w:fill="auto"/>
            <w:noWrap/>
            <w:vAlign w:val="center"/>
            <w:hideMark/>
          </w:tcPr>
          <w:p w14:paraId="30B62F9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0.73 ± 0.01</w:t>
            </w:r>
          </w:p>
        </w:tc>
        <w:tc>
          <w:tcPr>
            <w:tcW w:w="808" w:type="dxa"/>
            <w:tcBorders>
              <w:top w:val="nil"/>
              <w:left w:val="nil"/>
              <w:bottom w:val="nil"/>
              <w:right w:val="nil"/>
            </w:tcBorders>
            <w:shd w:val="clear" w:color="auto" w:fill="auto"/>
            <w:noWrap/>
            <w:vAlign w:val="center"/>
            <w:hideMark/>
          </w:tcPr>
          <w:p w14:paraId="584D827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1.19 ± 0.04</w:t>
            </w:r>
          </w:p>
        </w:tc>
        <w:tc>
          <w:tcPr>
            <w:tcW w:w="790" w:type="dxa"/>
            <w:tcBorders>
              <w:top w:val="nil"/>
              <w:left w:val="nil"/>
              <w:bottom w:val="nil"/>
              <w:right w:val="nil"/>
            </w:tcBorders>
            <w:shd w:val="clear" w:color="auto" w:fill="auto"/>
            <w:noWrap/>
            <w:vAlign w:val="center"/>
            <w:hideMark/>
          </w:tcPr>
          <w:p w14:paraId="3093B0D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0.05 ± 0.02</w:t>
            </w:r>
          </w:p>
        </w:tc>
        <w:tc>
          <w:tcPr>
            <w:tcW w:w="851" w:type="dxa"/>
            <w:tcBorders>
              <w:top w:val="nil"/>
              <w:left w:val="nil"/>
              <w:bottom w:val="nil"/>
              <w:right w:val="single" w:sz="4" w:space="0" w:color="auto"/>
            </w:tcBorders>
            <w:shd w:val="clear" w:color="auto" w:fill="auto"/>
            <w:noWrap/>
            <w:vAlign w:val="center"/>
            <w:hideMark/>
          </w:tcPr>
          <w:p w14:paraId="2CF3906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1.67 ± 0.13</w:t>
            </w:r>
          </w:p>
        </w:tc>
        <w:tc>
          <w:tcPr>
            <w:tcW w:w="788" w:type="dxa"/>
            <w:tcBorders>
              <w:top w:val="nil"/>
              <w:left w:val="nil"/>
              <w:bottom w:val="nil"/>
              <w:right w:val="nil"/>
            </w:tcBorders>
            <w:shd w:val="clear" w:color="auto" w:fill="auto"/>
            <w:noWrap/>
            <w:vAlign w:val="center"/>
            <w:hideMark/>
          </w:tcPr>
          <w:p w14:paraId="16F8968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3.38 ± 0.31</w:t>
            </w:r>
          </w:p>
        </w:tc>
        <w:tc>
          <w:tcPr>
            <w:tcW w:w="850" w:type="dxa"/>
            <w:tcBorders>
              <w:top w:val="nil"/>
              <w:left w:val="nil"/>
              <w:bottom w:val="nil"/>
              <w:right w:val="nil"/>
            </w:tcBorders>
            <w:shd w:val="clear" w:color="auto" w:fill="auto"/>
            <w:noWrap/>
            <w:vAlign w:val="center"/>
            <w:hideMark/>
          </w:tcPr>
          <w:p w14:paraId="59B3158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0.62 ± 0.10</w:t>
            </w:r>
          </w:p>
        </w:tc>
        <w:tc>
          <w:tcPr>
            <w:tcW w:w="802" w:type="dxa"/>
            <w:tcBorders>
              <w:top w:val="nil"/>
              <w:left w:val="nil"/>
              <w:bottom w:val="nil"/>
              <w:right w:val="nil"/>
            </w:tcBorders>
            <w:shd w:val="clear" w:color="auto" w:fill="auto"/>
            <w:noWrap/>
            <w:vAlign w:val="center"/>
            <w:hideMark/>
          </w:tcPr>
          <w:p w14:paraId="464DB22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0.59 ± 0.07</w:t>
            </w:r>
          </w:p>
        </w:tc>
        <w:tc>
          <w:tcPr>
            <w:tcW w:w="809" w:type="dxa"/>
            <w:tcBorders>
              <w:top w:val="nil"/>
              <w:left w:val="nil"/>
              <w:bottom w:val="nil"/>
              <w:right w:val="nil"/>
            </w:tcBorders>
            <w:shd w:val="clear" w:color="auto" w:fill="auto"/>
            <w:noWrap/>
            <w:vAlign w:val="center"/>
            <w:hideMark/>
          </w:tcPr>
          <w:p w14:paraId="2DB7B73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0.73 ± 0.24</w:t>
            </w:r>
          </w:p>
        </w:tc>
        <w:tc>
          <w:tcPr>
            <w:tcW w:w="578" w:type="dxa"/>
            <w:tcBorders>
              <w:top w:val="nil"/>
              <w:left w:val="nil"/>
              <w:bottom w:val="nil"/>
              <w:right w:val="single" w:sz="4" w:space="0" w:color="auto"/>
            </w:tcBorders>
            <w:shd w:val="clear" w:color="auto" w:fill="auto"/>
            <w:noWrap/>
            <w:vAlign w:val="center"/>
            <w:hideMark/>
          </w:tcPr>
          <w:p w14:paraId="7BFD86C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113274B5"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5BC9A9E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W7</w:t>
            </w:r>
          </w:p>
        </w:tc>
        <w:tc>
          <w:tcPr>
            <w:tcW w:w="918" w:type="dxa"/>
            <w:tcBorders>
              <w:top w:val="nil"/>
              <w:left w:val="single" w:sz="4" w:space="0" w:color="auto"/>
              <w:bottom w:val="nil"/>
              <w:right w:val="single" w:sz="4" w:space="0" w:color="auto"/>
            </w:tcBorders>
            <w:shd w:val="clear" w:color="auto" w:fill="auto"/>
            <w:noWrap/>
            <w:vAlign w:val="center"/>
            <w:hideMark/>
          </w:tcPr>
          <w:p w14:paraId="6287FDA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34.99 ± 2.12</w:t>
            </w:r>
          </w:p>
        </w:tc>
        <w:tc>
          <w:tcPr>
            <w:tcW w:w="850" w:type="dxa"/>
            <w:tcBorders>
              <w:top w:val="nil"/>
              <w:left w:val="nil"/>
              <w:bottom w:val="nil"/>
              <w:right w:val="single" w:sz="4" w:space="0" w:color="auto"/>
            </w:tcBorders>
            <w:shd w:val="clear" w:color="auto" w:fill="auto"/>
            <w:noWrap/>
            <w:vAlign w:val="center"/>
            <w:hideMark/>
          </w:tcPr>
          <w:p w14:paraId="161AB76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2.21 ± 1.18</w:t>
            </w:r>
          </w:p>
        </w:tc>
        <w:tc>
          <w:tcPr>
            <w:tcW w:w="851" w:type="dxa"/>
            <w:tcBorders>
              <w:top w:val="nil"/>
              <w:left w:val="nil"/>
              <w:bottom w:val="nil"/>
              <w:right w:val="nil"/>
            </w:tcBorders>
            <w:shd w:val="clear" w:color="auto" w:fill="auto"/>
            <w:noWrap/>
            <w:vAlign w:val="center"/>
            <w:hideMark/>
          </w:tcPr>
          <w:p w14:paraId="19F9B13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1.29 ± 0.04</w:t>
            </w:r>
          </w:p>
        </w:tc>
        <w:tc>
          <w:tcPr>
            <w:tcW w:w="794" w:type="dxa"/>
            <w:tcBorders>
              <w:top w:val="nil"/>
              <w:left w:val="nil"/>
              <w:bottom w:val="nil"/>
              <w:right w:val="nil"/>
            </w:tcBorders>
            <w:shd w:val="clear" w:color="auto" w:fill="auto"/>
            <w:noWrap/>
            <w:vAlign w:val="center"/>
            <w:hideMark/>
          </w:tcPr>
          <w:p w14:paraId="1B0FA46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0.27</w:t>
            </w:r>
          </w:p>
        </w:tc>
        <w:tc>
          <w:tcPr>
            <w:tcW w:w="889" w:type="dxa"/>
            <w:tcBorders>
              <w:top w:val="nil"/>
              <w:left w:val="nil"/>
              <w:bottom w:val="nil"/>
              <w:right w:val="nil"/>
            </w:tcBorders>
            <w:shd w:val="clear" w:color="auto" w:fill="auto"/>
            <w:noWrap/>
            <w:vAlign w:val="center"/>
            <w:hideMark/>
          </w:tcPr>
          <w:p w14:paraId="4222EA1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6.23 ± 0.14</w:t>
            </w:r>
          </w:p>
        </w:tc>
        <w:tc>
          <w:tcPr>
            <w:tcW w:w="852" w:type="dxa"/>
            <w:tcBorders>
              <w:top w:val="nil"/>
              <w:left w:val="nil"/>
              <w:bottom w:val="nil"/>
              <w:right w:val="nil"/>
            </w:tcBorders>
            <w:shd w:val="clear" w:color="auto" w:fill="auto"/>
            <w:noWrap/>
            <w:vAlign w:val="center"/>
            <w:hideMark/>
          </w:tcPr>
          <w:p w14:paraId="507A888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1.95 ± 0.08</w:t>
            </w:r>
          </w:p>
        </w:tc>
        <w:tc>
          <w:tcPr>
            <w:tcW w:w="850" w:type="dxa"/>
            <w:tcBorders>
              <w:top w:val="nil"/>
              <w:left w:val="nil"/>
              <w:bottom w:val="nil"/>
              <w:right w:val="nil"/>
            </w:tcBorders>
            <w:shd w:val="clear" w:color="auto" w:fill="auto"/>
            <w:noWrap/>
            <w:vAlign w:val="center"/>
            <w:hideMark/>
          </w:tcPr>
          <w:p w14:paraId="07D4BB0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5.88 ± 0.90</w:t>
            </w:r>
          </w:p>
        </w:tc>
        <w:tc>
          <w:tcPr>
            <w:tcW w:w="811" w:type="dxa"/>
            <w:tcBorders>
              <w:top w:val="nil"/>
              <w:left w:val="nil"/>
              <w:bottom w:val="nil"/>
              <w:right w:val="nil"/>
            </w:tcBorders>
            <w:shd w:val="clear" w:color="auto" w:fill="auto"/>
            <w:noWrap/>
            <w:vAlign w:val="center"/>
            <w:hideMark/>
          </w:tcPr>
          <w:p w14:paraId="0716B09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4.19 ± 0.34</w:t>
            </w:r>
          </w:p>
        </w:tc>
        <w:tc>
          <w:tcPr>
            <w:tcW w:w="853" w:type="dxa"/>
            <w:tcBorders>
              <w:top w:val="nil"/>
              <w:left w:val="nil"/>
              <w:bottom w:val="nil"/>
              <w:right w:val="nil"/>
            </w:tcBorders>
            <w:shd w:val="clear" w:color="auto" w:fill="auto"/>
            <w:noWrap/>
            <w:vAlign w:val="center"/>
            <w:hideMark/>
          </w:tcPr>
          <w:p w14:paraId="0C805BA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2.28 ± 0.01</w:t>
            </w:r>
          </w:p>
        </w:tc>
        <w:tc>
          <w:tcPr>
            <w:tcW w:w="809" w:type="dxa"/>
            <w:gridSpan w:val="2"/>
            <w:tcBorders>
              <w:top w:val="nil"/>
              <w:left w:val="nil"/>
              <w:bottom w:val="nil"/>
              <w:right w:val="single" w:sz="4" w:space="0" w:color="auto"/>
            </w:tcBorders>
            <w:shd w:val="clear" w:color="auto" w:fill="auto"/>
            <w:noWrap/>
            <w:vAlign w:val="center"/>
            <w:hideMark/>
          </w:tcPr>
          <w:p w14:paraId="3349F41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0.75 ± 0.03</w:t>
            </w:r>
          </w:p>
        </w:tc>
        <w:tc>
          <w:tcPr>
            <w:tcW w:w="808" w:type="dxa"/>
            <w:tcBorders>
              <w:top w:val="nil"/>
              <w:left w:val="nil"/>
              <w:bottom w:val="nil"/>
              <w:right w:val="nil"/>
            </w:tcBorders>
            <w:shd w:val="clear" w:color="auto" w:fill="auto"/>
            <w:noWrap/>
            <w:vAlign w:val="center"/>
            <w:hideMark/>
          </w:tcPr>
          <w:p w14:paraId="37269E1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0.78 ± 0.16</w:t>
            </w:r>
          </w:p>
        </w:tc>
        <w:tc>
          <w:tcPr>
            <w:tcW w:w="790" w:type="dxa"/>
            <w:tcBorders>
              <w:top w:val="nil"/>
              <w:left w:val="nil"/>
              <w:bottom w:val="nil"/>
              <w:right w:val="nil"/>
            </w:tcBorders>
            <w:shd w:val="clear" w:color="auto" w:fill="auto"/>
            <w:noWrap/>
            <w:vAlign w:val="center"/>
            <w:hideMark/>
          </w:tcPr>
          <w:p w14:paraId="5F8C33A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0.26 ± 0.09</w:t>
            </w:r>
          </w:p>
        </w:tc>
        <w:tc>
          <w:tcPr>
            <w:tcW w:w="851" w:type="dxa"/>
            <w:tcBorders>
              <w:top w:val="nil"/>
              <w:left w:val="nil"/>
              <w:bottom w:val="nil"/>
              <w:right w:val="single" w:sz="4" w:space="0" w:color="auto"/>
            </w:tcBorders>
            <w:shd w:val="clear" w:color="auto" w:fill="auto"/>
            <w:noWrap/>
            <w:vAlign w:val="center"/>
            <w:hideMark/>
          </w:tcPr>
          <w:p w14:paraId="20A71A5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1.18 ± 0.24</w:t>
            </w:r>
          </w:p>
        </w:tc>
        <w:tc>
          <w:tcPr>
            <w:tcW w:w="788" w:type="dxa"/>
            <w:tcBorders>
              <w:top w:val="nil"/>
              <w:left w:val="nil"/>
              <w:bottom w:val="nil"/>
              <w:right w:val="nil"/>
            </w:tcBorders>
            <w:shd w:val="clear" w:color="auto" w:fill="auto"/>
            <w:noWrap/>
            <w:vAlign w:val="center"/>
            <w:hideMark/>
          </w:tcPr>
          <w:p w14:paraId="45AB233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4.83 ± 0.39</w:t>
            </w:r>
          </w:p>
        </w:tc>
        <w:tc>
          <w:tcPr>
            <w:tcW w:w="850" w:type="dxa"/>
            <w:tcBorders>
              <w:top w:val="nil"/>
              <w:left w:val="nil"/>
              <w:bottom w:val="nil"/>
              <w:right w:val="nil"/>
            </w:tcBorders>
            <w:shd w:val="clear" w:color="auto" w:fill="auto"/>
            <w:noWrap/>
            <w:vAlign w:val="center"/>
            <w:hideMark/>
          </w:tcPr>
          <w:p w14:paraId="517224F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0.96 ± 0.34</w:t>
            </w:r>
          </w:p>
        </w:tc>
        <w:tc>
          <w:tcPr>
            <w:tcW w:w="802" w:type="dxa"/>
            <w:tcBorders>
              <w:top w:val="nil"/>
              <w:left w:val="nil"/>
              <w:bottom w:val="nil"/>
              <w:right w:val="nil"/>
            </w:tcBorders>
            <w:shd w:val="clear" w:color="auto" w:fill="auto"/>
            <w:noWrap/>
            <w:vAlign w:val="center"/>
            <w:hideMark/>
          </w:tcPr>
          <w:p w14:paraId="2300A52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0.21</w:t>
            </w:r>
          </w:p>
        </w:tc>
        <w:tc>
          <w:tcPr>
            <w:tcW w:w="809" w:type="dxa"/>
            <w:tcBorders>
              <w:top w:val="nil"/>
              <w:left w:val="nil"/>
              <w:bottom w:val="nil"/>
              <w:right w:val="nil"/>
            </w:tcBorders>
            <w:shd w:val="clear" w:color="auto" w:fill="auto"/>
            <w:noWrap/>
            <w:vAlign w:val="center"/>
            <w:hideMark/>
          </w:tcPr>
          <w:p w14:paraId="6ACC439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0.67 ± 0.07</w:t>
            </w:r>
          </w:p>
        </w:tc>
        <w:tc>
          <w:tcPr>
            <w:tcW w:w="578" w:type="dxa"/>
            <w:tcBorders>
              <w:top w:val="nil"/>
              <w:left w:val="nil"/>
              <w:bottom w:val="nil"/>
              <w:right w:val="single" w:sz="4" w:space="0" w:color="auto"/>
            </w:tcBorders>
            <w:shd w:val="clear" w:color="auto" w:fill="auto"/>
            <w:noWrap/>
            <w:vAlign w:val="center"/>
            <w:hideMark/>
          </w:tcPr>
          <w:p w14:paraId="394B1A0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4B556D20"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57B4086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W8</w:t>
            </w:r>
          </w:p>
        </w:tc>
        <w:tc>
          <w:tcPr>
            <w:tcW w:w="918" w:type="dxa"/>
            <w:tcBorders>
              <w:top w:val="nil"/>
              <w:left w:val="single" w:sz="4" w:space="0" w:color="auto"/>
              <w:bottom w:val="nil"/>
              <w:right w:val="single" w:sz="4" w:space="0" w:color="auto"/>
            </w:tcBorders>
            <w:shd w:val="clear" w:color="auto" w:fill="auto"/>
            <w:noWrap/>
            <w:vAlign w:val="center"/>
            <w:hideMark/>
          </w:tcPr>
          <w:p w14:paraId="30B2A67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34.20 ± 1.69</w:t>
            </w:r>
          </w:p>
        </w:tc>
        <w:tc>
          <w:tcPr>
            <w:tcW w:w="850" w:type="dxa"/>
            <w:tcBorders>
              <w:top w:val="nil"/>
              <w:left w:val="nil"/>
              <w:bottom w:val="nil"/>
              <w:right w:val="single" w:sz="4" w:space="0" w:color="auto"/>
            </w:tcBorders>
            <w:shd w:val="clear" w:color="auto" w:fill="auto"/>
            <w:noWrap/>
            <w:vAlign w:val="center"/>
            <w:hideMark/>
          </w:tcPr>
          <w:p w14:paraId="50A9F22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2.22 ± 0.08</w:t>
            </w:r>
          </w:p>
        </w:tc>
        <w:tc>
          <w:tcPr>
            <w:tcW w:w="851" w:type="dxa"/>
            <w:tcBorders>
              <w:top w:val="nil"/>
              <w:left w:val="nil"/>
              <w:bottom w:val="nil"/>
              <w:right w:val="nil"/>
            </w:tcBorders>
            <w:shd w:val="clear" w:color="auto" w:fill="auto"/>
            <w:noWrap/>
            <w:vAlign w:val="center"/>
            <w:hideMark/>
          </w:tcPr>
          <w:p w14:paraId="22BBE63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1.25 ± 0.06</w:t>
            </w:r>
          </w:p>
        </w:tc>
        <w:tc>
          <w:tcPr>
            <w:tcW w:w="794" w:type="dxa"/>
            <w:tcBorders>
              <w:top w:val="nil"/>
              <w:left w:val="nil"/>
              <w:bottom w:val="nil"/>
              <w:right w:val="nil"/>
            </w:tcBorders>
            <w:shd w:val="clear" w:color="auto" w:fill="auto"/>
            <w:noWrap/>
            <w:vAlign w:val="center"/>
            <w:hideMark/>
          </w:tcPr>
          <w:p w14:paraId="1D7A8A5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0.14</w:t>
            </w:r>
          </w:p>
        </w:tc>
        <w:tc>
          <w:tcPr>
            <w:tcW w:w="889" w:type="dxa"/>
            <w:tcBorders>
              <w:top w:val="nil"/>
              <w:left w:val="nil"/>
              <w:bottom w:val="nil"/>
              <w:right w:val="nil"/>
            </w:tcBorders>
            <w:shd w:val="clear" w:color="auto" w:fill="auto"/>
            <w:noWrap/>
            <w:vAlign w:val="center"/>
            <w:hideMark/>
          </w:tcPr>
          <w:p w14:paraId="011B043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4.13 ± 0.32</w:t>
            </w:r>
          </w:p>
        </w:tc>
        <w:tc>
          <w:tcPr>
            <w:tcW w:w="852" w:type="dxa"/>
            <w:tcBorders>
              <w:top w:val="nil"/>
              <w:left w:val="nil"/>
              <w:bottom w:val="nil"/>
              <w:right w:val="nil"/>
            </w:tcBorders>
            <w:shd w:val="clear" w:color="auto" w:fill="auto"/>
            <w:noWrap/>
            <w:vAlign w:val="center"/>
            <w:hideMark/>
          </w:tcPr>
          <w:p w14:paraId="047D006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1.69 ± 0.06</w:t>
            </w:r>
          </w:p>
        </w:tc>
        <w:tc>
          <w:tcPr>
            <w:tcW w:w="850" w:type="dxa"/>
            <w:tcBorders>
              <w:top w:val="nil"/>
              <w:left w:val="nil"/>
              <w:bottom w:val="nil"/>
              <w:right w:val="nil"/>
            </w:tcBorders>
            <w:shd w:val="clear" w:color="auto" w:fill="auto"/>
            <w:noWrap/>
            <w:vAlign w:val="center"/>
            <w:hideMark/>
          </w:tcPr>
          <w:p w14:paraId="4A8459A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5.78 ± 0.43</w:t>
            </w:r>
          </w:p>
        </w:tc>
        <w:tc>
          <w:tcPr>
            <w:tcW w:w="811" w:type="dxa"/>
            <w:tcBorders>
              <w:top w:val="nil"/>
              <w:left w:val="nil"/>
              <w:bottom w:val="nil"/>
              <w:right w:val="nil"/>
            </w:tcBorders>
            <w:shd w:val="clear" w:color="auto" w:fill="auto"/>
            <w:noWrap/>
            <w:vAlign w:val="center"/>
            <w:hideMark/>
          </w:tcPr>
          <w:p w14:paraId="526FA3B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5.29 ± 0.03</w:t>
            </w:r>
          </w:p>
        </w:tc>
        <w:tc>
          <w:tcPr>
            <w:tcW w:w="853" w:type="dxa"/>
            <w:tcBorders>
              <w:top w:val="nil"/>
              <w:left w:val="nil"/>
              <w:bottom w:val="nil"/>
              <w:right w:val="nil"/>
            </w:tcBorders>
            <w:shd w:val="clear" w:color="auto" w:fill="auto"/>
            <w:noWrap/>
            <w:vAlign w:val="center"/>
            <w:hideMark/>
          </w:tcPr>
          <w:p w14:paraId="1FE90B8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1.90 ± 0.17</w:t>
            </w:r>
          </w:p>
        </w:tc>
        <w:tc>
          <w:tcPr>
            <w:tcW w:w="809" w:type="dxa"/>
            <w:gridSpan w:val="2"/>
            <w:tcBorders>
              <w:top w:val="nil"/>
              <w:left w:val="nil"/>
              <w:bottom w:val="nil"/>
              <w:right w:val="single" w:sz="4" w:space="0" w:color="auto"/>
            </w:tcBorders>
            <w:shd w:val="clear" w:color="auto" w:fill="auto"/>
            <w:noWrap/>
            <w:vAlign w:val="center"/>
            <w:hideMark/>
          </w:tcPr>
          <w:p w14:paraId="4A6C4F0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0.96 ± 0.02</w:t>
            </w:r>
          </w:p>
        </w:tc>
        <w:tc>
          <w:tcPr>
            <w:tcW w:w="808" w:type="dxa"/>
            <w:tcBorders>
              <w:top w:val="nil"/>
              <w:left w:val="nil"/>
              <w:bottom w:val="nil"/>
              <w:right w:val="nil"/>
            </w:tcBorders>
            <w:shd w:val="clear" w:color="auto" w:fill="auto"/>
            <w:noWrap/>
            <w:vAlign w:val="center"/>
            <w:hideMark/>
          </w:tcPr>
          <w:p w14:paraId="381F90B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0.77 ± 0.11</w:t>
            </w:r>
          </w:p>
        </w:tc>
        <w:tc>
          <w:tcPr>
            <w:tcW w:w="790" w:type="dxa"/>
            <w:tcBorders>
              <w:top w:val="nil"/>
              <w:left w:val="nil"/>
              <w:bottom w:val="nil"/>
              <w:right w:val="nil"/>
            </w:tcBorders>
            <w:shd w:val="clear" w:color="auto" w:fill="auto"/>
            <w:noWrap/>
            <w:vAlign w:val="center"/>
            <w:hideMark/>
          </w:tcPr>
          <w:p w14:paraId="2E005F0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0.19 ± 0.13</w:t>
            </w:r>
          </w:p>
        </w:tc>
        <w:tc>
          <w:tcPr>
            <w:tcW w:w="851" w:type="dxa"/>
            <w:tcBorders>
              <w:top w:val="nil"/>
              <w:left w:val="nil"/>
              <w:bottom w:val="nil"/>
              <w:right w:val="single" w:sz="4" w:space="0" w:color="auto"/>
            </w:tcBorders>
            <w:shd w:val="clear" w:color="auto" w:fill="auto"/>
            <w:noWrap/>
            <w:vAlign w:val="center"/>
            <w:hideMark/>
          </w:tcPr>
          <w:p w14:paraId="5F4B5EF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1.10 ± 0.19</w:t>
            </w:r>
          </w:p>
        </w:tc>
        <w:tc>
          <w:tcPr>
            <w:tcW w:w="788" w:type="dxa"/>
            <w:tcBorders>
              <w:top w:val="nil"/>
              <w:left w:val="nil"/>
              <w:bottom w:val="nil"/>
              <w:right w:val="nil"/>
            </w:tcBorders>
            <w:shd w:val="clear" w:color="auto" w:fill="auto"/>
            <w:noWrap/>
            <w:vAlign w:val="center"/>
            <w:hideMark/>
          </w:tcPr>
          <w:p w14:paraId="69883E5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5.73 ± 0.75</w:t>
            </w:r>
          </w:p>
        </w:tc>
        <w:tc>
          <w:tcPr>
            <w:tcW w:w="850" w:type="dxa"/>
            <w:tcBorders>
              <w:top w:val="nil"/>
              <w:left w:val="nil"/>
              <w:bottom w:val="nil"/>
              <w:right w:val="nil"/>
            </w:tcBorders>
            <w:shd w:val="clear" w:color="auto" w:fill="auto"/>
            <w:noWrap/>
            <w:vAlign w:val="center"/>
            <w:hideMark/>
          </w:tcPr>
          <w:p w14:paraId="2ACC8A6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0.98 ± 0.01</w:t>
            </w:r>
          </w:p>
        </w:tc>
        <w:tc>
          <w:tcPr>
            <w:tcW w:w="802" w:type="dxa"/>
            <w:tcBorders>
              <w:top w:val="nil"/>
              <w:left w:val="nil"/>
              <w:bottom w:val="nil"/>
              <w:right w:val="nil"/>
            </w:tcBorders>
            <w:shd w:val="clear" w:color="auto" w:fill="auto"/>
            <w:noWrap/>
            <w:vAlign w:val="center"/>
            <w:hideMark/>
          </w:tcPr>
          <w:p w14:paraId="03E6D33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0.42 ± 0.08</w:t>
            </w:r>
          </w:p>
        </w:tc>
        <w:tc>
          <w:tcPr>
            <w:tcW w:w="809" w:type="dxa"/>
            <w:tcBorders>
              <w:top w:val="nil"/>
              <w:left w:val="nil"/>
              <w:bottom w:val="nil"/>
              <w:right w:val="nil"/>
            </w:tcBorders>
            <w:shd w:val="clear" w:color="auto" w:fill="auto"/>
            <w:noWrap/>
            <w:vAlign w:val="center"/>
            <w:hideMark/>
          </w:tcPr>
          <w:p w14:paraId="4940814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0.68 ± 0.27</w:t>
            </w:r>
          </w:p>
        </w:tc>
        <w:tc>
          <w:tcPr>
            <w:tcW w:w="578" w:type="dxa"/>
            <w:tcBorders>
              <w:top w:val="nil"/>
              <w:left w:val="nil"/>
              <w:bottom w:val="nil"/>
              <w:right w:val="single" w:sz="4" w:space="0" w:color="auto"/>
            </w:tcBorders>
            <w:shd w:val="clear" w:color="auto" w:fill="auto"/>
            <w:noWrap/>
            <w:vAlign w:val="center"/>
            <w:hideMark/>
          </w:tcPr>
          <w:p w14:paraId="4AAC340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011DF4A4" w14:textId="77777777" w:rsidTr="007A4EAA">
        <w:trPr>
          <w:trHeight w:val="506"/>
        </w:trPr>
        <w:tc>
          <w:tcPr>
            <w:tcW w:w="840" w:type="dxa"/>
            <w:tcBorders>
              <w:top w:val="nil"/>
              <w:left w:val="single" w:sz="4" w:space="0" w:color="auto"/>
              <w:bottom w:val="single" w:sz="4" w:space="0" w:color="auto"/>
              <w:right w:val="nil"/>
            </w:tcBorders>
            <w:shd w:val="clear" w:color="auto" w:fill="auto"/>
            <w:noWrap/>
            <w:vAlign w:val="center"/>
            <w:hideMark/>
          </w:tcPr>
          <w:p w14:paraId="27484A6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W9</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1B5A385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31.44 ± 1.96</w:t>
            </w:r>
          </w:p>
        </w:tc>
        <w:tc>
          <w:tcPr>
            <w:tcW w:w="850" w:type="dxa"/>
            <w:tcBorders>
              <w:top w:val="nil"/>
              <w:left w:val="nil"/>
              <w:bottom w:val="single" w:sz="4" w:space="0" w:color="auto"/>
              <w:right w:val="single" w:sz="4" w:space="0" w:color="auto"/>
            </w:tcBorders>
            <w:shd w:val="clear" w:color="auto" w:fill="auto"/>
            <w:noWrap/>
            <w:vAlign w:val="center"/>
            <w:hideMark/>
          </w:tcPr>
          <w:p w14:paraId="6F3037E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2.16 ± 0.21</w:t>
            </w:r>
          </w:p>
        </w:tc>
        <w:tc>
          <w:tcPr>
            <w:tcW w:w="851" w:type="dxa"/>
            <w:tcBorders>
              <w:top w:val="nil"/>
              <w:left w:val="nil"/>
              <w:bottom w:val="single" w:sz="4" w:space="0" w:color="auto"/>
              <w:right w:val="nil"/>
            </w:tcBorders>
            <w:shd w:val="clear" w:color="auto" w:fill="auto"/>
            <w:noWrap/>
            <w:vAlign w:val="center"/>
            <w:hideMark/>
          </w:tcPr>
          <w:p w14:paraId="27DE3C2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1.35 ± 0.15</w:t>
            </w:r>
          </w:p>
        </w:tc>
        <w:tc>
          <w:tcPr>
            <w:tcW w:w="794" w:type="dxa"/>
            <w:tcBorders>
              <w:top w:val="nil"/>
              <w:left w:val="nil"/>
              <w:bottom w:val="single" w:sz="4" w:space="0" w:color="auto"/>
              <w:right w:val="nil"/>
            </w:tcBorders>
            <w:shd w:val="clear" w:color="auto" w:fill="auto"/>
            <w:noWrap/>
            <w:vAlign w:val="center"/>
            <w:hideMark/>
          </w:tcPr>
          <w:p w14:paraId="13B6F29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0.92 ± 0.38</w:t>
            </w:r>
          </w:p>
        </w:tc>
        <w:tc>
          <w:tcPr>
            <w:tcW w:w="889" w:type="dxa"/>
            <w:tcBorders>
              <w:top w:val="nil"/>
              <w:left w:val="nil"/>
              <w:bottom w:val="single" w:sz="4" w:space="0" w:color="auto"/>
              <w:right w:val="nil"/>
            </w:tcBorders>
            <w:shd w:val="clear" w:color="auto" w:fill="auto"/>
            <w:noWrap/>
            <w:vAlign w:val="center"/>
            <w:hideMark/>
          </w:tcPr>
          <w:p w14:paraId="6C859B2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3.42 ± 0.23</w:t>
            </w:r>
          </w:p>
        </w:tc>
        <w:tc>
          <w:tcPr>
            <w:tcW w:w="852" w:type="dxa"/>
            <w:tcBorders>
              <w:top w:val="nil"/>
              <w:left w:val="nil"/>
              <w:bottom w:val="single" w:sz="4" w:space="0" w:color="auto"/>
              <w:right w:val="nil"/>
            </w:tcBorders>
            <w:shd w:val="clear" w:color="auto" w:fill="auto"/>
            <w:noWrap/>
            <w:vAlign w:val="center"/>
            <w:hideMark/>
          </w:tcPr>
          <w:p w14:paraId="5C9E945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1.80 ± 0.42</w:t>
            </w:r>
          </w:p>
        </w:tc>
        <w:tc>
          <w:tcPr>
            <w:tcW w:w="850" w:type="dxa"/>
            <w:tcBorders>
              <w:top w:val="nil"/>
              <w:left w:val="nil"/>
              <w:bottom w:val="single" w:sz="4" w:space="0" w:color="auto"/>
              <w:right w:val="nil"/>
            </w:tcBorders>
            <w:shd w:val="clear" w:color="auto" w:fill="auto"/>
            <w:noWrap/>
            <w:vAlign w:val="center"/>
            <w:hideMark/>
          </w:tcPr>
          <w:p w14:paraId="4AACBD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5.37 ± 0.84</w:t>
            </w:r>
          </w:p>
        </w:tc>
        <w:tc>
          <w:tcPr>
            <w:tcW w:w="811" w:type="dxa"/>
            <w:tcBorders>
              <w:top w:val="nil"/>
              <w:left w:val="nil"/>
              <w:bottom w:val="single" w:sz="4" w:space="0" w:color="auto"/>
              <w:right w:val="nil"/>
            </w:tcBorders>
            <w:shd w:val="clear" w:color="auto" w:fill="auto"/>
            <w:noWrap/>
            <w:vAlign w:val="center"/>
            <w:hideMark/>
          </w:tcPr>
          <w:p w14:paraId="5FE3E65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3.85 ± 0.55</w:t>
            </w:r>
          </w:p>
        </w:tc>
        <w:tc>
          <w:tcPr>
            <w:tcW w:w="853" w:type="dxa"/>
            <w:tcBorders>
              <w:top w:val="nil"/>
              <w:left w:val="nil"/>
              <w:bottom w:val="single" w:sz="4" w:space="0" w:color="auto"/>
              <w:right w:val="nil"/>
            </w:tcBorders>
            <w:shd w:val="clear" w:color="auto" w:fill="auto"/>
            <w:noWrap/>
            <w:vAlign w:val="center"/>
            <w:hideMark/>
          </w:tcPr>
          <w:p w14:paraId="4509292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0.95 ± 0.03</w:t>
            </w:r>
          </w:p>
        </w:tc>
        <w:tc>
          <w:tcPr>
            <w:tcW w:w="809" w:type="dxa"/>
            <w:gridSpan w:val="2"/>
            <w:tcBorders>
              <w:top w:val="nil"/>
              <w:left w:val="nil"/>
              <w:bottom w:val="single" w:sz="4" w:space="0" w:color="auto"/>
              <w:right w:val="single" w:sz="4" w:space="0" w:color="auto"/>
            </w:tcBorders>
            <w:shd w:val="clear" w:color="auto" w:fill="auto"/>
            <w:noWrap/>
            <w:vAlign w:val="center"/>
            <w:hideMark/>
          </w:tcPr>
          <w:p w14:paraId="0B7D36F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0.61 ± 0.09</w:t>
            </w:r>
          </w:p>
        </w:tc>
        <w:tc>
          <w:tcPr>
            <w:tcW w:w="808" w:type="dxa"/>
            <w:tcBorders>
              <w:top w:val="nil"/>
              <w:left w:val="nil"/>
              <w:bottom w:val="single" w:sz="4" w:space="0" w:color="auto"/>
              <w:right w:val="nil"/>
            </w:tcBorders>
            <w:shd w:val="clear" w:color="auto" w:fill="auto"/>
            <w:noWrap/>
            <w:vAlign w:val="center"/>
            <w:hideMark/>
          </w:tcPr>
          <w:p w14:paraId="5DB3054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0.79 ± 0.05</w:t>
            </w:r>
          </w:p>
        </w:tc>
        <w:tc>
          <w:tcPr>
            <w:tcW w:w="790" w:type="dxa"/>
            <w:tcBorders>
              <w:top w:val="nil"/>
              <w:left w:val="nil"/>
              <w:bottom w:val="single" w:sz="4" w:space="0" w:color="auto"/>
              <w:right w:val="nil"/>
            </w:tcBorders>
            <w:shd w:val="clear" w:color="auto" w:fill="auto"/>
            <w:noWrap/>
            <w:vAlign w:val="center"/>
            <w:hideMark/>
          </w:tcPr>
          <w:p w14:paraId="37DEB40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0.36 ± 0.00</w:t>
            </w:r>
          </w:p>
        </w:tc>
        <w:tc>
          <w:tcPr>
            <w:tcW w:w="851" w:type="dxa"/>
            <w:tcBorders>
              <w:top w:val="nil"/>
              <w:left w:val="nil"/>
              <w:bottom w:val="single" w:sz="4" w:space="0" w:color="auto"/>
              <w:right w:val="single" w:sz="4" w:space="0" w:color="auto"/>
            </w:tcBorders>
            <w:shd w:val="clear" w:color="auto" w:fill="auto"/>
            <w:noWrap/>
            <w:vAlign w:val="center"/>
            <w:hideMark/>
          </w:tcPr>
          <w:p w14:paraId="75AC9F8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2.86 ± 0.05</w:t>
            </w:r>
          </w:p>
        </w:tc>
        <w:tc>
          <w:tcPr>
            <w:tcW w:w="788" w:type="dxa"/>
            <w:tcBorders>
              <w:top w:val="nil"/>
              <w:left w:val="nil"/>
              <w:bottom w:val="single" w:sz="4" w:space="0" w:color="auto"/>
              <w:right w:val="nil"/>
            </w:tcBorders>
            <w:shd w:val="clear" w:color="auto" w:fill="auto"/>
            <w:noWrap/>
            <w:vAlign w:val="center"/>
            <w:hideMark/>
          </w:tcPr>
          <w:p w14:paraId="7A718A2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5.24 ± 0.51</w:t>
            </w:r>
          </w:p>
        </w:tc>
        <w:tc>
          <w:tcPr>
            <w:tcW w:w="850" w:type="dxa"/>
            <w:tcBorders>
              <w:top w:val="nil"/>
              <w:left w:val="nil"/>
              <w:bottom w:val="single" w:sz="4" w:space="0" w:color="auto"/>
              <w:right w:val="nil"/>
            </w:tcBorders>
            <w:shd w:val="clear" w:color="auto" w:fill="auto"/>
            <w:noWrap/>
            <w:vAlign w:val="center"/>
            <w:hideMark/>
          </w:tcPr>
          <w:p w14:paraId="70CD374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0.61 ± 0.30</w:t>
            </w:r>
          </w:p>
        </w:tc>
        <w:tc>
          <w:tcPr>
            <w:tcW w:w="802" w:type="dxa"/>
            <w:tcBorders>
              <w:top w:val="nil"/>
              <w:left w:val="nil"/>
              <w:bottom w:val="single" w:sz="4" w:space="0" w:color="auto"/>
              <w:right w:val="nil"/>
            </w:tcBorders>
            <w:shd w:val="clear" w:color="auto" w:fill="auto"/>
            <w:noWrap/>
            <w:vAlign w:val="center"/>
            <w:hideMark/>
          </w:tcPr>
          <w:p w14:paraId="0BCDB10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0.01</w:t>
            </w:r>
          </w:p>
        </w:tc>
        <w:tc>
          <w:tcPr>
            <w:tcW w:w="809" w:type="dxa"/>
            <w:tcBorders>
              <w:top w:val="nil"/>
              <w:left w:val="nil"/>
              <w:bottom w:val="single" w:sz="4" w:space="0" w:color="auto"/>
              <w:right w:val="nil"/>
            </w:tcBorders>
            <w:shd w:val="clear" w:color="auto" w:fill="auto"/>
            <w:noWrap/>
            <w:vAlign w:val="center"/>
            <w:hideMark/>
          </w:tcPr>
          <w:p w14:paraId="6D0D091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0.69 ± 0.03</w:t>
            </w:r>
          </w:p>
        </w:tc>
        <w:tc>
          <w:tcPr>
            <w:tcW w:w="578" w:type="dxa"/>
            <w:tcBorders>
              <w:top w:val="nil"/>
              <w:left w:val="nil"/>
              <w:bottom w:val="single" w:sz="4" w:space="0" w:color="auto"/>
              <w:right w:val="single" w:sz="4" w:space="0" w:color="auto"/>
            </w:tcBorders>
            <w:shd w:val="clear" w:color="auto" w:fill="auto"/>
            <w:noWrap/>
            <w:vAlign w:val="center"/>
            <w:hideMark/>
          </w:tcPr>
          <w:p w14:paraId="2823D13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&lt;LOD</w:t>
            </w:r>
          </w:p>
        </w:tc>
      </w:tr>
      <w:tr w:rsidR="00403B14" w:rsidRPr="00403B14" w14:paraId="073A0761" w14:textId="77777777" w:rsidTr="007A4EAA">
        <w:trPr>
          <w:trHeight w:val="506"/>
        </w:trPr>
        <w:tc>
          <w:tcPr>
            <w:tcW w:w="15593" w:type="dxa"/>
            <w:gridSpan w:val="2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ED9E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ULW (µg L</w:t>
            </w:r>
            <w:r w:rsidRPr="00C91EC3">
              <w:rPr>
                <w:rFonts w:ascii="Times New Roman" w:hAnsi="Times New Roman"/>
                <w:color w:val="000000"/>
                <w:vertAlign w:val="superscript"/>
                <w:lang w:bidi="ar-SA"/>
              </w:rPr>
              <w:t>-1</w:t>
            </w:r>
            <w:r w:rsidRPr="00C91EC3">
              <w:rPr>
                <w:rFonts w:ascii="Times New Roman" w:hAnsi="Times New Roman"/>
                <w:color w:val="000000"/>
                <w:lang w:bidi="ar-SA"/>
              </w:rPr>
              <w:t>)</w:t>
            </w:r>
          </w:p>
        </w:tc>
      </w:tr>
      <w:tr w:rsidR="00403B14" w:rsidRPr="00403B14" w14:paraId="6545309D"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5839C38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Station</w:t>
            </w:r>
          </w:p>
        </w:tc>
        <w:tc>
          <w:tcPr>
            <w:tcW w:w="918" w:type="dxa"/>
            <w:tcBorders>
              <w:top w:val="nil"/>
              <w:left w:val="single" w:sz="4" w:space="0" w:color="auto"/>
              <w:bottom w:val="nil"/>
              <w:right w:val="single" w:sz="4" w:space="0" w:color="auto"/>
            </w:tcBorders>
            <w:shd w:val="clear" w:color="auto" w:fill="auto"/>
            <w:noWrap/>
            <w:vAlign w:val="center"/>
            <w:hideMark/>
          </w:tcPr>
          <w:p w14:paraId="3B0E906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 </w:t>
            </w:r>
          </w:p>
        </w:tc>
        <w:tc>
          <w:tcPr>
            <w:tcW w:w="850" w:type="dxa"/>
            <w:tcBorders>
              <w:top w:val="nil"/>
              <w:left w:val="nil"/>
              <w:bottom w:val="nil"/>
              <w:right w:val="single" w:sz="4" w:space="0" w:color="auto"/>
            </w:tcBorders>
            <w:shd w:val="clear" w:color="auto" w:fill="auto"/>
            <w:noWrap/>
            <w:vAlign w:val="center"/>
            <w:hideMark/>
          </w:tcPr>
          <w:p w14:paraId="38C64CA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 </w:t>
            </w:r>
          </w:p>
        </w:tc>
        <w:tc>
          <w:tcPr>
            <w:tcW w:w="6700"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2A788ED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Membrane lipids</w:t>
            </w:r>
          </w:p>
        </w:tc>
        <w:tc>
          <w:tcPr>
            <w:tcW w:w="2458"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E0BDF6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Intracellular reserve lipids</w:t>
            </w:r>
          </w:p>
        </w:tc>
        <w:tc>
          <w:tcPr>
            <w:tcW w:w="382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8879AA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Degradation indices</w:t>
            </w:r>
          </w:p>
        </w:tc>
      </w:tr>
      <w:tr w:rsidR="007A4EAA" w:rsidRPr="00403B14" w14:paraId="34209655" w14:textId="77777777" w:rsidTr="007A4EAA">
        <w:trPr>
          <w:trHeight w:val="506"/>
        </w:trPr>
        <w:tc>
          <w:tcPr>
            <w:tcW w:w="840" w:type="dxa"/>
            <w:tcBorders>
              <w:top w:val="single" w:sz="4" w:space="0" w:color="auto"/>
              <w:left w:val="single" w:sz="4" w:space="0" w:color="auto"/>
              <w:bottom w:val="single" w:sz="4" w:space="0" w:color="auto"/>
              <w:right w:val="nil"/>
            </w:tcBorders>
            <w:shd w:val="clear" w:color="auto" w:fill="auto"/>
            <w:noWrap/>
            <w:vAlign w:val="bottom"/>
            <w:hideMark/>
          </w:tcPr>
          <w:p w14:paraId="2A66F477" w14:textId="77777777" w:rsidR="00403B14" w:rsidRPr="00C91EC3" w:rsidRDefault="00403B14" w:rsidP="00403B14">
            <w:pPr>
              <w:spacing w:after="0" w:line="240" w:lineRule="auto"/>
              <w:rPr>
                <w:rFonts w:ascii="Times New Roman" w:hAnsi="Times New Roman"/>
                <w:color w:val="000000"/>
                <w:lang w:bidi="ar-SA"/>
              </w:rPr>
            </w:pPr>
            <w:r w:rsidRPr="00C91EC3">
              <w:rPr>
                <w:rFonts w:ascii="Times New Roman" w:hAnsi="Times New Roman"/>
                <w:color w:val="000000"/>
                <w:lang w:bidi="ar-SA"/>
              </w:rPr>
              <w:t> </w:t>
            </w:r>
          </w:p>
        </w:tc>
        <w:tc>
          <w:tcPr>
            <w:tcW w:w="918" w:type="dxa"/>
            <w:tcBorders>
              <w:top w:val="single" w:sz="4" w:space="0" w:color="auto"/>
              <w:left w:val="single" w:sz="4" w:space="0" w:color="auto"/>
              <w:bottom w:val="nil"/>
              <w:right w:val="single" w:sz="4" w:space="0" w:color="auto"/>
            </w:tcBorders>
            <w:shd w:val="clear" w:color="auto" w:fill="auto"/>
            <w:vAlign w:val="center"/>
            <w:hideMark/>
          </w:tcPr>
          <w:p w14:paraId="4ABD559E"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Total</w:t>
            </w:r>
          </w:p>
        </w:tc>
        <w:tc>
          <w:tcPr>
            <w:tcW w:w="850" w:type="dxa"/>
            <w:tcBorders>
              <w:top w:val="single" w:sz="4" w:space="0" w:color="auto"/>
              <w:left w:val="nil"/>
              <w:bottom w:val="nil"/>
              <w:right w:val="single" w:sz="4" w:space="0" w:color="auto"/>
            </w:tcBorders>
            <w:shd w:val="clear" w:color="auto" w:fill="auto"/>
            <w:noWrap/>
            <w:vAlign w:val="center"/>
            <w:hideMark/>
          </w:tcPr>
          <w:p w14:paraId="5C8A66D0"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HC</w:t>
            </w:r>
          </w:p>
        </w:tc>
        <w:tc>
          <w:tcPr>
            <w:tcW w:w="851" w:type="dxa"/>
            <w:tcBorders>
              <w:top w:val="nil"/>
              <w:left w:val="nil"/>
              <w:bottom w:val="nil"/>
              <w:right w:val="nil"/>
            </w:tcBorders>
            <w:shd w:val="clear" w:color="auto" w:fill="auto"/>
            <w:noWrap/>
            <w:vAlign w:val="center"/>
            <w:hideMark/>
          </w:tcPr>
          <w:p w14:paraId="4497204A"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ST</w:t>
            </w:r>
          </w:p>
        </w:tc>
        <w:tc>
          <w:tcPr>
            <w:tcW w:w="794" w:type="dxa"/>
            <w:tcBorders>
              <w:top w:val="nil"/>
              <w:left w:val="nil"/>
              <w:bottom w:val="nil"/>
              <w:right w:val="nil"/>
            </w:tcBorders>
            <w:shd w:val="clear" w:color="auto" w:fill="auto"/>
            <w:noWrap/>
            <w:vAlign w:val="center"/>
            <w:hideMark/>
          </w:tcPr>
          <w:p w14:paraId="74BE91D8"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PIG</w:t>
            </w:r>
          </w:p>
        </w:tc>
        <w:tc>
          <w:tcPr>
            <w:tcW w:w="889" w:type="dxa"/>
            <w:tcBorders>
              <w:top w:val="nil"/>
              <w:left w:val="nil"/>
              <w:bottom w:val="nil"/>
              <w:right w:val="nil"/>
            </w:tcBorders>
            <w:shd w:val="clear" w:color="auto" w:fill="auto"/>
            <w:noWrap/>
            <w:vAlign w:val="center"/>
            <w:hideMark/>
          </w:tcPr>
          <w:p w14:paraId="4DEDF8F0"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MGDG</w:t>
            </w:r>
          </w:p>
        </w:tc>
        <w:tc>
          <w:tcPr>
            <w:tcW w:w="852" w:type="dxa"/>
            <w:tcBorders>
              <w:top w:val="nil"/>
              <w:left w:val="nil"/>
              <w:bottom w:val="nil"/>
              <w:right w:val="nil"/>
            </w:tcBorders>
            <w:shd w:val="clear" w:color="auto" w:fill="auto"/>
            <w:noWrap/>
            <w:vAlign w:val="center"/>
            <w:hideMark/>
          </w:tcPr>
          <w:p w14:paraId="3D73F79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DGDG</w:t>
            </w:r>
          </w:p>
        </w:tc>
        <w:tc>
          <w:tcPr>
            <w:tcW w:w="850" w:type="dxa"/>
            <w:tcBorders>
              <w:top w:val="nil"/>
              <w:left w:val="nil"/>
              <w:bottom w:val="nil"/>
              <w:right w:val="nil"/>
            </w:tcBorders>
            <w:shd w:val="clear" w:color="auto" w:fill="auto"/>
            <w:noWrap/>
            <w:vAlign w:val="center"/>
            <w:hideMark/>
          </w:tcPr>
          <w:p w14:paraId="24ED2A2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SQDG</w:t>
            </w:r>
          </w:p>
        </w:tc>
        <w:tc>
          <w:tcPr>
            <w:tcW w:w="811" w:type="dxa"/>
            <w:tcBorders>
              <w:top w:val="nil"/>
              <w:left w:val="nil"/>
              <w:bottom w:val="nil"/>
              <w:right w:val="nil"/>
            </w:tcBorders>
            <w:shd w:val="clear" w:color="auto" w:fill="auto"/>
            <w:noWrap/>
            <w:vAlign w:val="center"/>
            <w:hideMark/>
          </w:tcPr>
          <w:p w14:paraId="3975ED29"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PG</w:t>
            </w:r>
          </w:p>
        </w:tc>
        <w:tc>
          <w:tcPr>
            <w:tcW w:w="853" w:type="dxa"/>
            <w:tcBorders>
              <w:top w:val="nil"/>
              <w:left w:val="nil"/>
              <w:bottom w:val="nil"/>
              <w:right w:val="nil"/>
            </w:tcBorders>
            <w:shd w:val="clear" w:color="auto" w:fill="auto"/>
            <w:noWrap/>
            <w:vAlign w:val="center"/>
            <w:hideMark/>
          </w:tcPr>
          <w:p w14:paraId="7C180812"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PE</w:t>
            </w:r>
          </w:p>
        </w:tc>
        <w:tc>
          <w:tcPr>
            <w:tcW w:w="809" w:type="dxa"/>
            <w:gridSpan w:val="2"/>
            <w:tcBorders>
              <w:top w:val="nil"/>
              <w:left w:val="nil"/>
              <w:bottom w:val="nil"/>
              <w:right w:val="single" w:sz="4" w:space="0" w:color="auto"/>
            </w:tcBorders>
            <w:shd w:val="clear" w:color="auto" w:fill="auto"/>
            <w:noWrap/>
            <w:vAlign w:val="center"/>
            <w:hideMark/>
          </w:tcPr>
          <w:p w14:paraId="40FA9400"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PC</w:t>
            </w:r>
          </w:p>
        </w:tc>
        <w:tc>
          <w:tcPr>
            <w:tcW w:w="808" w:type="dxa"/>
            <w:tcBorders>
              <w:top w:val="nil"/>
              <w:left w:val="nil"/>
              <w:bottom w:val="nil"/>
              <w:right w:val="nil"/>
            </w:tcBorders>
            <w:shd w:val="clear" w:color="auto" w:fill="auto"/>
            <w:noWrap/>
            <w:vAlign w:val="center"/>
            <w:hideMark/>
          </w:tcPr>
          <w:p w14:paraId="680C8868"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WE</w:t>
            </w:r>
          </w:p>
        </w:tc>
        <w:tc>
          <w:tcPr>
            <w:tcW w:w="790" w:type="dxa"/>
            <w:tcBorders>
              <w:top w:val="nil"/>
              <w:left w:val="nil"/>
              <w:bottom w:val="nil"/>
              <w:right w:val="nil"/>
            </w:tcBorders>
            <w:shd w:val="clear" w:color="auto" w:fill="auto"/>
            <w:noWrap/>
            <w:vAlign w:val="center"/>
            <w:hideMark/>
          </w:tcPr>
          <w:p w14:paraId="43D9F7C4"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ME</w:t>
            </w:r>
          </w:p>
        </w:tc>
        <w:tc>
          <w:tcPr>
            <w:tcW w:w="851" w:type="dxa"/>
            <w:tcBorders>
              <w:top w:val="nil"/>
              <w:left w:val="nil"/>
              <w:bottom w:val="nil"/>
              <w:right w:val="single" w:sz="4" w:space="0" w:color="auto"/>
            </w:tcBorders>
            <w:shd w:val="clear" w:color="auto" w:fill="auto"/>
            <w:noWrap/>
            <w:vAlign w:val="center"/>
            <w:hideMark/>
          </w:tcPr>
          <w:p w14:paraId="1C02E8F5"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TG</w:t>
            </w:r>
          </w:p>
        </w:tc>
        <w:tc>
          <w:tcPr>
            <w:tcW w:w="788" w:type="dxa"/>
            <w:tcBorders>
              <w:top w:val="nil"/>
              <w:left w:val="nil"/>
              <w:bottom w:val="nil"/>
              <w:right w:val="nil"/>
            </w:tcBorders>
            <w:shd w:val="clear" w:color="auto" w:fill="auto"/>
            <w:noWrap/>
            <w:vAlign w:val="center"/>
            <w:hideMark/>
          </w:tcPr>
          <w:p w14:paraId="36AFAECF"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FFA</w:t>
            </w:r>
          </w:p>
        </w:tc>
        <w:tc>
          <w:tcPr>
            <w:tcW w:w="850" w:type="dxa"/>
            <w:tcBorders>
              <w:top w:val="nil"/>
              <w:left w:val="nil"/>
              <w:bottom w:val="nil"/>
              <w:right w:val="nil"/>
            </w:tcBorders>
            <w:shd w:val="clear" w:color="auto" w:fill="auto"/>
            <w:noWrap/>
            <w:vAlign w:val="center"/>
            <w:hideMark/>
          </w:tcPr>
          <w:p w14:paraId="0CD210B2"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ALC</w:t>
            </w:r>
          </w:p>
        </w:tc>
        <w:tc>
          <w:tcPr>
            <w:tcW w:w="802" w:type="dxa"/>
            <w:tcBorders>
              <w:top w:val="nil"/>
              <w:left w:val="nil"/>
              <w:bottom w:val="nil"/>
              <w:right w:val="nil"/>
            </w:tcBorders>
            <w:shd w:val="clear" w:color="auto" w:fill="auto"/>
            <w:noWrap/>
            <w:vAlign w:val="center"/>
            <w:hideMark/>
          </w:tcPr>
          <w:p w14:paraId="71D739CE"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1,3 DG</w:t>
            </w:r>
          </w:p>
        </w:tc>
        <w:tc>
          <w:tcPr>
            <w:tcW w:w="809" w:type="dxa"/>
            <w:tcBorders>
              <w:top w:val="nil"/>
              <w:left w:val="nil"/>
              <w:bottom w:val="nil"/>
              <w:right w:val="nil"/>
            </w:tcBorders>
            <w:shd w:val="clear" w:color="auto" w:fill="auto"/>
            <w:noWrap/>
            <w:vAlign w:val="center"/>
            <w:hideMark/>
          </w:tcPr>
          <w:p w14:paraId="68D17611"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1,2DG</w:t>
            </w:r>
          </w:p>
        </w:tc>
        <w:tc>
          <w:tcPr>
            <w:tcW w:w="578" w:type="dxa"/>
            <w:tcBorders>
              <w:top w:val="nil"/>
              <w:left w:val="nil"/>
              <w:bottom w:val="nil"/>
              <w:right w:val="single" w:sz="4" w:space="0" w:color="auto"/>
            </w:tcBorders>
            <w:shd w:val="clear" w:color="auto" w:fill="auto"/>
            <w:noWrap/>
            <w:vAlign w:val="center"/>
            <w:hideMark/>
          </w:tcPr>
          <w:p w14:paraId="46AB491C" w14:textId="77777777" w:rsidR="00403B14" w:rsidRPr="00C91EC3" w:rsidRDefault="00403B14" w:rsidP="00403B14">
            <w:pPr>
              <w:spacing w:after="0" w:line="240" w:lineRule="auto"/>
              <w:jc w:val="center"/>
              <w:rPr>
                <w:rFonts w:ascii="Times New Roman" w:hAnsi="Times New Roman"/>
                <w:lang w:bidi="ar-SA"/>
              </w:rPr>
            </w:pPr>
            <w:r w:rsidRPr="00C91EC3">
              <w:rPr>
                <w:rFonts w:ascii="Times New Roman" w:hAnsi="Times New Roman"/>
                <w:lang w:bidi="ar-SA"/>
              </w:rPr>
              <w:t>MG</w:t>
            </w:r>
          </w:p>
        </w:tc>
      </w:tr>
      <w:tr w:rsidR="007A4EAA" w:rsidRPr="00403B14" w14:paraId="319ACAD8"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6134089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W1</w:t>
            </w:r>
          </w:p>
        </w:tc>
        <w:tc>
          <w:tcPr>
            <w:tcW w:w="918" w:type="dxa"/>
            <w:tcBorders>
              <w:top w:val="single" w:sz="4" w:space="0" w:color="auto"/>
              <w:left w:val="single" w:sz="4" w:space="0" w:color="auto"/>
              <w:bottom w:val="nil"/>
              <w:right w:val="single" w:sz="4" w:space="0" w:color="auto"/>
            </w:tcBorders>
            <w:shd w:val="clear" w:color="auto" w:fill="auto"/>
            <w:noWrap/>
            <w:vAlign w:val="center"/>
            <w:hideMark/>
          </w:tcPr>
          <w:p w14:paraId="2439FD7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22.73 ± 1.42</w:t>
            </w:r>
          </w:p>
        </w:tc>
        <w:tc>
          <w:tcPr>
            <w:tcW w:w="850" w:type="dxa"/>
            <w:tcBorders>
              <w:top w:val="single" w:sz="4" w:space="0" w:color="auto"/>
              <w:left w:val="nil"/>
              <w:bottom w:val="nil"/>
              <w:right w:val="single" w:sz="4" w:space="0" w:color="auto"/>
            </w:tcBorders>
            <w:shd w:val="clear" w:color="auto" w:fill="auto"/>
            <w:noWrap/>
            <w:vAlign w:val="center"/>
            <w:hideMark/>
          </w:tcPr>
          <w:p w14:paraId="5FBDA70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1.54 ± 0.05</w:t>
            </w:r>
          </w:p>
        </w:tc>
        <w:tc>
          <w:tcPr>
            <w:tcW w:w="851" w:type="dxa"/>
            <w:tcBorders>
              <w:top w:val="single" w:sz="4" w:space="0" w:color="auto"/>
              <w:left w:val="nil"/>
              <w:bottom w:val="nil"/>
              <w:right w:val="single" w:sz="4" w:space="0" w:color="auto"/>
            </w:tcBorders>
            <w:shd w:val="clear" w:color="auto" w:fill="auto"/>
            <w:noWrap/>
            <w:vAlign w:val="center"/>
            <w:hideMark/>
          </w:tcPr>
          <w:p w14:paraId="09BEA25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1.04 ± 0.06</w:t>
            </w:r>
          </w:p>
        </w:tc>
        <w:tc>
          <w:tcPr>
            <w:tcW w:w="794" w:type="dxa"/>
            <w:tcBorders>
              <w:top w:val="single" w:sz="4" w:space="0" w:color="auto"/>
              <w:left w:val="nil"/>
              <w:bottom w:val="nil"/>
              <w:right w:val="single" w:sz="4" w:space="0" w:color="auto"/>
            </w:tcBorders>
            <w:shd w:val="clear" w:color="auto" w:fill="auto"/>
            <w:noWrap/>
            <w:vAlign w:val="center"/>
            <w:hideMark/>
          </w:tcPr>
          <w:p w14:paraId="7166F72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0.43 ± 0.22</w:t>
            </w:r>
          </w:p>
        </w:tc>
        <w:tc>
          <w:tcPr>
            <w:tcW w:w="889" w:type="dxa"/>
            <w:tcBorders>
              <w:top w:val="single" w:sz="4" w:space="0" w:color="auto"/>
              <w:left w:val="nil"/>
              <w:bottom w:val="nil"/>
              <w:right w:val="single" w:sz="4" w:space="0" w:color="auto"/>
            </w:tcBorders>
            <w:shd w:val="clear" w:color="auto" w:fill="auto"/>
            <w:noWrap/>
            <w:vAlign w:val="center"/>
            <w:hideMark/>
          </w:tcPr>
          <w:p w14:paraId="1623EC8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1.10 ± 0.02</w:t>
            </w:r>
          </w:p>
        </w:tc>
        <w:tc>
          <w:tcPr>
            <w:tcW w:w="852" w:type="dxa"/>
            <w:tcBorders>
              <w:top w:val="single" w:sz="4" w:space="0" w:color="auto"/>
              <w:left w:val="nil"/>
              <w:bottom w:val="nil"/>
              <w:right w:val="single" w:sz="4" w:space="0" w:color="auto"/>
            </w:tcBorders>
            <w:shd w:val="clear" w:color="auto" w:fill="auto"/>
            <w:noWrap/>
            <w:vAlign w:val="center"/>
            <w:hideMark/>
          </w:tcPr>
          <w:p w14:paraId="7B34F53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0.79 ± 0.21</w:t>
            </w:r>
          </w:p>
        </w:tc>
        <w:tc>
          <w:tcPr>
            <w:tcW w:w="850" w:type="dxa"/>
            <w:tcBorders>
              <w:top w:val="single" w:sz="4" w:space="0" w:color="auto"/>
              <w:left w:val="nil"/>
              <w:bottom w:val="nil"/>
              <w:right w:val="single" w:sz="4" w:space="0" w:color="auto"/>
            </w:tcBorders>
            <w:shd w:val="clear" w:color="auto" w:fill="auto"/>
            <w:noWrap/>
            <w:vAlign w:val="center"/>
            <w:hideMark/>
          </w:tcPr>
          <w:p w14:paraId="39AF3AF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4.32 ± 0.01</w:t>
            </w:r>
          </w:p>
        </w:tc>
        <w:tc>
          <w:tcPr>
            <w:tcW w:w="811" w:type="dxa"/>
            <w:tcBorders>
              <w:top w:val="single" w:sz="4" w:space="0" w:color="auto"/>
              <w:left w:val="nil"/>
              <w:bottom w:val="nil"/>
              <w:right w:val="single" w:sz="4" w:space="0" w:color="auto"/>
            </w:tcBorders>
            <w:shd w:val="clear" w:color="auto" w:fill="auto"/>
            <w:noWrap/>
            <w:vAlign w:val="center"/>
            <w:hideMark/>
          </w:tcPr>
          <w:p w14:paraId="1275A10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3.33 ± 0.26</w:t>
            </w:r>
          </w:p>
        </w:tc>
        <w:tc>
          <w:tcPr>
            <w:tcW w:w="853" w:type="dxa"/>
            <w:tcBorders>
              <w:top w:val="single" w:sz="4" w:space="0" w:color="auto"/>
              <w:left w:val="nil"/>
              <w:bottom w:val="nil"/>
              <w:right w:val="single" w:sz="4" w:space="0" w:color="auto"/>
            </w:tcBorders>
            <w:shd w:val="clear" w:color="auto" w:fill="auto"/>
            <w:noWrap/>
            <w:vAlign w:val="center"/>
            <w:hideMark/>
          </w:tcPr>
          <w:p w14:paraId="45B00D3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3.03 ± 0.07</w:t>
            </w:r>
          </w:p>
        </w:tc>
        <w:tc>
          <w:tcPr>
            <w:tcW w:w="809" w:type="dxa"/>
            <w:gridSpan w:val="2"/>
            <w:tcBorders>
              <w:top w:val="single" w:sz="4" w:space="0" w:color="auto"/>
              <w:left w:val="nil"/>
              <w:bottom w:val="nil"/>
              <w:right w:val="single" w:sz="4" w:space="0" w:color="auto"/>
            </w:tcBorders>
            <w:shd w:val="clear" w:color="auto" w:fill="auto"/>
            <w:noWrap/>
            <w:vAlign w:val="center"/>
            <w:hideMark/>
          </w:tcPr>
          <w:p w14:paraId="0DF8F31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0.62 ± 0.01</w:t>
            </w:r>
          </w:p>
        </w:tc>
        <w:tc>
          <w:tcPr>
            <w:tcW w:w="808" w:type="dxa"/>
            <w:tcBorders>
              <w:top w:val="single" w:sz="4" w:space="0" w:color="auto"/>
              <w:left w:val="nil"/>
              <w:bottom w:val="nil"/>
              <w:right w:val="single" w:sz="4" w:space="0" w:color="auto"/>
            </w:tcBorders>
            <w:shd w:val="clear" w:color="auto" w:fill="auto"/>
            <w:noWrap/>
            <w:vAlign w:val="center"/>
            <w:hideMark/>
          </w:tcPr>
          <w:p w14:paraId="2292A4F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0.62 ± 0.06</w:t>
            </w:r>
          </w:p>
        </w:tc>
        <w:tc>
          <w:tcPr>
            <w:tcW w:w="790" w:type="dxa"/>
            <w:tcBorders>
              <w:top w:val="single" w:sz="4" w:space="0" w:color="auto"/>
              <w:left w:val="nil"/>
              <w:bottom w:val="nil"/>
              <w:right w:val="single" w:sz="4" w:space="0" w:color="auto"/>
            </w:tcBorders>
            <w:shd w:val="clear" w:color="auto" w:fill="auto"/>
            <w:noWrap/>
            <w:vAlign w:val="center"/>
            <w:hideMark/>
          </w:tcPr>
          <w:p w14:paraId="6ECEF82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0.11 ± 0.05</w:t>
            </w:r>
          </w:p>
        </w:tc>
        <w:tc>
          <w:tcPr>
            <w:tcW w:w="851" w:type="dxa"/>
            <w:tcBorders>
              <w:top w:val="single" w:sz="4" w:space="0" w:color="auto"/>
              <w:left w:val="nil"/>
              <w:bottom w:val="nil"/>
              <w:right w:val="single" w:sz="4" w:space="0" w:color="auto"/>
            </w:tcBorders>
            <w:shd w:val="clear" w:color="auto" w:fill="auto"/>
            <w:noWrap/>
            <w:vAlign w:val="center"/>
            <w:hideMark/>
          </w:tcPr>
          <w:p w14:paraId="1514113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0.91 ± 0.04</w:t>
            </w:r>
          </w:p>
        </w:tc>
        <w:tc>
          <w:tcPr>
            <w:tcW w:w="788" w:type="dxa"/>
            <w:tcBorders>
              <w:top w:val="single" w:sz="4" w:space="0" w:color="auto"/>
              <w:left w:val="nil"/>
              <w:bottom w:val="nil"/>
              <w:right w:val="single" w:sz="4" w:space="0" w:color="auto"/>
            </w:tcBorders>
            <w:shd w:val="clear" w:color="auto" w:fill="auto"/>
            <w:noWrap/>
            <w:vAlign w:val="center"/>
            <w:hideMark/>
          </w:tcPr>
          <w:p w14:paraId="3DE56BC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3.31 ± 0.61</w:t>
            </w:r>
          </w:p>
        </w:tc>
        <w:tc>
          <w:tcPr>
            <w:tcW w:w="850" w:type="dxa"/>
            <w:tcBorders>
              <w:top w:val="single" w:sz="4" w:space="0" w:color="auto"/>
              <w:left w:val="nil"/>
              <w:bottom w:val="nil"/>
              <w:right w:val="single" w:sz="4" w:space="0" w:color="auto"/>
            </w:tcBorders>
            <w:shd w:val="clear" w:color="auto" w:fill="auto"/>
            <w:noWrap/>
            <w:vAlign w:val="center"/>
            <w:hideMark/>
          </w:tcPr>
          <w:p w14:paraId="2564BAB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0.41 ± 0.00</w:t>
            </w:r>
          </w:p>
        </w:tc>
        <w:tc>
          <w:tcPr>
            <w:tcW w:w="802" w:type="dxa"/>
            <w:tcBorders>
              <w:top w:val="single" w:sz="4" w:space="0" w:color="auto"/>
              <w:left w:val="nil"/>
              <w:bottom w:val="nil"/>
              <w:right w:val="single" w:sz="4" w:space="0" w:color="auto"/>
            </w:tcBorders>
            <w:shd w:val="clear" w:color="auto" w:fill="auto"/>
            <w:noWrap/>
            <w:vAlign w:val="center"/>
            <w:hideMark/>
          </w:tcPr>
          <w:p w14:paraId="245BB6E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0.58 ± 0.06</w:t>
            </w:r>
          </w:p>
        </w:tc>
        <w:tc>
          <w:tcPr>
            <w:tcW w:w="809" w:type="dxa"/>
            <w:tcBorders>
              <w:top w:val="single" w:sz="4" w:space="0" w:color="auto"/>
              <w:left w:val="nil"/>
              <w:bottom w:val="nil"/>
              <w:right w:val="single" w:sz="4" w:space="0" w:color="auto"/>
            </w:tcBorders>
            <w:shd w:val="clear" w:color="auto" w:fill="auto"/>
            <w:noWrap/>
            <w:vAlign w:val="center"/>
            <w:hideMark/>
          </w:tcPr>
          <w:p w14:paraId="6D848D2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0.54 ± 0.28</w:t>
            </w:r>
          </w:p>
        </w:tc>
        <w:tc>
          <w:tcPr>
            <w:tcW w:w="578" w:type="dxa"/>
            <w:tcBorders>
              <w:top w:val="single" w:sz="4" w:space="0" w:color="auto"/>
              <w:left w:val="nil"/>
              <w:bottom w:val="nil"/>
              <w:right w:val="single" w:sz="4" w:space="0" w:color="auto"/>
            </w:tcBorders>
            <w:shd w:val="clear" w:color="auto" w:fill="auto"/>
            <w:noWrap/>
            <w:vAlign w:val="center"/>
            <w:hideMark/>
          </w:tcPr>
          <w:p w14:paraId="1127740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19302220"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1A6490F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lastRenderedPageBreak/>
              <w:t>W2</w:t>
            </w:r>
          </w:p>
        </w:tc>
        <w:tc>
          <w:tcPr>
            <w:tcW w:w="918" w:type="dxa"/>
            <w:tcBorders>
              <w:top w:val="nil"/>
              <w:left w:val="single" w:sz="4" w:space="0" w:color="auto"/>
              <w:bottom w:val="nil"/>
              <w:right w:val="single" w:sz="4" w:space="0" w:color="auto"/>
            </w:tcBorders>
            <w:shd w:val="clear" w:color="auto" w:fill="auto"/>
            <w:noWrap/>
            <w:vAlign w:val="center"/>
            <w:hideMark/>
          </w:tcPr>
          <w:p w14:paraId="1F194A8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28.66 ± 1.61</w:t>
            </w:r>
          </w:p>
        </w:tc>
        <w:tc>
          <w:tcPr>
            <w:tcW w:w="850" w:type="dxa"/>
            <w:tcBorders>
              <w:top w:val="nil"/>
              <w:left w:val="nil"/>
              <w:bottom w:val="nil"/>
              <w:right w:val="single" w:sz="4" w:space="0" w:color="auto"/>
            </w:tcBorders>
            <w:shd w:val="clear" w:color="auto" w:fill="auto"/>
            <w:noWrap/>
            <w:vAlign w:val="center"/>
            <w:hideMark/>
          </w:tcPr>
          <w:p w14:paraId="284D539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1.50 ± 0.09</w:t>
            </w:r>
          </w:p>
        </w:tc>
        <w:tc>
          <w:tcPr>
            <w:tcW w:w="851" w:type="dxa"/>
            <w:tcBorders>
              <w:top w:val="nil"/>
              <w:left w:val="nil"/>
              <w:bottom w:val="nil"/>
              <w:right w:val="single" w:sz="4" w:space="0" w:color="auto"/>
            </w:tcBorders>
            <w:shd w:val="clear" w:color="auto" w:fill="auto"/>
            <w:noWrap/>
            <w:vAlign w:val="center"/>
            <w:hideMark/>
          </w:tcPr>
          <w:p w14:paraId="398BCDC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1.86 ± 0.11</w:t>
            </w:r>
          </w:p>
        </w:tc>
        <w:tc>
          <w:tcPr>
            <w:tcW w:w="794" w:type="dxa"/>
            <w:tcBorders>
              <w:top w:val="nil"/>
              <w:left w:val="nil"/>
              <w:bottom w:val="nil"/>
              <w:right w:val="single" w:sz="4" w:space="0" w:color="auto"/>
            </w:tcBorders>
            <w:shd w:val="clear" w:color="auto" w:fill="auto"/>
            <w:noWrap/>
            <w:vAlign w:val="center"/>
            <w:hideMark/>
          </w:tcPr>
          <w:p w14:paraId="4362E91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0.47 ± 0.02</w:t>
            </w:r>
          </w:p>
        </w:tc>
        <w:tc>
          <w:tcPr>
            <w:tcW w:w="889" w:type="dxa"/>
            <w:tcBorders>
              <w:top w:val="nil"/>
              <w:left w:val="nil"/>
              <w:bottom w:val="nil"/>
              <w:right w:val="single" w:sz="4" w:space="0" w:color="auto"/>
            </w:tcBorders>
            <w:shd w:val="clear" w:color="auto" w:fill="auto"/>
            <w:noWrap/>
            <w:vAlign w:val="center"/>
            <w:hideMark/>
          </w:tcPr>
          <w:p w14:paraId="449428D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1.18 ± 0.21</w:t>
            </w:r>
          </w:p>
        </w:tc>
        <w:tc>
          <w:tcPr>
            <w:tcW w:w="852" w:type="dxa"/>
            <w:tcBorders>
              <w:top w:val="nil"/>
              <w:left w:val="nil"/>
              <w:bottom w:val="nil"/>
              <w:right w:val="single" w:sz="4" w:space="0" w:color="auto"/>
            </w:tcBorders>
            <w:shd w:val="clear" w:color="auto" w:fill="auto"/>
            <w:noWrap/>
            <w:vAlign w:val="center"/>
            <w:hideMark/>
          </w:tcPr>
          <w:p w14:paraId="02EF76A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0.14</w:t>
            </w:r>
          </w:p>
        </w:tc>
        <w:tc>
          <w:tcPr>
            <w:tcW w:w="850" w:type="dxa"/>
            <w:tcBorders>
              <w:top w:val="nil"/>
              <w:left w:val="nil"/>
              <w:bottom w:val="nil"/>
              <w:right w:val="single" w:sz="4" w:space="0" w:color="auto"/>
            </w:tcBorders>
            <w:shd w:val="clear" w:color="auto" w:fill="auto"/>
            <w:noWrap/>
            <w:vAlign w:val="center"/>
            <w:hideMark/>
          </w:tcPr>
          <w:p w14:paraId="37A7C78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5.07 ± 0.04</w:t>
            </w:r>
          </w:p>
        </w:tc>
        <w:tc>
          <w:tcPr>
            <w:tcW w:w="811" w:type="dxa"/>
            <w:tcBorders>
              <w:top w:val="nil"/>
              <w:left w:val="nil"/>
              <w:bottom w:val="nil"/>
              <w:right w:val="single" w:sz="4" w:space="0" w:color="auto"/>
            </w:tcBorders>
            <w:shd w:val="clear" w:color="auto" w:fill="auto"/>
            <w:noWrap/>
            <w:vAlign w:val="center"/>
            <w:hideMark/>
          </w:tcPr>
          <w:p w14:paraId="3A9D436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3.81 ± 0.29</w:t>
            </w:r>
          </w:p>
        </w:tc>
        <w:tc>
          <w:tcPr>
            <w:tcW w:w="853" w:type="dxa"/>
            <w:tcBorders>
              <w:top w:val="nil"/>
              <w:left w:val="nil"/>
              <w:bottom w:val="nil"/>
              <w:right w:val="single" w:sz="4" w:space="0" w:color="auto"/>
            </w:tcBorders>
            <w:shd w:val="clear" w:color="auto" w:fill="auto"/>
            <w:noWrap/>
            <w:vAlign w:val="center"/>
            <w:hideMark/>
          </w:tcPr>
          <w:p w14:paraId="3E2ED4D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3.46 ± 0.48</w:t>
            </w:r>
          </w:p>
        </w:tc>
        <w:tc>
          <w:tcPr>
            <w:tcW w:w="809" w:type="dxa"/>
            <w:gridSpan w:val="2"/>
            <w:tcBorders>
              <w:top w:val="nil"/>
              <w:left w:val="nil"/>
              <w:bottom w:val="nil"/>
              <w:right w:val="single" w:sz="4" w:space="0" w:color="auto"/>
            </w:tcBorders>
            <w:shd w:val="clear" w:color="auto" w:fill="auto"/>
            <w:noWrap/>
            <w:vAlign w:val="center"/>
            <w:hideMark/>
          </w:tcPr>
          <w:p w14:paraId="25A794C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1.00 ± 0.14</w:t>
            </w:r>
          </w:p>
        </w:tc>
        <w:tc>
          <w:tcPr>
            <w:tcW w:w="808" w:type="dxa"/>
            <w:tcBorders>
              <w:top w:val="nil"/>
              <w:left w:val="nil"/>
              <w:bottom w:val="nil"/>
              <w:right w:val="single" w:sz="4" w:space="0" w:color="auto"/>
            </w:tcBorders>
            <w:shd w:val="clear" w:color="auto" w:fill="auto"/>
            <w:noWrap/>
            <w:vAlign w:val="center"/>
            <w:hideMark/>
          </w:tcPr>
          <w:p w14:paraId="2903158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0.21 ± 0.01</w:t>
            </w:r>
          </w:p>
        </w:tc>
        <w:tc>
          <w:tcPr>
            <w:tcW w:w="790" w:type="dxa"/>
            <w:tcBorders>
              <w:top w:val="nil"/>
              <w:left w:val="nil"/>
              <w:bottom w:val="nil"/>
              <w:right w:val="single" w:sz="4" w:space="0" w:color="auto"/>
            </w:tcBorders>
            <w:shd w:val="clear" w:color="auto" w:fill="auto"/>
            <w:noWrap/>
            <w:vAlign w:val="center"/>
            <w:hideMark/>
          </w:tcPr>
          <w:p w14:paraId="765E566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0.10 ± 0.03</w:t>
            </w:r>
          </w:p>
        </w:tc>
        <w:tc>
          <w:tcPr>
            <w:tcW w:w="851" w:type="dxa"/>
            <w:tcBorders>
              <w:top w:val="nil"/>
              <w:left w:val="nil"/>
              <w:bottom w:val="nil"/>
              <w:right w:val="single" w:sz="4" w:space="0" w:color="auto"/>
            </w:tcBorders>
            <w:shd w:val="clear" w:color="auto" w:fill="auto"/>
            <w:noWrap/>
            <w:vAlign w:val="center"/>
            <w:hideMark/>
          </w:tcPr>
          <w:p w14:paraId="1C249BC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1.81 ± 0.50</w:t>
            </w:r>
          </w:p>
        </w:tc>
        <w:tc>
          <w:tcPr>
            <w:tcW w:w="788" w:type="dxa"/>
            <w:tcBorders>
              <w:top w:val="nil"/>
              <w:left w:val="nil"/>
              <w:bottom w:val="nil"/>
              <w:right w:val="single" w:sz="4" w:space="0" w:color="auto"/>
            </w:tcBorders>
            <w:shd w:val="clear" w:color="auto" w:fill="auto"/>
            <w:noWrap/>
            <w:vAlign w:val="center"/>
            <w:hideMark/>
          </w:tcPr>
          <w:p w14:paraId="4378371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5.70 ± 0.36</w:t>
            </w:r>
          </w:p>
        </w:tc>
        <w:tc>
          <w:tcPr>
            <w:tcW w:w="850" w:type="dxa"/>
            <w:tcBorders>
              <w:top w:val="nil"/>
              <w:left w:val="nil"/>
              <w:bottom w:val="nil"/>
              <w:right w:val="single" w:sz="4" w:space="0" w:color="auto"/>
            </w:tcBorders>
            <w:shd w:val="clear" w:color="auto" w:fill="auto"/>
            <w:noWrap/>
            <w:vAlign w:val="center"/>
            <w:hideMark/>
          </w:tcPr>
          <w:p w14:paraId="75E76B5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0.43 ± 0.08</w:t>
            </w:r>
          </w:p>
        </w:tc>
        <w:tc>
          <w:tcPr>
            <w:tcW w:w="802" w:type="dxa"/>
            <w:tcBorders>
              <w:top w:val="nil"/>
              <w:left w:val="nil"/>
              <w:bottom w:val="nil"/>
              <w:right w:val="single" w:sz="4" w:space="0" w:color="auto"/>
            </w:tcBorders>
            <w:shd w:val="clear" w:color="auto" w:fill="auto"/>
            <w:noWrap/>
            <w:vAlign w:val="center"/>
            <w:hideMark/>
          </w:tcPr>
          <w:p w14:paraId="4A0DC29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0.29 ± 0.01</w:t>
            </w:r>
          </w:p>
        </w:tc>
        <w:tc>
          <w:tcPr>
            <w:tcW w:w="809" w:type="dxa"/>
            <w:tcBorders>
              <w:top w:val="nil"/>
              <w:left w:val="nil"/>
              <w:bottom w:val="nil"/>
              <w:right w:val="single" w:sz="4" w:space="0" w:color="auto"/>
            </w:tcBorders>
            <w:shd w:val="clear" w:color="auto" w:fill="auto"/>
            <w:noWrap/>
            <w:vAlign w:val="center"/>
            <w:hideMark/>
          </w:tcPr>
          <w:p w14:paraId="0CEF20E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0.66 ± 0.07</w:t>
            </w:r>
          </w:p>
        </w:tc>
        <w:tc>
          <w:tcPr>
            <w:tcW w:w="578" w:type="dxa"/>
            <w:tcBorders>
              <w:top w:val="nil"/>
              <w:left w:val="nil"/>
              <w:bottom w:val="nil"/>
              <w:right w:val="single" w:sz="4" w:space="0" w:color="auto"/>
            </w:tcBorders>
            <w:shd w:val="clear" w:color="auto" w:fill="auto"/>
            <w:noWrap/>
            <w:vAlign w:val="center"/>
            <w:hideMark/>
          </w:tcPr>
          <w:p w14:paraId="4CCE160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0.02 ± 0.00</w:t>
            </w:r>
          </w:p>
        </w:tc>
      </w:tr>
      <w:tr w:rsidR="007A4EAA" w:rsidRPr="00403B14" w14:paraId="14CCC122"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6699EAB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W3</w:t>
            </w:r>
          </w:p>
        </w:tc>
        <w:tc>
          <w:tcPr>
            <w:tcW w:w="918" w:type="dxa"/>
            <w:tcBorders>
              <w:top w:val="nil"/>
              <w:left w:val="single" w:sz="4" w:space="0" w:color="auto"/>
              <w:bottom w:val="nil"/>
              <w:right w:val="single" w:sz="4" w:space="0" w:color="auto"/>
            </w:tcBorders>
            <w:shd w:val="clear" w:color="auto" w:fill="auto"/>
            <w:noWrap/>
            <w:vAlign w:val="center"/>
            <w:hideMark/>
          </w:tcPr>
          <w:p w14:paraId="39CE0DB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25.03 ± 1.58</w:t>
            </w:r>
          </w:p>
        </w:tc>
        <w:tc>
          <w:tcPr>
            <w:tcW w:w="850" w:type="dxa"/>
            <w:tcBorders>
              <w:top w:val="nil"/>
              <w:left w:val="nil"/>
              <w:bottom w:val="nil"/>
              <w:right w:val="single" w:sz="4" w:space="0" w:color="auto"/>
            </w:tcBorders>
            <w:shd w:val="clear" w:color="auto" w:fill="auto"/>
            <w:noWrap/>
            <w:vAlign w:val="center"/>
            <w:hideMark/>
          </w:tcPr>
          <w:p w14:paraId="30F1689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1.48 ± 0.05</w:t>
            </w:r>
          </w:p>
        </w:tc>
        <w:tc>
          <w:tcPr>
            <w:tcW w:w="851" w:type="dxa"/>
            <w:tcBorders>
              <w:top w:val="nil"/>
              <w:left w:val="nil"/>
              <w:bottom w:val="nil"/>
              <w:right w:val="single" w:sz="4" w:space="0" w:color="auto"/>
            </w:tcBorders>
            <w:shd w:val="clear" w:color="auto" w:fill="auto"/>
            <w:noWrap/>
            <w:vAlign w:val="center"/>
            <w:hideMark/>
          </w:tcPr>
          <w:p w14:paraId="384668C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1.06 ± 0.18</w:t>
            </w:r>
          </w:p>
        </w:tc>
        <w:tc>
          <w:tcPr>
            <w:tcW w:w="794" w:type="dxa"/>
            <w:tcBorders>
              <w:top w:val="nil"/>
              <w:left w:val="nil"/>
              <w:bottom w:val="nil"/>
              <w:right w:val="single" w:sz="4" w:space="0" w:color="auto"/>
            </w:tcBorders>
            <w:shd w:val="clear" w:color="auto" w:fill="auto"/>
            <w:noWrap/>
            <w:vAlign w:val="center"/>
            <w:hideMark/>
          </w:tcPr>
          <w:p w14:paraId="002DB6A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1.11 ± 0.01</w:t>
            </w:r>
          </w:p>
        </w:tc>
        <w:tc>
          <w:tcPr>
            <w:tcW w:w="889" w:type="dxa"/>
            <w:tcBorders>
              <w:top w:val="nil"/>
              <w:left w:val="nil"/>
              <w:bottom w:val="nil"/>
              <w:right w:val="single" w:sz="4" w:space="0" w:color="auto"/>
            </w:tcBorders>
            <w:shd w:val="clear" w:color="auto" w:fill="auto"/>
            <w:noWrap/>
            <w:vAlign w:val="center"/>
            <w:hideMark/>
          </w:tcPr>
          <w:p w14:paraId="74C4751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2.41 ± 0.24</w:t>
            </w:r>
          </w:p>
        </w:tc>
        <w:tc>
          <w:tcPr>
            <w:tcW w:w="852" w:type="dxa"/>
            <w:tcBorders>
              <w:top w:val="nil"/>
              <w:left w:val="nil"/>
              <w:bottom w:val="nil"/>
              <w:right w:val="single" w:sz="4" w:space="0" w:color="auto"/>
            </w:tcBorders>
            <w:shd w:val="clear" w:color="auto" w:fill="auto"/>
            <w:noWrap/>
            <w:vAlign w:val="center"/>
            <w:hideMark/>
          </w:tcPr>
          <w:p w14:paraId="2FCCC01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1.64 ± 0.13</w:t>
            </w:r>
          </w:p>
        </w:tc>
        <w:tc>
          <w:tcPr>
            <w:tcW w:w="850" w:type="dxa"/>
            <w:tcBorders>
              <w:top w:val="nil"/>
              <w:left w:val="nil"/>
              <w:bottom w:val="nil"/>
              <w:right w:val="single" w:sz="4" w:space="0" w:color="auto"/>
            </w:tcBorders>
            <w:shd w:val="clear" w:color="auto" w:fill="auto"/>
            <w:noWrap/>
            <w:vAlign w:val="center"/>
            <w:hideMark/>
          </w:tcPr>
          <w:p w14:paraId="5CF1CDD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2.44 ± 0.55</w:t>
            </w:r>
          </w:p>
        </w:tc>
        <w:tc>
          <w:tcPr>
            <w:tcW w:w="811" w:type="dxa"/>
            <w:tcBorders>
              <w:top w:val="nil"/>
              <w:left w:val="nil"/>
              <w:bottom w:val="nil"/>
              <w:right w:val="single" w:sz="4" w:space="0" w:color="auto"/>
            </w:tcBorders>
            <w:shd w:val="clear" w:color="auto" w:fill="auto"/>
            <w:noWrap/>
            <w:vAlign w:val="center"/>
            <w:hideMark/>
          </w:tcPr>
          <w:p w14:paraId="4373176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5.75 ± 0.42</w:t>
            </w:r>
          </w:p>
        </w:tc>
        <w:tc>
          <w:tcPr>
            <w:tcW w:w="853" w:type="dxa"/>
            <w:tcBorders>
              <w:top w:val="nil"/>
              <w:left w:val="nil"/>
              <w:bottom w:val="nil"/>
              <w:right w:val="single" w:sz="4" w:space="0" w:color="auto"/>
            </w:tcBorders>
            <w:shd w:val="clear" w:color="auto" w:fill="auto"/>
            <w:noWrap/>
            <w:vAlign w:val="center"/>
            <w:hideMark/>
          </w:tcPr>
          <w:p w14:paraId="3156E51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1.72 ± 0.22</w:t>
            </w:r>
          </w:p>
        </w:tc>
        <w:tc>
          <w:tcPr>
            <w:tcW w:w="809" w:type="dxa"/>
            <w:gridSpan w:val="2"/>
            <w:tcBorders>
              <w:top w:val="nil"/>
              <w:left w:val="nil"/>
              <w:bottom w:val="nil"/>
              <w:right w:val="single" w:sz="4" w:space="0" w:color="auto"/>
            </w:tcBorders>
            <w:shd w:val="clear" w:color="auto" w:fill="auto"/>
            <w:noWrap/>
            <w:vAlign w:val="center"/>
            <w:hideMark/>
          </w:tcPr>
          <w:p w14:paraId="6D9FDFD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0.88 ± 0.03</w:t>
            </w:r>
          </w:p>
        </w:tc>
        <w:tc>
          <w:tcPr>
            <w:tcW w:w="808" w:type="dxa"/>
            <w:tcBorders>
              <w:top w:val="nil"/>
              <w:left w:val="nil"/>
              <w:bottom w:val="nil"/>
              <w:right w:val="single" w:sz="4" w:space="0" w:color="auto"/>
            </w:tcBorders>
            <w:shd w:val="clear" w:color="auto" w:fill="auto"/>
            <w:noWrap/>
            <w:vAlign w:val="center"/>
            <w:hideMark/>
          </w:tcPr>
          <w:p w14:paraId="295C6E8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0.22 ± 0.01</w:t>
            </w:r>
          </w:p>
        </w:tc>
        <w:tc>
          <w:tcPr>
            <w:tcW w:w="790" w:type="dxa"/>
            <w:tcBorders>
              <w:top w:val="nil"/>
              <w:left w:val="nil"/>
              <w:bottom w:val="nil"/>
              <w:right w:val="single" w:sz="4" w:space="0" w:color="auto"/>
            </w:tcBorders>
            <w:shd w:val="clear" w:color="auto" w:fill="auto"/>
            <w:noWrap/>
            <w:vAlign w:val="center"/>
            <w:hideMark/>
          </w:tcPr>
          <w:p w14:paraId="5A08853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0.18 ± 0.10</w:t>
            </w:r>
          </w:p>
        </w:tc>
        <w:tc>
          <w:tcPr>
            <w:tcW w:w="851" w:type="dxa"/>
            <w:tcBorders>
              <w:top w:val="nil"/>
              <w:left w:val="nil"/>
              <w:bottom w:val="nil"/>
              <w:right w:val="single" w:sz="4" w:space="0" w:color="auto"/>
            </w:tcBorders>
            <w:shd w:val="clear" w:color="auto" w:fill="auto"/>
            <w:noWrap/>
            <w:vAlign w:val="center"/>
            <w:hideMark/>
          </w:tcPr>
          <w:p w14:paraId="13EB387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0.19</w:t>
            </w:r>
          </w:p>
        </w:tc>
        <w:tc>
          <w:tcPr>
            <w:tcW w:w="788" w:type="dxa"/>
            <w:tcBorders>
              <w:top w:val="nil"/>
              <w:left w:val="nil"/>
              <w:bottom w:val="nil"/>
              <w:right w:val="single" w:sz="4" w:space="0" w:color="auto"/>
            </w:tcBorders>
            <w:shd w:val="clear" w:color="auto" w:fill="auto"/>
            <w:noWrap/>
            <w:vAlign w:val="center"/>
            <w:hideMark/>
          </w:tcPr>
          <w:p w14:paraId="41E3056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3.43 ± 0.01</w:t>
            </w:r>
          </w:p>
        </w:tc>
        <w:tc>
          <w:tcPr>
            <w:tcW w:w="850" w:type="dxa"/>
            <w:tcBorders>
              <w:top w:val="nil"/>
              <w:left w:val="nil"/>
              <w:bottom w:val="nil"/>
              <w:right w:val="single" w:sz="4" w:space="0" w:color="auto"/>
            </w:tcBorders>
            <w:shd w:val="clear" w:color="auto" w:fill="auto"/>
            <w:noWrap/>
            <w:vAlign w:val="center"/>
            <w:hideMark/>
          </w:tcPr>
          <w:p w14:paraId="3D52184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0.91 ± 0.28</w:t>
            </w:r>
          </w:p>
        </w:tc>
        <w:tc>
          <w:tcPr>
            <w:tcW w:w="802" w:type="dxa"/>
            <w:tcBorders>
              <w:top w:val="nil"/>
              <w:left w:val="nil"/>
              <w:bottom w:val="nil"/>
              <w:right w:val="single" w:sz="4" w:space="0" w:color="auto"/>
            </w:tcBorders>
            <w:shd w:val="clear" w:color="auto" w:fill="auto"/>
            <w:noWrap/>
            <w:vAlign w:val="center"/>
            <w:hideMark/>
          </w:tcPr>
          <w:p w14:paraId="117A44E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0.35 ± 0.05</w:t>
            </w:r>
          </w:p>
        </w:tc>
        <w:tc>
          <w:tcPr>
            <w:tcW w:w="809" w:type="dxa"/>
            <w:tcBorders>
              <w:top w:val="nil"/>
              <w:left w:val="nil"/>
              <w:bottom w:val="nil"/>
              <w:right w:val="single" w:sz="4" w:space="0" w:color="auto"/>
            </w:tcBorders>
            <w:shd w:val="clear" w:color="auto" w:fill="auto"/>
            <w:noWrap/>
            <w:vAlign w:val="center"/>
            <w:hideMark/>
          </w:tcPr>
          <w:p w14:paraId="1AB2BF2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0.33 ± 0.03</w:t>
            </w:r>
          </w:p>
        </w:tc>
        <w:tc>
          <w:tcPr>
            <w:tcW w:w="578" w:type="dxa"/>
            <w:tcBorders>
              <w:top w:val="nil"/>
              <w:left w:val="nil"/>
              <w:bottom w:val="nil"/>
              <w:right w:val="single" w:sz="4" w:space="0" w:color="auto"/>
            </w:tcBorders>
            <w:shd w:val="clear" w:color="auto" w:fill="auto"/>
            <w:noWrap/>
            <w:vAlign w:val="center"/>
            <w:hideMark/>
          </w:tcPr>
          <w:p w14:paraId="565BA4C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0.05 ± 0.01</w:t>
            </w:r>
          </w:p>
        </w:tc>
      </w:tr>
      <w:tr w:rsidR="007A4EAA" w:rsidRPr="00403B14" w14:paraId="0232AE49"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0E19E53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W4</w:t>
            </w:r>
          </w:p>
        </w:tc>
        <w:tc>
          <w:tcPr>
            <w:tcW w:w="918" w:type="dxa"/>
            <w:tcBorders>
              <w:top w:val="nil"/>
              <w:left w:val="single" w:sz="4" w:space="0" w:color="auto"/>
              <w:bottom w:val="nil"/>
              <w:right w:val="single" w:sz="4" w:space="0" w:color="auto"/>
            </w:tcBorders>
            <w:shd w:val="clear" w:color="auto" w:fill="auto"/>
            <w:noWrap/>
            <w:vAlign w:val="center"/>
            <w:hideMark/>
          </w:tcPr>
          <w:p w14:paraId="127BE4E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26.05 ± 1.20</w:t>
            </w:r>
          </w:p>
        </w:tc>
        <w:tc>
          <w:tcPr>
            <w:tcW w:w="850" w:type="dxa"/>
            <w:tcBorders>
              <w:top w:val="nil"/>
              <w:left w:val="nil"/>
              <w:bottom w:val="nil"/>
              <w:right w:val="single" w:sz="4" w:space="0" w:color="auto"/>
            </w:tcBorders>
            <w:shd w:val="clear" w:color="auto" w:fill="auto"/>
            <w:noWrap/>
            <w:vAlign w:val="center"/>
            <w:hideMark/>
          </w:tcPr>
          <w:p w14:paraId="3609049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1.47 ± 0.15</w:t>
            </w:r>
          </w:p>
        </w:tc>
        <w:tc>
          <w:tcPr>
            <w:tcW w:w="851" w:type="dxa"/>
            <w:tcBorders>
              <w:top w:val="nil"/>
              <w:left w:val="nil"/>
              <w:bottom w:val="nil"/>
              <w:right w:val="single" w:sz="4" w:space="0" w:color="auto"/>
            </w:tcBorders>
            <w:shd w:val="clear" w:color="auto" w:fill="auto"/>
            <w:noWrap/>
            <w:vAlign w:val="center"/>
            <w:hideMark/>
          </w:tcPr>
          <w:p w14:paraId="13015E0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1.09 ± 0.06</w:t>
            </w:r>
          </w:p>
        </w:tc>
        <w:tc>
          <w:tcPr>
            <w:tcW w:w="794" w:type="dxa"/>
            <w:tcBorders>
              <w:top w:val="nil"/>
              <w:left w:val="nil"/>
              <w:bottom w:val="nil"/>
              <w:right w:val="single" w:sz="4" w:space="0" w:color="auto"/>
            </w:tcBorders>
            <w:shd w:val="clear" w:color="auto" w:fill="auto"/>
            <w:noWrap/>
            <w:vAlign w:val="center"/>
            <w:hideMark/>
          </w:tcPr>
          <w:p w14:paraId="36804E1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1.63 ± 0.23</w:t>
            </w:r>
          </w:p>
        </w:tc>
        <w:tc>
          <w:tcPr>
            <w:tcW w:w="889" w:type="dxa"/>
            <w:tcBorders>
              <w:top w:val="nil"/>
              <w:left w:val="nil"/>
              <w:bottom w:val="nil"/>
              <w:right w:val="single" w:sz="4" w:space="0" w:color="auto"/>
            </w:tcBorders>
            <w:shd w:val="clear" w:color="auto" w:fill="auto"/>
            <w:noWrap/>
            <w:vAlign w:val="center"/>
            <w:hideMark/>
          </w:tcPr>
          <w:p w14:paraId="733FA5C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1.81 ± 0.08</w:t>
            </w:r>
          </w:p>
        </w:tc>
        <w:tc>
          <w:tcPr>
            <w:tcW w:w="852" w:type="dxa"/>
            <w:tcBorders>
              <w:top w:val="nil"/>
              <w:left w:val="nil"/>
              <w:bottom w:val="nil"/>
              <w:right w:val="single" w:sz="4" w:space="0" w:color="auto"/>
            </w:tcBorders>
            <w:shd w:val="clear" w:color="auto" w:fill="auto"/>
            <w:noWrap/>
            <w:vAlign w:val="center"/>
            <w:hideMark/>
          </w:tcPr>
          <w:p w14:paraId="6BC6FD8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1.90 ± 0.07</w:t>
            </w:r>
          </w:p>
        </w:tc>
        <w:tc>
          <w:tcPr>
            <w:tcW w:w="850" w:type="dxa"/>
            <w:tcBorders>
              <w:top w:val="nil"/>
              <w:left w:val="nil"/>
              <w:bottom w:val="nil"/>
              <w:right w:val="single" w:sz="4" w:space="0" w:color="auto"/>
            </w:tcBorders>
            <w:shd w:val="clear" w:color="auto" w:fill="auto"/>
            <w:noWrap/>
            <w:vAlign w:val="center"/>
            <w:hideMark/>
          </w:tcPr>
          <w:p w14:paraId="4BF9469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2.93 ± 0.03</w:t>
            </w:r>
          </w:p>
        </w:tc>
        <w:tc>
          <w:tcPr>
            <w:tcW w:w="811" w:type="dxa"/>
            <w:tcBorders>
              <w:top w:val="nil"/>
              <w:left w:val="nil"/>
              <w:bottom w:val="nil"/>
              <w:right w:val="single" w:sz="4" w:space="0" w:color="auto"/>
            </w:tcBorders>
            <w:shd w:val="clear" w:color="auto" w:fill="auto"/>
            <w:noWrap/>
            <w:vAlign w:val="center"/>
            <w:hideMark/>
          </w:tcPr>
          <w:p w14:paraId="3514DB6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5.36 ± 0.04</w:t>
            </w:r>
          </w:p>
        </w:tc>
        <w:tc>
          <w:tcPr>
            <w:tcW w:w="853" w:type="dxa"/>
            <w:tcBorders>
              <w:top w:val="nil"/>
              <w:left w:val="nil"/>
              <w:bottom w:val="nil"/>
              <w:right w:val="single" w:sz="4" w:space="0" w:color="auto"/>
            </w:tcBorders>
            <w:shd w:val="clear" w:color="auto" w:fill="auto"/>
            <w:noWrap/>
            <w:vAlign w:val="center"/>
            <w:hideMark/>
          </w:tcPr>
          <w:p w14:paraId="7C31D72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2.21 ± 0.15</w:t>
            </w:r>
          </w:p>
        </w:tc>
        <w:tc>
          <w:tcPr>
            <w:tcW w:w="809" w:type="dxa"/>
            <w:gridSpan w:val="2"/>
            <w:tcBorders>
              <w:top w:val="nil"/>
              <w:left w:val="nil"/>
              <w:bottom w:val="nil"/>
              <w:right w:val="single" w:sz="4" w:space="0" w:color="auto"/>
            </w:tcBorders>
            <w:shd w:val="clear" w:color="auto" w:fill="auto"/>
            <w:noWrap/>
            <w:vAlign w:val="center"/>
            <w:hideMark/>
          </w:tcPr>
          <w:p w14:paraId="1F170F9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0.74 ± 0.04</w:t>
            </w:r>
          </w:p>
        </w:tc>
        <w:tc>
          <w:tcPr>
            <w:tcW w:w="808" w:type="dxa"/>
            <w:tcBorders>
              <w:top w:val="nil"/>
              <w:left w:val="nil"/>
              <w:bottom w:val="nil"/>
              <w:right w:val="single" w:sz="4" w:space="0" w:color="auto"/>
            </w:tcBorders>
            <w:shd w:val="clear" w:color="auto" w:fill="auto"/>
            <w:noWrap/>
            <w:vAlign w:val="center"/>
            <w:hideMark/>
          </w:tcPr>
          <w:p w14:paraId="52BDDE6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0.24 ± 0.02</w:t>
            </w:r>
          </w:p>
        </w:tc>
        <w:tc>
          <w:tcPr>
            <w:tcW w:w="790" w:type="dxa"/>
            <w:tcBorders>
              <w:top w:val="nil"/>
              <w:left w:val="nil"/>
              <w:bottom w:val="nil"/>
              <w:right w:val="single" w:sz="4" w:space="0" w:color="auto"/>
            </w:tcBorders>
            <w:shd w:val="clear" w:color="auto" w:fill="auto"/>
            <w:noWrap/>
            <w:vAlign w:val="center"/>
            <w:hideMark/>
          </w:tcPr>
          <w:p w14:paraId="590A31B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0.25 ± 0.00</w:t>
            </w:r>
          </w:p>
        </w:tc>
        <w:tc>
          <w:tcPr>
            <w:tcW w:w="851" w:type="dxa"/>
            <w:tcBorders>
              <w:top w:val="nil"/>
              <w:left w:val="nil"/>
              <w:bottom w:val="nil"/>
              <w:right w:val="single" w:sz="4" w:space="0" w:color="auto"/>
            </w:tcBorders>
            <w:shd w:val="clear" w:color="auto" w:fill="auto"/>
            <w:noWrap/>
            <w:vAlign w:val="center"/>
            <w:hideMark/>
          </w:tcPr>
          <w:p w14:paraId="772235E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0.96 ± 0.23</w:t>
            </w:r>
          </w:p>
        </w:tc>
        <w:tc>
          <w:tcPr>
            <w:tcW w:w="788" w:type="dxa"/>
            <w:tcBorders>
              <w:top w:val="nil"/>
              <w:left w:val="nil"/>
              <w:bottom w:val="nil"/>
              <w:right w:val="single" w:sz="4" w:space="0" w:color="auto"/>
            </w:tcBorders>
            <w:shd w:val="clear" w:color="auto" w:fill="auto"/>
            <w:noWrap/>
            <w:vAlign w:val="center"/>
            <w:hideMark/>
          </w:tcPr>
          <w:p w14:paraId="767C06B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3.66 ± 0.24</w:t>
            </w:r>
          </w:p>
        </w:tc>
        <w:tc>
          <w:tcPr>
            <w:tcW w:w="850" w:type="dxa"/>
            <w:tcBorders>
              <w:top w:val="nil"/>
              <w:left w:val="nil"/>
              <w:bottom w:val="nil"/>
              <w:right w:val="single" w:sz="4" w:space="0" w:color="auto"/>
            </w:tcBorders>
            <w:shd w:val="clear" w:color="auto" w:fill="auto"/>
            <w:noWrap/>
            <w:vAlign w:val="center"/>
            <w:hideMark/>
          </w:tcPr>
          <w:p w14:paraId="0F1A5BBF"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0.93 ± 0.07</w:t>
            </w:r>
          </w:p>
        </w:tc>
        <w:tc>
          <w:tcPr>
            <w:tcW w:w="802" w:type="dxa"/>
            <w:tcBorders>
              <w:top w:val="nil"/>
              <w:left w:val="nil"/>
              <w:bottom w:val="nil"/>
              <w:right w:val="single" w:sz="4" w:space="0" w:color="auto"/>
            </w:tcBorders>
            <w:shd w:val="clear" w:color="auto" w:fill="auto"/>
            <w:noWrap/>
            <w:vAlign w:val="center"/>
            <w:hideMark/>
          </w:tcPr>
          <w:p w14:paraId="013E69F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0.01</w:t>
            </w:r>
          </w:p>
        </w:tc>
        <w:tc>
          <w:tcPr>
            <w:tcW w:w="809" w:type="dxa"/>
            <w:tcBorders>
              <w:top w:val="nil"/>
              <w:left w:val="nil"/>
              <w:bottom w:val="nil"/>
              <w:right w:val="single" w:sz="4" w:space="0" w:color="auto"/>
            </w:tcBorders>
            <w:shd w:val="clear" w:color="auto" w:fill="auto"/>
            <w:noWrap/>
            <w:vAlign w:val="center"/>
            <w:hideMark/>
          </w:tcPr>
          <w:p w14:paraId="52739EF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0.42 ± 0.01</w:t>
            </w:r>
          </w:p>
        </w:tc>
        <w:tc>
          <w:tcPr>
            <w:tcW w:w="578" w:type="dxa"/>
            <w:tcBorders>
              <w:top w:val="nil"/>
              <w:left w:val="nil"/>
              <w:bottom w:val="nil"/>
              <w:right w:val="single" w:sz="4" w:space="0" w:color="auto"/>
            </w:tcBorders>
            <w:shd w:val="clear" w:color="auto" w:fill="auto"/>
            <w:noWrap/>
            <w:vAlign w:val="center"/>
            <w:hideMark/>
          </w:tcPr>
          <w:p w14:paraId="38A7389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0.02 ± 0.00</w:t>
            </w:r>
          </w:p>
        </w:tc>
      </w:tr>
      <w:tr w:rsidR="007A4EAA" w:rsidRPr="00403B14" w14:paraId="35DB0CDA"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6D54C73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W5</w:t>
            </w:r>
          </w:p>
        </w:tc>
        <w:tc>
          <w:tcPr>
            <w:tcW w:w="918" w:type="dxa"/>
            <w:tcBorders>
              <w:top w:val="nil"/>
              <w:left w:val="single" w:sz="4" w:space="0" w:color="auto"/>
              <w:bottom w:val="nil"/>
              <w:right w:val="single" w:sz="4" w:space="0" w:color="auto"/>
            </w:tcBorders>
            <w:shd w:val="clear" w:color="auto" w:fill="auto"/>
            <w:noWrap/>
            <w:vAlign w:val="center"/>
            <w:hideMark/>
          </w:tcPr>
          <w:p w14:paraId="686A5DC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21.50 ± 1.86</w:t>
            </w:r>
          </w:p>
        </w:tc>
        <w:tc>
          <w:tcPr>
            <w:tcW w:w="850" w:type="dxa"/>
            <w:tcBorders>
              <w:top w:val="nil"/>
              <w:left w:val="nil"/>
              <w:bottom w:val="nil"/>
              <w:right w:val="single" w:sz="4" w:space="0" w:color="auto"/>
            </w:tcBorders>
            <w:shd w:val="clear" w:color="auto" w:fill="auto"/>
            <w:noWrap/>
            <w:vAlign w:val="center"/>
            <w:hideMark/>
          </w:tcPr>
          <w:p w14:paraId="539C3D8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1.28 ± 0.37</w:t>
            </w:r>
          </w:p>
        </w:tc>
        <w:tc>
          <w:tcPr>
            <w:tcW w:w="851" w:type="dxa"/>
            <w:tcBorders>
              <w:top w:val="nil"/>
              <w:left w:val="nil"/>
              <w:bottom w:val="nil"/>
              <w:right w:val="single" w:sz="4" w:space="0" w:color="auto"/>
            </w:tcBorders>
            <w:shd w:val="clear" w:color="auto" w:fill="auto"/>
            <w:noWrap/>
            <w:vAlign w:val="center"/>
            <w:hideMark/>
          </w:tcPr>
          <w:p w14:paraId="2BF18AF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0.75 ± 0.19</w:t>
            </w:r>
          </w:p>
        </w:tc>
        <w:tc>
          <w:tcPr>
            <w:tcW w:w="794" w:type="dxa"/>
            <w:tcBorders>
              <w:top w:val="nil"/>
              <w:left w:val="nil"/>
              <w:bottom w:val="nil"/>
              <w:right w:val="single" w:sz="4" w:space="0" w:color="auto"/>
            </w:tcBorders>
            <w:shd w:val="clear" w:color="auto" w:fill="auto"/>
            <w:noWrap/>
            <w:vAlign w:val="center"/>
            <w:hideMark/>
          </w:tcPr>
          <w:p w14:paraId="6C6DB3B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0.85 ± 0.20</w:t>
            </w:r>
          </w:p>
        </w:tc>
        <w:tc>
          <w:tcPr>
            <w:tcW w:w="889" w:type="dxa"/>
            <w:tcBorders>
              <w:top w:val="nil"/>
              <w:left w:val="nil"/>
              <w:bottom w:val="nil"/>
              <w:right w:val="single" w:sz="4" w:space="0" w:color="auto"/>
            </w:tcBorders>
            <w:shd w:val="clear" w:color="auto" w:fill="auto"/>
            <w:noWrap/>
            <w:vAlign w:val="center"/>
            <w:hideMark/>
          </w:tcPr>
          <w:p w14:paraId="47939ED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1.20 ± 0.14</w:t>
            </w:r>
          </w:p>
        </w:tc>
        <w:tc>
          <w:tcPr>
            <w:tcW w:w="852" w:type="dxa"/>
            <w:tcBorders>
              <w:top w:val="nil"/>
              <w:left w:val="nil"/>
              <w:bottom w:val="nil"/>
              <w:right w:val="single" w:sz="4" w:space="0" w:color="auto"/>
            </w:tcBorders>
            <w:shd w:val="clear" w:color="auto" w:fill="auto"/>
            <w:noWrap/>
            <w:vAlign w:val="center"/>
            <w:hideMark/>
          </w:tcPr>
          <w:p w14:paraId="054061D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1.27 ± 0.10</w:t>
            </w:r>
          </w:p>
        </w:tc>
        <w:tc>
          <w:tcPr>
            <w:tcW w:w="850" w:type="dxa"/>
            <w:tcBorders>
              <w:top w:val="nil"/>
              <w:left w:val="nil"/>
              <w:bottom w:val="nil"/>
              <w:right w:val="single" w:sz="4" w:space="0" w:color="auto"/>
            </w:tcBorders>
            <w:shd w:val="clear" w:color="auto" w:fill="auto"/>
            <w:noWrap/>
            <w:vAlign w:val="center"/>
            <w:hideMark/>
          </w:tcPr>
          <w:p w14:paraId="11F530A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5.11 ± 0.50</w:t>
            </w:r>
          </w:p>
        </w:tc>
        <w:tc>
          <w:tcPr>
            <w:tcW w:w="811" w:type="dxa"/>
            <w:tcBorders>
              <w:top w:val="nil"/>
              <w:left w:val="nil"/>
              <w:bottom w:val="nil"/>
              <w:right w:val="single" w:sz="4" w:space="0" w:color="auto"/>
            </w:tcBorders>
            <w:shd w:val="clear" w:color="auto" w:fill="auto"/>
            <w:noWrap/>
            <w:vAlign w:val="center"/>
            <w:hideMark/>
          </w:tcPr>
          <w:p w14:paraId="0657F9B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4.28 ± 0.70</w:t>
            </w:r>
          </w:p>
        </w:tc>
        <w:tc>
          <w:tcPr>
            <w:tcW w:w="853" w:type="dxa"/>
            <w:tcBorders>
              <w:top w:val="nil"/>
              <w:left w:val="nil"/>
              <w:bottom w:val="nil"/>
              <w:right w:val="single" w:sz="4" w:space="0" w:color="auto"/>
            </w:tcBorders>
            <w:shd w:val="clear" w:color="auto" w:fill="auto"/>
            <w:noWrap/>
            <w:vAlign w:val="center"/>
            <w:hideMark/>
          </w:tcPr>
          <w:p w14:paraId="7814B2A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1.78 ± 0.09</w:t>
            </w:r>
          </w:p>
        </w:tc>
        <w:tc>
          <w:tcPr>
            <w:tcW w:w="809" w:type="dxa"/>
            <w:gridSpan w:val="2"/>
            <w:tcBorders>
              <w:top w:val="nil"/>
              <w:left w:val="nil"/>
              <w:bottom w:val="nil"/>
              <w:right w:val="single" w:sz="4" w:space="0" w:color="auto"/>
            </w:tcBorders>
            <w:shd w:val="clear" w:color="auto" w:fill="auto"/>
            <w:noWrap/>
            <w:vAlign w:val="center"/>
            <w:hideMark/>
          </w:tcPr>
          <w:p w14:paraId="4D16BF8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0.63 ± 0.08</w:t>
            </w:r>
          </w:p>
        </w:tc>
        <w:tc>
          <w:tcPr>
            <w:tcW w:w="808" w:type="dxa"/>
            <w:tcBorders>
              <w:top w:val="nil"/>
              <w:left w:val="nil"/>
              <w:bottom w:val="nil"/>
              <w:right w:val="single" w:sz="4" w:space="0" w:color="auto"/>
            </w:tcBorders>
            <w:shd w:val="clear" w:color="auto" w:fill="auto"/>
            <w:noWrap/>
            <w:vAlign w:val="center"/>
            <w:hideMark/>
          </w:tcPr>
          <w:p w14:paraId="7CBF936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0.27 ± 0.09</w:t>
            </w:r>
          </w:p>
        </w:tc>
        <w:tc>
          <w:tcPr>
            <w:tcW w:w="790" w:type="dxa"/>
            <w:tcBorders>
              <w:top w:val="nil"/>
              <w:left w:val="nil"/>
              <w:bottom w:val="nil"/>
              <w:right w:val="single" w:sz="4" w:space="0" w:color="auto"/>
            </w:tcBorders>
            <w:shd w:val="clear" w:color="auto" w:fill="auto"/>
            <w:noWrap/>
            <w:vAlign w:val="center"/>
            <w:hideMark/>
          </w:tcPr>
          <w:p w14:paraId="5C87016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0.03 ± 0.04</w:t>
            </w:r>
          </w:p>
        </w:tc>
        <w:tc>
          <w:tcPr>
            <w:tcW w:w="851" w:type="dxa"/>
            <w:tcBorders>
              <w:top w:val="nil"/>
              <w:left w:val="nil"/>
              <w:bottom w:val="nil"/>
              <w:right w:val="single" w:sz="4" w:space="0" w:color="auto"/>
            </w:tcBorders>
            <w:shd w:val="clear" w:color="auto" w:fill="auto"/>
            <w:noWrap/>
            <w:vAlign w:val="center"/>
            <w:hideMark/>
          </w:tcPr>
          <w:p w14:paraId="424DB9B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0.62 ± 0.06</w:t>
            </w:r>
          </w:p>
        </w:tc>
        <w:tc>
          <w:tcPr>
            <w:tcW w:w="788" w:type="dxa"/>
            <w:tcBorders>
              <w:top w:val="nil"/>
              <w:left w:val="nil"/>
              <w:bottom w:val="nil"/>
              <w:right w:val="single" w:sz="4" w:space="0" w:color="auto"/>
            </w:tcBorders>
            <w:shd w:val="clear" w:color="auto" w:fill="auto"/>
            <w:noWrap/>
            <w:vAlign w:val="center"/>
            <w:hideMark/>
          </w:tcPr>
          <w:p w14:paraId="3ADB620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2.13 ± 0.59</w:t>
            </w:r>
          </w:p>
        </w:tc>
        <w:tc>
          <w:tcPr>
            <w:tcW w:w="850" w:type="dxa"/>
            <w:tcBorders>
              <w:top w:val="nil"/>
              <w:left w:val="nil"/>
              <w:bottom w:val="nil"/>
              <w:right w:val="single" w:sz="4" w:space="0" w:color="auto"/>
            </w:tcBorders>
            <w:shd w:val="clear" w:color="auto" w:fill="auto"/>
            <w:noWrap/>
            <w:vAlign w:val="center"/>
            <w:hideMark/>
          </w:tcPr>
          <w:p w14:paraId="0D4C5C4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0.63 ± 0.09</w:t>
            </w:r>
          </w:p>
        </w:tc>
        <w:tc>
          <w:tcPr>
            <w:tcW w:w="802" w:type="dxa"/>
            <w:tcBorders>
              <w:top w:val="nil"/>
              <w:left w:val="nil"/>
              <w:bottom w:val="nil"/>
              <w:right w:val="single" w:sz="4" w:space="0" w:color="auto"/>
            </w:tcBorders>
            <w:shd w:val="clear" w:color="auto" w:fill="auto"/>
            <w:noWrap/>
            <w:vAlign w:val="center"/>
            <w:hideMark/>
          </w:tcPr>
          <w:p w14:paraId="457C7F9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0.23 ± 0.09</w:t>
            </w:r>
          </w:p>
        </w:tc>
        <w:tc>
          <w:tcPr>
            <w:tcW w:w="809" w:type="dxa"/>
            <w:tcBorders>
              <w:top w:val="nil"/>
              <w:left w:val="nil"/>
              <w:bottom w:val="nil"/>
              <w:right w:val="single" w:sz="4" w:space="0" w:color="auto"/>
            </w:tcBorders>
            <w:shd w:val="clear" w:color="auto" w:fill="auto"/>
            <w:noWrap/>
            <w:vAlign w:val="center"/>
            <w:hideMark/>
          </w:tcPr>
          <w:p w14:paraId="5438548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0.13</w:t>
            </w:r>
          </w:p>
        </w:tc>
        <w:tc>
          <w:tcPr>
            <w:tcW w:w="578" w:type="dxa"/>
            <w:tcBorders>
              <w:top w:val="nil"/>
              <w:left w:val="nil"/>
              <w:bottom w:val="nil"/>
              <w:right w:val="single" w:sz="4" w:space="0" w:color="auto"/>
            </w:tcBorders>
            <w:shd w:val="clear" w:color="auto" w:fill="auto"/>
            <w:noWrap/>
            <w:vAlign w:val="center"/>
            <w:hideMark/>
          </w:tcPr>
          <w:p w14:paraId="100F4BC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51EFE1BC"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2F88CED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W6</w:t>
            </w:r>
          </w:p>
        </w:tc>
        <w:tc>
          <w:tcPr>
            <w:tcW w:w="918" w:type="dxa"/>
            <w:tcBorders>
              <w:top w:val="nil"/>
              <w:left w:val="single" w:sz="4" w:space="0" w:color="auto"/>
              <w:bottom w:val="nil"/>
              <w:right w:val="single" w:sz="4" w:space="0" w:color="auto"/>
            </w:tcBorders>
            <w:shd w:val="clear" w:color="auto" w:fill="auto"/>
            <w:noWrap/>
            <w:vAlign w:val="center"/>
            <w:hideMark/>
          </w:tcPr>
          <w:p w14:paraId="2E73675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28.48 ± 2.72</w:t>
            </w:r>
          </w:p>
        </w:tc>
        <w:tc>
          <w:tcPr>
            <w:tcW w:w="850" w:type="dxa"/>
            <w:tcBorders>
              <w:top w:val="nil"/>
              <w:left w:val="nil"/>
              <w:bottom w:val="nil"/>
              <w:right w:val="single" w:sz="4" w:space="0" w:color="auto"/>
            </w:tcBorders>
            <w:shd w:val="clear" w:color="auto" w:fill="auto"/>
            <w:noWrap/>
            <w:vAlign w:val="center"/>
            <w:hideMark/>
          </w:tcPr>
          <w:p w14:paraId="1C515E8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1.64 ± 0.45</w:t>
            </w:r>
          </w:p>
        </w:tc>
        <w:tc>
          <w:tcPr>
            <w:tcW w:w="851" w:type="dxa"/>
            <w:tcBorders>
              <w:top w:val="nil"/>
              <w:left w:val="nil"/>
              <w:bottom w:val="nil"/>
              <w:right w:val="single" w:sz="4" w:space="0" w:color="auto"/>
            </w:tcBorders>
            <w:shd w:val="clear" w:color="auto" w:fill="auto"/>
            <w:noWrap/>
            <w:vAlign w:val="center"/>
            <w:hideMark/>
          </w:tcPr>
          <w:p w14:paraId="78A3878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0.90 ± 0.15</w:t>
            </w:r>
          </w:p>
        </w:tc>
        <w:tc>
          <w:tcPr>
            <w:tcW w:w="794" w:type="dxa"/>
            <w:tcBorders>
              <w:top w:val="nil"/>
              <w:left w:val="nil"/>
              <w:bottom w:val="nil"/>
              <w:right w:val="single" w:sz="4" w:space="0" w:color="auto"/>
            </w:tcBorders>
            <w:shd w:val="clear" w:color="auto" w:fill="auto"/>
            <w:noWrap/>
            <w:vAlign w:val="center"/>
            <w:hideMark/>
          </w:tcPr>
          <w:p w14:paraId="3492376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0.70 ± 0.22</w:t>
            </w:r>
          </w:p>
        </w:tc>
        <w:tc>
          <w:tcPr>
            <w:tcW w:w="889" w:type="dxa"/>
            <w:tcBorders>
              <w:top w:val="nil"/>
              <w:left w:val="nil"/>
              <w:bottom w:val="nil"/>
              <w:right w:val="single" w:sz="4" w:space="0" w:color="auto"/>
            </w:tcBorders>
            <w:shd w:val="clear" w:color="auto" w:fill="auto"/>
            <w:noWrap/>
            <w:vAlign w:val="center"/>
            <w:hideMark/>
          </w:tcPr>
          <w:p w14:paraId="6863641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1.38 ± 0.43</w:t>
            </w:r>
          </w:p>
        </w:tc>
        <w:tc>
          <w:tcPr>
            <w:tcW w:w="852" w:type="dxa"/>
            <w:tcBorders>
              <w:top w:val="nil"/>
              <w:left w:val="nil"/>
              <w:bottom w:val="nil"/>
              <w:right w:val="single" w:sz="4" w:space="0" w:color="auto"/>
            </w:tcBorders>
            <w:shd w:val="clear" w:color="auto" w:fill="auto"/>
            <w:noWrap/>
            <w:vAlign w:val="center"/>
            <w:hideMark/>
          </w:tcPr>
          <w:p w14:paraId="4802EC9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1.84 ± 0.09</w:t>
            </w:r>
          </w:p>
        </w:tc>
        <w:tc>
          <w:tcPr>
            <w:tcW w:w="850" w:type="dxa"/>
            <w:tcBorders>
              <w:top w:val="nil"/>
              <w:left w:val="nil"/>
              <w:bottom w:val="nil"/>
              <w:right w:val="single" w:sz="4" w:space="0" w:color="auto"/>
            </w:tcBorders>
            <w:shd w:val="clear" w:color="auto" w:fill="auto"/>
            <w:noWrap/>
            <w:vAlign w:val="center"/>
            <w:hideMark/>
          </w:tcPr>
          <w:p w14:paraId="333B45D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5.79 ± 1.39</w:t>
            </w:r>
          </w:p>
        </w:tc>
        <w:tc>
          <w:tcPr>
            <w:tcW w:w="811" w:type="dxa"/>
            <w:tcBorders>
              <w:top w:val="nil"/>
              <w:left w:val="nil"/>
              <w:bottom w:val="nil"/>
              <w:right w:val="single" w:sz="4" w:space="0" w:color="auto"/>
            </w:tcBorders>
            <w:shd w:val="clear" w:color="auto" w:fill="auto"/>
            <w:noWrap/>
            <w:vAlign w:val="center"/>
            <w:hideMark/>
          </w:tcPr>
          <w:p w14:paraId="03F2C23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6.92 ± 3.05</w:t>
            </w:r>
          </w:p>
        </w:tc>
        <w:tc>
          <w:tcPr>
            <w:tcW w:w="853" w:type="dxa"/>
            <w:tcBorders>
              <w:top w:val="nil"/>
              <w:left w:val="nil"/>
              <w:bottom w:val="nil"/>
              <w:right w:val="single" w:sz="4" w:space="0" w:color="auto"/>
            </w:tcBorders>
            <w:shd w:val="clear" w:color="auto" w:fill="auto"/>
            <w:noWrap/>
            <w:vAlign w:val="center"/>
            <w:hideMark/>
          </w:tcPr>
          <w:p w14:paraId="1311768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2.28 ± 0.40</w:t>
            </w:r>
          </w:p>
        </w:tc>
        <w:tc>
          <w:tcPr>
            <w:tcW w:w="809" w:type="dxa"/>
            <w:gridSpan w:val="2"/>
            <w:tcBorders>
              <w:top w:val="nil"/>
              <w:left w:val="nil"/>
              <w:bottom w:val="nil"/>
              <w:right w:val="single" w:sz="4" w:space="0" w:color="auto"/>
            </w:tcBorders>
            <w:shd w:val="clear" w:color="auto" w:fill="auto"/>
            <w:noWrap/>
            <w:vAlign w:val="center"/>
            <w:hideMark/>
          </w:tcPr>
          <w:p w14:paraId="1FFDA60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0.51 ± 0.02</w:t>
            </w:r>
          </w:p>
        </w:tc>
        <w:tc>
          <w:tcPr>
            <w:tcW w:w="808" w:type="dxa"/>
            <w:tcBorders>
              <w:top w:val="nil"/>
              <w:left w:val="nil"/>
              <w:bottom w:val="nil"/>
              <w:right w:val="single" w:sz="4" w:space="0" w:color="auto"/>
            </w:tcBorders>
            <w:shd w:val="clear" w:color="auto" w:fill="auto"/>
            <w:noWrap/>
            <w:vAlign w:val="center"/>
            <w:hideMark/>
          </w:tcPr>
          <w:p w14:paraId="60D7848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0.45 ± 0.23</w:t>
            </w:r>
          </w:p>
        </w:tc>
        <w:tc>
          <w:tcPr>
            <w:tcW w:w="790" w:type="dxa"/>
            <w:tcBorders>
              <w:top w:val="nil"/>
              <w:left w:val="nil"/>
              <w:bottom w:val="nil"/>
              <w:right w:val="single" w:sz="4" w:space="0" w:color="auto"/>
            </w:tcBorders>
            <w:shd w:val="clear" w:color="auto" w:fill="auto"/>
            <w:noWrap/>
            <w:vAlign w:val="center"/>
            <w:hideMark/>
          </w:tcPr>
          <w:p w14:paraId="47051AE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0.16 ± 0.09</w:t>
            </w:r>
          </w:p>
        </w:tc>
        <w:tc>
          <w:tcPr>
            <w:tcW w:w="851" w:type="dxa"/>
            <w:tcBorders>
              <w:top w:val="nil"/>
              <w:left w:val="nil"/>
              <w:bottom w:val="nil"/>
              <w:right w:val="single" w:sz="4" w:space="0" w:color="auto"/>
            </w:tcBorders>
            <w:shd w:val="clear" w:color="auto" w:fill="auto"/>
            <w:noWrap/>
            <w:vAlign w:val="center"/>
            <w:hideMark/>
          </w:tcPr>
          <w:p w14:paraId="29E59ED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0.50 ± 0.08</w:t>
            </w:r>
          </w:p>
        </w:tc>
        <w:tc>
          <w:tcPr>
            <w:tcW w:w="788" w:type="dxa"/>
            <w:tcBorders>
              <w:top w:val="nil"/>
              <w:left w:val="nil"/>
              <w:bottom w:val="nil"/>
              <w:right w:val="single" w:sz="4" w:space="0" w:color="auto"/>
            </w:tcBorders>
            <w:shd w:val="clear" w:color="auto" w:fill="auto"/>
            <w:noWrap/>
            <w:vAlign w:val="center"/>
            <w:hideMark/>
          </w:tcPr>
          <w:p w14:paraId="690B0A7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3.83 ± 0.13</w:t>
            </w:r>
          </w:p>
        </w:tc>
        <w:tc>
          <w:tcPr>
            <w:tcW w:w="850" w:type="dxa"/>
            <w:tcBorders>
              <w:top w:val="nil"/>
              <w:left w:val="nil"/>
              <w:bottom w:val="nil"/>
              <w:right w:val="single" w:sz="4" w:space="0" w:color="auto"/>
            </w:tcBorders>
            <w:shd w:val="clear" w:color="auto" w:fill="auto"/>
            <w:noWrap/>
            <w:vAlign w:val="center"/>
            <w:hideMark/>
          </w:tcPr>
          <w:p w14:paraId="679DAD8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0.73 ± 0.24</w:t>
            </w:r>
          </w:p>
        </w:tc>
        <w:tc>
          <w:tcPr>
            <w:tcW w:w="802" w:type="dxa"/>
            <w:tcBorders>
              <w:top w:val="nil"/>
              <w:left w:val="nil"/>
              <w:bottom w:val="nil"/>
              <w:right w:val="single" w:sz="4" w:space="0" w:color="auto"/>
            </w:tcBorders>
            <w:shd w:val="clear" w:color="auto" w:fill="auto"/>
            <w:noWrap/>
            <w:vAlign w:val="center"/>
            <w:hideMark/>
          </w:tcPr>
          <w:p w14:paraId="271711A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0.30 ± 0.18</w:t>
            </w:r>
          </w:p>
        </w:tc>
        <w:tc>
          <w:tcPr>
            <w:tcW w:w="809" w:type="dxa"/>
            <w:tcBorders>
              <w:top w:val="nil"/>
              <w:left w:val="nil"/>
              <w:bottom w:val="nil"/>
              <w:right w:val="single" w:sz="4" w:space="0" w:color="auto"/>
            </w:tcBorders>
            <w:shd w:val="clear" w:color="auto" w:fill="auto"/>
            <w:noWrap/>
            <w:vAlign w:val="center"/>
            <w:hideMark/>
          </w:tcPr>
          <w:p w14:paraId="3B0BEB1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0.54 ± 0.24</w:t>
            </w:r>
          </w:p>
        </w:tc>
        <w:tc>
          <w:tcPr>
            <w:tcW w:w="578" w:type="dxa"/>
            <w:tcBorders>
              <w:top w:val="nil"/>
              <w:left w:val="nil"/>
              <w:bottom w:val="nil"/>
              <w:right w:val="single" w:sz="4" w:space="0" w:color="auto"/>
            </w:tcBorders>
            <w:shd w:val="clear" w:color="auto" w:fill="auto"/>
            <w:noWrap/>
            <w:vAlign w:val="center"/>
            <w:hideMark/>
          </w:tcPr>
          <w:p w14:paraId="53467B2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64384D3A"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7AB3BD3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W7</w:t>
            </w:r>
          </w:p>
        </w:tc>
        <w:tc>
          <w:tcPr>
            <w:tcW w:w="918" w:type="dxa"/>
            <w:tcBorders>
              <w:top w:val="nil"/>
              <w:left w:val="single" w:sz="4" w:space="0" w:color="auto"/>
              <w:bottom w:val="nil"/>
              <w:right w:val="single" w:sz="4" w:space="0" w:color="auto"/>
            </w:tcBorders>
            <w:shd w:val="clear" w:color="auto" w:fill="auto"/>
            <w:noWrap/>
            <w:vAlign w:val="center"/>
            <w:hideMark/>
          </w:tcPr>
          <w:p w14:paraId="5C6ED19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29.35 ± 2.24</w:t>
            </w:r>
          </w:p>
        </w:tc>
        <w:tc>
          <w:tcPr>
            <w:tcW w:w="850" w:type="dxa"/>
            <w:tcBorders>
              <w:top w:val="nil"/>
              <w:left w:val="nil"/>
              <w:bottom w:val="nil"/>
              <w:right w:val="single" w:sz="4" w:space="0" w:color="auto"/>
            </w:tcBorders>
            <w:shd w:val="clear" w:color="auto" w:fill="auto"/>
            <w:noWrap/>
            <w:vAlign w:val="center"/>
            <w:hideMark/>
          </w:tcPr>
          <w:p w14:paraId="226BED1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1.69 ± 0.53</w:t>
            </w:r>
          </w:p>
        </w:tc>
        <w:tc>
          <w:tcPr>
            <w:tcW w:w="851" w:type="dxa"/>
            <w:tcBorders>
              <w:top w:val="nil"/>
              <w:left w:val="nil"/>
              <w:bottom w:val="nil"/>
              <w:right w:val="single" w:sz="4" w:space="0" w:color="auto"/>
            </w:tcBorders>
            <w:shd w:val="clear" w:color="auto" w:fill="auto"/>
            <w:noWrap/>
            <w:vAlign w:val="center"/>
            <w:hideMark/>
          </w:tcPr>
          <w:p w14:paraId="2172832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1.07 ± 0.15</w:t>
            </w:r>
          </w:p>
        </w:tc>
        <w:tc>
          <w:tcPr>
            <w:tcW w:w="794" w:type="dxa"/>
            <w:tcBorders>
              <w:top w:val="nil"/>
              <w:left w:val="nil"/>
              <w:bottom w:val="nil"/>
              <w:right w:val="single" w:sz="4" w:space="0" w:color="auto"/>
            </w:tcBorders>
            <w:shd w:val="clear" w:color="auto" w:fill="auto"/>
            <w:noWrap/>
            <w:vAlign w:val="center"/>
            <w:hideMark/>
          </w:tcPr>
          <w:p w14:paraId="411DA70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0.21</w:t>
            </w:r>
          </w:p>
        </w:tc>
        <w:tc>
          <w:tcPr>
            <w:tcW w:w="889" w:type="dxa"/>
            <w:tcBorders>
              <w:top w:val="nil"/>
              <w:left w:val="nil"/>
              <w:bottom w:val="nil"/>
              <w:right w:val="single" w:sz="4" w:space="0" w:color="auto"/>
            </w:tcBorders>
            <w:shd w:val="clear" w:color="auto" w:fill="auto"/>
            <w:noWrap/>
            <w:vAlign w:val="center"/>
            <w:hideMark/>
          </w:tcPr>
          <w:p w14:paraId="299CFB0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2.78 ± 0.18</w:t>
            </w:r>
          </w:p>
        </w:tc>
        <w:tc>
          <w:tcPr>
            <w:tcW w:w="852" w:type="dxa"/>
            <w:tcBorders>
              <w:top w:val="nil"/>
              <w:left w:val="nil"/>
              <w:bottom w:val="nil"/>
              <w:right w:val="single" w:sz="4" w:space="0" w:color="auto"/>
            </w:tcBorders>
            <w:shd w:val="clear" w:color="auto" w:fill="auto"/>
            <w:noWrap/>
            <w:vAlign w:val="center"/>
            <w:hideMark/>
          </w:tcPr>
          <w:p w14:paraId="065611D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1.84 ± 0.07</w:t>
            </w:r>
          </w:p>
        </w:tc>
        <w:tc>
          <w:tcPr>
            <w:tcW w:w="850" w:type="dxa"/>
            <w:tcBorders>
              <w:top w:val="nil"/>
              <w:left w:val="nil"/>
              <w:bottom w:val="nil"/>
              <w:right w:val="single" w:sz="4" w:space="0" w:color="auto"/>
            </w:tcBorders>
            <w:shd w:val="clear" w:color="auto" w:fill="auto"/>
            <w:noWrap/>
            <w:vAlign w:val="center"/>
            <w:hideMark/>
          </w:tcPr>
          <w:p w14:paraId="2EF6E24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5.79 ± 0.44</w:t>
            </w:r>
          </w:p>
        </w:tc>
        <w:tc>
          <w:tcPr>
            <w:tcW w:w="811" w:type="dxa"/>
            <w:tcBorders>
              <w:top w:val="nil"/>
              <w:left w:val="nil"/>
              <w:bottom w:val="nil"/>
              <w:right w:val="single" w:sz="4" w:space="0" w:color="auto"/>
            </w:tcBorders>
            <w:shd w:val="clear" w:color="auto" w:fill="auto"/>
            <w:noWrap/>
            <w:vAlign w:val="center"/>
            <w:hideMark/>
          </w:tcPr>
          <w:p w14:paraId="5052DB9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5.57 ± 0.39</w:t>
            </w:r>
          </w:p>
        </w:tc>
        <w:tc>
          <w:tcPr>
            <w:tcW w:w="853" w:type="dxa"/>
            <w:tcBorders>
              <w:top w:val="nil"/>
              <w:left w:val="nil"/>
              <w:bottom w:val="nil"/>
              <w:right w:val="single" w:sz="4" w:space="0" w:color="auto"/>
            </w:tcBorders>
            <w:shd w:val="clear" w:color="auto" w:fill="auto"/>
            <w:noWrap/>
            <w:vAlign w:val="center"/>
            <w:hideMark/>
          </w:tcPr>
          <w:p w14:paraId="15BDF82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2.24 ± 1.05</w:t>
            </w:r>
          </w:p>
        </w:tc>
        <w:tc>
          <w:tcPr>
            <w:tcW w:w="809" w:type="dxa"/>
            <w:gridSpan w:val="2"/>
            <w:tcBorders>
              <w:top w:val="nil"/>
              <w:left w:val="nil"/>
              <w:bottom w:val="nil"/>
              <w:right w:val="single" w:sz="4" w:space="0" w:color="auto"/>
            </w:tcBorders>
            <w:shd w:val="clear" w:color="auto" w:fill="auto"/>
            <w:noWrap/>
            <w:vAlign w:val="center"/>
            <w:hideMark/>
          </w:tcPr>
          <w:p w14:paraId="33E4FB8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0.86 ± 0.12</w:t>
            </w:r>
          </w:p>
        </w:tc>
        <w:tc>
          <w:tcPr>
            <w:tcW w:w="808" w:type="dxa"/>
            <w:tcBorders>
              <w:top w:val="nil"/>
              <w:left w:val="nil"/>
              <w:bottom w:val="nil"/>
              <w:right w:val="single" w:sz="4" w:space="0" w:color="auto"/>
            </w:tcBorders>
            <w:shd w:val="clear" w:color="auto" w:fill="auto"/>
            <w:noWrap/>
            <w:vAlign w:val="center"/>
            <w:hideMark/>
          </w:tcPr>
          <w:p w14:paraId="729164D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0.20 ± 0.15</w:t>
            </w:r>
          </w:p>
        </w:tc>
        <w:tc>
          <w:tcPr>
            <w:tcW w:w="790" w:type="dxa"/>
            <w:tcBorders>
              <w:top w:val="nil"/>
              <w:left w:val="nil"/>
              <w:bottom w:val="nil"/>
              <w:right w:val="single" w:sz="4" w:space="0" w:color="auto"/>
            </w:tcBorders>
            <w:shd w:val="clear" w:color="auto" w:fill="auto"/>
            <w:noWrap/>
            <w:vAlign w:val="center"/>
            <w:hideMark/>
          </w:tcPr>
          <w:p w14:paraId="4ED5A7C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0.03 ± 0.05</w:t>
            </w:r>
          </w:p>
        </w:tc>
        <w:tc>
          <w:tcPr>
            <w:tcW w:w="851" w:type="dxa"/>
            <w:tcBorders>
              <w:top w:val="nil"/>
              <w:left w:val="nil"/>
              <w:bottom w:val="nil"/>
              <w:right w:val="single" w:sz="4" w:space="0" w:color="auto"/>
            </w:tcBorders>
            <w:shd w:val="clear" w:color="auto" w:fill="auto"/>
            <w:noWrap/>
            <w:vAlign w:val="center"/>
            <w:hideMark/>
          </w:tcPr>
          <w:p w14:paraId="75924EE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0.68 ± 0.22</w:t>
            </w:r>
          </w:p>
        </w:tc>
        <w:tc>
          <w:tcPr>
            <w:tcW w:w="788" w:type="dxa"/>
            <w:tcBorders>
              <w:top w:val="nil"/>
              <w:left w:val="nil"/>
              <w:bottom w:val="nil"/>
              <w:right w:val="single" w:sz="4" w:space="0" w:color="auto"/>
            </w:tcBorders>
            <w:shd w:val="clear" w:color="auto" w:fill="auto"/>
            <w:noWrap/>
            <w:vAlign w:val="center"/>
            <w:hideMark/>
          </w:tcPr>
          <w:p w14:paraId="08E9534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3.86 ± 1.07</w:t>
            </w:r>
          </w:p>
        </w:tc>
        <w:tc>
          <w:tcPr>
            <w:tcW w:w="850" w:type="dxa"/>
            <w:tcBorders>
              <w:top w:val="nil"/>
              <w:left w:val="nil"/>
              <w:bottom w:val="nil"/>
              <w:right w:val="single" w:sz="4" w:space="0" w:color="auto"/>
            </w:tcBorders>
            <w:shd w:val="clear" w:color="auto" w:fill="auto"/>
            <w:noWrap/>
            <w:vAlign w:val="center"/>
            <w:hideMark/>
          </w:tcPr>
          <w:p w14:paraId="7A2B909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1.00 ± 0.21</w:t>
            </w:r>
          </w:p>
        </w:tc>
        <w:tc>
          <w:tcPr>
            <w:tcW w:w="802" w:type="dxa"/>
            <w:tcBorders>
              <w:top w:val="nil"/>
              <w:left w:val="nil"/>
              <w:bottom w:val="nil"/>
              <w:right w:val="single" w:sz="4" w:space="0" w:color="auto"/>
            </w:tcBorders>
            <w:shd w:val="clear" w:color="auto" w:fill="auto"/>
            <w:noWrap/>
            <w:vAlign w:val="center"/>
            <w:hideMark/>
          </w:tcPr>
          <w:p w14:paraId="745708F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0.22 ± 0.12</w:t>
            </w:r>
          </w:p>
        </w:tc>
        <w:tc>
          <w:tcPr>
            <w:tcW w:w="809" w:type="dxa"/>
            <w:tcBorders>
              <w:top w:val="nil"/>
              <w:left w:val="nil"/>
              <w:bottom w:val="nil"/>
              <w:right w:val="single" w:sz="4" w:space="0" w:color="auto"/>
            </w:tcBorders>
            <w:shd w:val="clear" w:color="auto" w:fill="auto"/>
            <w:noWrap/>
            <w:vAlign w:val="center"/>
            <w:hideMark/>
          </w:tcPr>
          <w:p w14:paraId="49FF950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0.44 ± 0.05</w:t>
            </w:r>
          </w:p>
        </w:tc>
        <w:tc>
          <w:tcPr>
            <w:tcW w:w="578" w:type="dxa"/>
            <w:tcBorders>
              <w:top w:val="nil"/>
              <w:left w:val="nil"/>
              <w:bottom w:val="nil"/>
              <w:right w:val="single" w:sz="4" w:space="0" w:color="auto"/>
            </w:tcBorders>
            <w:shd w:val="clear" w:color="auto" w:fill="auto"/>
            <w:noWrap/>
            <w:vAlign w:val="center"/>
            <w:hideMark/>
          </w:tcPr>
          <w:p w14:paraId="6D04979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55AF73E0" w14:textId="77777777" w:rsidTr="007A4EAA">
        <w:trPr>
          <w:trHeight w:val="506"/>
        </w:trPr>
        <w:tc>
          <w:tcPr>
            <w:tcW w:w="840" w:type="dxa"/>
            <w:tcBorders>
              <w:top w:val="nil"/>
              <w:left w:val="single" w:sz="4" w:space="0" w:color="auto"/>
              <w:bottom w:val="nil"/>
              <w:right w:val="nil"/>
            </w:tcBorders>
            <w:shd w:val="clear" w:color="auto" w:fill="auto"/>
            <w:noWrap/>
            <w:vAlign w:val="center"/>
            <w:hideMark/>
          </w:tcPr>
          <w:p w14:paraId="5EF78E1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W8</w:t>
            </w:r>
          </w:p>
        </w:tc>
        <w:tc>
          <w:tcPr>
            <w:tcW w:w="918" w:type="dxa"/>
            <w:tcBorders>
              <w:top w:val="nil"/>
              <w:left w:val="single" w:sz="4" w:space="0" w:color="auto"/>
              <w:bottom w:val="nil"/>
              <w:right w:val="single" w:sz="4" w:space="0" w:color="auto"/>
            </w:tcBorders>
            <w:shd w:val="clear" w:color="auto" w:fill="auto"/>
            <w:noWrap/>
            <w:vAlign w:val="center"/>
            <w:hideMark/>
          </w:tcPr>
          <w:p w14:paraId="5A1341BA"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23.26 ± 1.36</w:t>
            </w:r>
          </w:p>
        </w:tc>
        <w:tc>
          <w:tcPr>
            <w:tcW w:w="850" w:type="dxa"/>
            <w:tcBorders>
              <w:top w:val="nil"/>
              <w:left w:val="nil"/>
              <w:bottom w:val="nil"/>
              <w:right w:val="single" w:sz="4" w:space="0" w:color="auto"/>
            </w:tcBorders>
            <w:shd w:val="clear" w:color="auto" w:fill="auto"/>
            <w:noWrap/>
            <w:vAlign w:val="center"/>
            <w:hideMark/>
          </w:tcPr>
          <w:p w14:paraId="2FCD64F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1.20 ± 0.04</w:t>
            </w:r>
          </w:p>
        </w:tc>
        <w:tc>
          <w:tcPr>
            <w:tcW w:w="851" w:type="dxa"/>
            <w:tcBorders>
              <w:top w:val="nil"/>
              <w:left w:val="nil"/>
              <w:bottom w:val="nil"/>
              <w:right w:val="single" w:sz="4" w:space="0" w:color="auto"/>
            </w:tcBorders>
            <w:shd w:val="clear" w:color="auto" w:fill="auto"/>
            <w:noWrap/>
            <w:vAlign w:val="center"/>
            <w:hideMark/>
          </w:tcPr>
          <w:p w14:paraId="75A672B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0.78 ± 0.11</w:t>
            </w:r>
          </w:p>
        </w:tc>
        <w:tc>
          <w:tcPr>
            <w:tcW w:w="794" w:type="dxa"/>
            <w:tcBorders>
              <w:top w:val="nil"/>
              <w:left w:val="nil"/>
              <w:bottom w:val="nil"/>
              <w:right w:val="single" w:sz="4" w:space="0" w:color="auto"/>
            </w:tcBorders>
            <w:shd w:val="clear" w:color="auto" w:fill="auto"/>
            <w:noWrap/>
            <w:vAlign w:val="center"/>
            <w:hideMark/>
          </w:tcPr>
          <w:p w14:paraId="0D8C291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1.27 ± 0.46</w:t>
            </w:r>
          </w:p>
        </w:tc>
        <w:tc>
          <w:tcPr>
            <w:tcW w:w="889" w:type="dxa"/>
            <w:tcBorders>
              <w:top w:val="nil"/>
              <w:left w:val="nil"/>
              <w:bottom w:val="nil"/>
              <w:right w:val="single" w:sz="4" w:space="0" w:color="auto"/>
            </w:tcBorders>
            <w:shd w:val="clear" w:color="auto" w:fill="auto"/>
            <w:noWrap/>
            <w:vAlign w:val="center"/>
            <w:hideMark/>
          </w:tcPr>
          <w:p w14:paraId="5511BB1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1.65 ± 0.10</w:t>
            </w:r>
          </w:p>
        </w:tc>
        <w:tc>
          <w:tcPr>
            <w:tcW w:w="852" w:type="dxa"/>
            <w:tcBorders>
              <w:top w:val="nil"/>
              <w:left w:val="nil"/>
              <w:bottom w:val="nil"/>
              <w:right w:val="single" w:sz="4" w:space="0" w:color="auto"/>
            </w:tcBorders>
            <w:shd w:val="clear" w:color="auto" w:fill="auto"/>
            <w:noWrap/>
            <w:vAlign w:val="center"/>
            <w:hideMark/>
          </w:tcPr>
          <w:p w14:paraId="24422EE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1.35 ± 0.05</w:t>
            </w:r>
          </w:p>
        </w:tc>
        <w:tc>
          <w:tcPr>
            <w:tcW w:w="850" w:type="dxa"/>
            <w:tcBorders>
              <w:top w:val="nil"/>
              <w:left w:val="nil"/>
              <w:bottom w:val="nil"/>
              <w:right w:val="single" w:sz="4" w:space="0" w:color="auto"/>
            </w:tcBorders>
            <w:shd w:val="clear" w:color="auto" w:fill="auto"/>
            <w:noWrap/>
            <w:vAlign w:val="center"/>
            <w:hideMark/>
          </w:tcPr>
          <w:p w14:paraId="1A0D2DF4"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4.05 ± 0.21</w:t>
            </w:r>
          </w:p>
        </w:tc>
        <w:tc>
          <w:tcPr>
            <w:tcW w:w="811" w:type="dxa"/>
            <w:tcBorders>
              <w:top w:val="nil"/>
              <w:left w:val="nil"/>
              <w:bottom w:val="nil"/>
              <w:right w:val="single" w:sz="4" w:space="0" w:color="auto"/>
            </w:tcBorders>
            <w:shd w:val="clear" w:color="auto" w:fill="auto"/>
            <w:noWrap/>
            <w:vAlign w:val="center"/>
            <w:hideMark/>
          </w:tcPr>
          <w:p w14:paraId="06A8B6AC"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3.55 ± 0.03</w:t>
            </w:r>
          </w:p>
        </w:tc>
        <w:tc>
          <w:tcPr>
            <w:tcW w:w="853" w:type="dxa"/>
            <w:tcBorders>
              <w:top w:val="nil"/>
              <w:left w:val="nil"/>
              <w:bottom w:val="nil"/>
              <w:right w:val="single" w:sz="4" w:space="0" w:color="auto"/>
            </w:tcBorders>
            <w:shd w:val="clear" w:color="auto" w:fill="auto"/>
            <w:noWrap/>
            <w:vAlign w:val="center"/>
            <w:hideMark/>
          </w:tcPr>
          <w:p w14:paraId="11748D79"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1.92 ± 0.14</w:t>
            </w:r>
          </w:p>
        </w:tc>
        <w:tc>
          <w:tcPr>
            <w:tcW w:w="809" w:type="dxa"/>
            <w:gridSpan w:val="2"/>
            <w:tcBorders>
              <w:top w:val="nil"/>
              <w:left w:val="nil"/>
              <w:bottom w:val="nil"/>
              <w:right w:val="single" w:sz="4" w:space="0" w:color="auto"/>
            </w:tcBorders>
            <w:shd w:val="clear" w:color="auto" w:fill="auto"/>
            <w:noWrap/>
            <w:vAlign w:val="center"/>
            <w:hideMark/>
          </w:tcPr>
          <w:p w14:paraId="3F641C2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0.51 ± 0.02</w:t>
            </w:r>
          </w:p>
        </w:tc>
        <w:tc>
          <w:tcPr>
            <w:tcW w:w="808" w:type="dxa"/>
            <w:tcBorders>
              <w:top w:val="nil"/>
              <w:left w:val="nil"/>
              <w:bottom w:val="nil"/>
              <w:right w:val="single" w:sz="4" w:space="0" w:color="auto"/>
            </w:tcBorders>
            <w:shd w:val="clear" w:color="auto" w:fill="auto"/>
            <w:noWrap/>
            <w:vAlign w:val="center"/>
            <w:hideMark/>
          </w:tcPr>
          <w:p w14:paraId="7E98925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0.95 ± 0.11</w:t>
            </w:r>
          </w:p>
        </w:tc>
        <w:tc>
          <w:tcPr>
            <w:tcW w:w="790" w:type="dxa"/>
            <w:tcBorders>
              <w:top w:val="nil"/>
              <w:left w:val="nil"/>
              <w:bottom w:val="nil"/>
              <w:right w:val="single" w:sz="4" w:space="0" w:color="auto"/>
            </w:tcBorders>
            <w:shd w:val="clear" w:color="auto" w:fill="auto"/>
            <w:noWrap/>
            <w:vAlign w:val="center"/>
            <w:hideMark/>
          </w:tcPr>
          <w:p w14:paraId="3E32870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0.21 ± 0.03</w:t>
            </w:r>
          </w:p>
        </w:tc>
        <w:tc>
          <w:tcPr>
            <w:tcW w:w="851" w:type="dxa"/>
            <w:tcBorders>
              <w:top w:val="nil"/>
              <w:left w:val="nil"/>
              <w:bottom w:val="nil"/>
              <w:right w:val="single" w:sz="4" w:space="0" w:color="auto"/>
            </w:tcBorders>
            <w:shd w:val="clear" w:color="auto" w:fill="auto"/>
            <w:noWrap/>
            <w:vAlign w:val="center"/>
            <w:hideMark/>
          </w:tcPr>
          <w:p w14:paraId="337290E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0.43 ± 0.02</w:t>
            </w:r>
          </w:p>
        </w:tc>
        <w:tc>
          <w:tcPr>
            <w:tcW w:w="788" w:type="dxa"/>
            <w:tcBorders>
              <w:top w:val="nil"/>
              <w:left w:val="nil"/>
              <w:bottom w:val="nil"/>
              <w:right w:val="single" w:sz="4" w:space="0" w:color="auto"/>
            </w:tcBorders>
            <w:shd w:val="clear" w:color="auto" w:fill="auto"/>
            <w:noWrap/>
            <w:vAlign w:val="center"/>
            <w:hideMark/>
          </w:tcPr>
          <w:p w14:paraId="4D2CB4D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3.69 ± 0.42</w:t>
            </w:r>
          </w:p>
        </w:tc>
        <w:tc>
          <w:tcPr>
            <w:tcW w:w="850" w:type="dxa"/>
            <w:tcBorders>
              <w:top w:val="nil"/>
              <w:left w:val="nil"/>
              <w:bottom w:val="nil"/>
              <w:right w:val="single" w:sz="4" w:space="0" w:color="auto"/>
            </w:tcBorders>
            <w:shd w:val="clear" w:color="auto" w:fill="auto"/>
            <w:noWrap/>
            <w:vAlign w:val="center"/>
            <w:hideMark/>
          </w:tcPr>
          <w:p w14:paraId="4722A9A5"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1.08 ± 0.07</w:t>
            </w:r>
          </w:p>
        </w:tc>
        <w:tc>
          <w:tcPr>
            <w:tcW w:w="802" w:type="dxa"/>
            <w:tcBorders>
              <w:top w:val="nil"/>
              <w:left w:val="nil"/>
              <w:bottom w:val="nil"/>
              <w:right w:val="single" w:sz="4" w:space="0" w:color="auto"/>
            </w:tcBorders>
            <w:shd w:val="clear" w:color="auto" w:fill="auto"/>
            <w:noWrap/>
            <w:vAlign w:val="center"/>
            <w:hideMark/>
          </w:tcPr>
          <w:p w14:paraId="17D2FD5B"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0.25 ± 0.02</w:t>
            </w:r>
          </w:p>
        </w:tc>
        <w:tc>
          <w:tcPr>
            <w:tcW w:w="809" w:type="dxa"/>
            <w:tcBorders>
              <w:top w:val="nil"/>
              <w:left w:val="nil"/>
              <w:bottom w:val="nil"/>
              <w:right w:val="single" w:sz="4" w:space="0" w:color="auto"/>
            </w:tcBorders>
            <w:shd w:val="clear" w:color="auto" w:fill="auto"/>
            <w:noWrap/>
            <w:vAlign w:val="center"/>
            <w:hideMark/>
          </w:tcPr>
          <w:p w14:paraId="144E3A7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0.37 ± 0.04</w:t>
            </w:r>
          </w:p>
        </w:tc>
        <w:tc>
          <w:tcPr>
            <w:tcW w:w="578" w:type="dxa"/>
            <w:tcBorders>
              <w:top w:val="nil"/>
              <w:left w:val="nil"/>
              <w:bottom w:val="nil"/>
              <w:right w:val="single" w:sz="4" w:space="0" w:color="auto"/>
            </w:tcBorders>
            <w:shd w:val="clear" w:color="auto" w:fill="auto"/>
            <w:noWrap/>
            <w:vAlign w:val="center"/>
            <w:hideMark/>
          </w:tcPr>
          <w:p w14:paraId="1824C53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0.01 ± 0.00</w:t>
            </w:r>
          </w:p>
        </w:tc>
      </w:tr>
      <w:tr w:rsidR="007A4EAA" w:rsidRPr="00403B14" w14:paraId="1D8A6521" w14:textId="77777777" w:rsidTr="007A4EAA">
        <w:trPr>
          <w:trHeight w:val="506"/>
        </w:trPr>
        <w:tc>
          <w:tcPr>
            <w:tcW w:w="840" w:type="dxa"/>
            <w:tcBorders>
              <w:top w:val="nil"/>
              <w:left w:val="single" w:sz="4" w:space="0" w:color="auto"/>
              <w:bottom w:val="single" w:sz="4" w:space="0" w:color="auto"/>
              <w:right w:val="nil"/>
            </w:tcBorders>
            <w:shd w:val="clear" w:color="auto" w:fill="auto"/>
            <w:noWrap/>
            <w:vAlign w:val="center"/>
            <w:hideMark/>
          </w:tcPr>
          <w:p w14:paraId="46FD337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W9</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7AAD177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30.65 ± 2.71</w:t>
            </w:r>
          </w:p>
        </w:tc>
        <w:tc>
          <w:tcPr>
            <w:tcW w:w="850" w:type="dxa"/>
            <w:tcBorders>
              <w:top w:val="nil"/>
              <w:left w:val="nil"/>
              <w:bottom w:val="single" w:sz="4" w:space="0" w:color="auto"/>
              <w:right w:val="single" w:sz="4" w:space="0" w:color="auto"/>
            </w:tcBorders>
            <w:shd w:val="clear" w:color="auto" w:fill="auto"/>
            <w:noWrap/>
            <w:vAlign w:val="center"/>
            <w:hideMark/>
          </w:tcPr>
          <w:p w14:paraId="5D699D32"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1.98 ± 0.02</w:t>
            </w:r>
          </w:p>
        </w:tc>
        <w:tc>
          <w:tcPr>
            <w:tcW w:w="851" w:type="dxa"/>
            <w:tcBorders>
              <w:top w:val="nil"/>
              <w:left w:val="nil"/>
              <w:bottom w:val="single" w:sz="4" w:space="0" w:color="auto"/>
              <w:right w:val="single" w:sz="4" w:space="0" w:color="auto"/>
            </w:tcBorders>
            <w:shd w:val="clear" w:color="auto" w:fill="auto"/>
            <w:noWrap/>
            <w:vAlign w:val="center"/>
            <w:hideMark/>
          </w:tcPr>
          <w:p w14:paraId="37C0824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0.88 ± 0.06</w:t>
            </w:r>
          </w:p>
        </w:tc>
        <w:tc>
          <w:tcPr>
            <w:tcW w:w="794" w:type="dxa"/>
            <w:tcBorders>
              <w:top w:val="nil"/>
              <w:left w:val="nil"/>
              <w:bottom w:val="single" w:sz="4" w:space="0" w:color="auto"/>
              <w:right w:val="single" w:sz="4" w:space="0" w:color="auto"/>
            </w:tcBorders>
            <w:shd w:val="clear" w:color="auto" w:fill="auto"/>
            <w:noWrap/>
            <w:vAlign w:val="center"/>
            <w:hideMark/>
          </w:tcPr>
          <w:p w14:paraId="6F527B9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1.45 ± 0.04</w:t>
            </w:r>
          </w:p>
        </w:tc>
        <w:tc>
          <w:tcPr>
            <w:tcW w:w="889" w:type="dxa"/>
            <w:tcBorders>
              <w:top w:val="nil"/>
              <w:left w:val="nil"/>
              <w:bottom w:val="single" w:sz="4" w:space="0" w:color="auto"/>
              <w:right w:val="single" w:sz="4" w:space="0" w:color="auto"/>
            </w:tcBorders>
            <w:shd w:val="clear" w:color="auto" w:fill="auto"/>
            <w:noWrap/>
            <w:vAlign w:val="center"/>
            <w:hideMark/>
          </w:tcPr>
          <w:p w14:paraId="4A5D1B1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4.98 ± 1.20</w:t>
            </w:r>
          </w:p>
        </w:tc>
        <w:tc>
          <w:tcPr>
            <w:tcW w:w="852" w:type="dxa"/>
            <w:tcBorders>
              <w:top w:val="nil"/>
              <w:left w:val="nil"/>
              <w:bottom w:val="single" w:sz="4" w:space="0" w:color="auto"/>
              <w:right w:val="single" w:sz="4" w:space="0" w:color="auto"/>
            </w:tcBorders>
            <w:shd w:val="clear" w:color="auto" w:fill="auto"/>
            <w:noWrap/>
            <w:vAlign w:val="center"/>
            <w:hideMark/>
          </w:tcPr>
          <w:p w14:paraId="70E602B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1.82 ± 0.35</w:t>
            </w:r>
          </w:p>
        </w:tc>
        <w:tc>
          <w:tcPr>
            <w:tcW w:w="850" w:type="dxa"/>
            <w:tcBorders>
              <w:top w:val="nil"/>
              <w:left w:val="nil"/>
              <w:bottom w:val="single" w:sz="4" w:space="0" w:color="auto"/>
              <w:right w:val="single" w:sz="4" w:space="0" w:color="auto"/>
            </w:tcBorders>
            <w:shd w:val="clear" w:color="auto" w:fill="auto"/>
            <w:noWrap/>
            <w:vAlign w:val="center"/>
            <w:hideMark/>
          </w:tcPr>
          <w:p w14:paraId="43034F38"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6.08 ± 0.71</w:t>
            </w:r>
          </w:p>
        </w:tc>
        <w:tc>
          <w:tcPr>
            <w:tcW w:w="811" w:type="dxa"/>
            <w:tcBorders>
              <w:top w:val="nil"/>
              <w:left w:val="nil"/>
              <w:bottom w:val="single" w:sz="4" w:space="0" w:color="auto"/>
              <w:right w:val="single" w:sz="4" w:space="0" w:color="auto"/>
            </w:tcBorders>
            <w:shd w:val="clear" w:color="auto" w:fill="auto"/>
            <w:noWrap/>
            <w:vAlign w:val="center"/>
            <w:hideMark/>
          </w:tcPr>
          <w:p w14:paraId="7102F347"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3.47 ± 0.40</w:t>
            </w:r>
          </w:p>
        </w:tc>
        <w:tc>
          <w:tcPr>
            <w:tcW w:w="853" w:type="dxa"/>
            <w:tcBorders>
              <w:top w:val="nil"/>
              <w:left w:val="nil"/>
              <w:bottom w:val="single" w:sz="4" w:space="0" w:color="auto"/>
              <w:right w:val="single" w:sz="4" w:space="0" w:color="auto"/>
            </w:tcBorders>
            <w:shd w:val="clear" w:color="auto" w:fill="auto"/>
            <w:noWrap/>
            <w:vAlign w:val="center"/>
            <w:hideMark/>
          </w:tcPr>
          <w:p w14:paraId="193BE62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1.15 ± 0.16</w:t>
            </w:r>
          </w:p>
        </w:tc>
        <w:tc>
          <w:tcPr>
            <w:tcW w:w="809" w:type="dxa"/>
            <w:gridSpan w:val="2"/>
            <w:tcBorders>
              <w:top w:val="nil"/>
              <w:left w:val="nil"/>
              <w:bottom w:val="single" w:sz="4" w:space="0" w:color="auto"/>
              <w:right w:val="single" w:sz="4" w:space="0" w:color="auto"/>
            </w:tcBorders>
            <w:shd w:val="clear" w:color="auto" w:fill="auto"/>
            <w:noWrap/>
            <w:vAlign w:val="center"/>
            <w:hideMark/>
          </w:tcPr>
          <w:p w14:paraId="29F832D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0.77 ± 0.17</w:t>
            </w:r>
          </w:p>
        </w:tc>
        <w:tc>
          <w:tcPr>
            <w:tcW w:w="808" w:type="dxa"/>
            <w:tcBorders>
              <w:top w:val="nil"/>
              <w:left w:val="nil"/>
              <w:bottom w:val="single" w:sz="4" w:space="0" w:color="auto"/>
              <w:right w:val="single" w:sz="4" w:space="0" w:color="auto"/>
            </w:tcBorders>
            <w:shd w:val="clear" w:color="auto" w:fill="auto"/>
            <w:noWrap/>
            <w:vAlign w:val="center"/>
            <w:hideMark/>
          </w:tcPr>
          <w:p w14:paraId="31C42EF0"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0.39 ± 0.20</w:t>
            </w:r>
          </w:p>
        </w:tc>
        <w:tc>
          <w:tcPr>
            <w:tcW w:w="790" w:type="dxa"/>
            <w:tcBorders>
              <w:top w:val="nil"/>
              <w:left w:val="nil"/>
              <w:bottom w:val="single" w:sz="4" w:space="0" w:color="auto"/>
              <w:right w:val="single" w:sz="4" w:space="0" w:color="auto"/>
            </w:tcBorders>
            <w:shd w:val="clear" w:color="auto" w:fill="auto"/>
            <w:noWrap/>
            <w:vAlign w:val="center"/>
            <w:hideMark/>
          </w:tcPr>
          <w:p w14:paraId="4E49812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0.13 ± 0.10</w:t>
            </w:r>
          </w:p>
        </w:tc>
        <w:tc>
          <w:tcPr>
            <w:tcW w:w="851" w:type="dxa"/>
            <w:tcBorders>
              <w:top w:val="nil"/>
              <w:left w:val="nil"/>
              <w:bottom w:val="single" w:sz="4" w:space="0" w:color="auto"/>
              <w:right w:val="single" w:sz="4" w:space="0" w:color="auto"/>
            </w:tcBorders>
            <w:shd w:val="clear" w:color="auto" w:fill="auto"/>
            <w:noWrap/>
            <w:vAlign w:val="center"/>
            <w:hideMark/>
          </w:tcPr>
          <w:p w14:paraId="74EDB34D"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1.64 ± 1.24</w:t>
            </w:r>
          </w:p>
        </w:tc>
        <w:tc>
          <w:tcPr>
            <w:tcW w:w="788" w:type="dxa"/>
            <w:tcBorders>
              <w:top w:val="nil"/>
              <w:left w:val="nil"/>
              <w:bottom w:val="single" w:sz="4" w:space="0" w:color="auto"/>
              <w:right w:val="single" w:sz="4" w:space="0" w:color="auto"/>
            </w:tcBorders>
            <w:shd w:val="clear" w:color="auto" w:fill="auto"/>
            <w:noWrap/>
            <w:vAlign w:val="center"/>
            <w:hideMark/>
          </w:tcPr>
          <w:p w14:paraId="5E0478E6"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4.77 ± 2.18</w:t>
            </w:r>
          </w:p>
        </w:tc>
        <w:tc>
          <w:tcPr>
            <w:tcW w:w="850" w:type="dxa"/>
            <w:tcBorders>
              <w:top w:val="nil"/>
              <w:left w:val="nil"/>
              <w:bottom w:val="single" w:sz="4" w:space="0" w:color="auto"/>
              <w:right w:val="single" w:sz="4" w:space="0" w:color="auto"/>
            </w:tcBorders>
            <w:shd w:val="clear" w:color="auto" w:fill="auto"/>
            <w:noWrap/>
            <w:vAlign w:val="center"/>
            <w:hideMark/>
          </w:tcPr>
          <w:p w14:paraId="6C9EE6FE"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0.57 ± 0.25</w:t>
            </w:r>
          </w:p>
        </w:tc>
        <w:tc>
          <w:tcPr>
            <w:tcW w:w="802" w:type="dxa"/>
            <w:tcBorders>
              <w:top w:val="nil"/>
              <w:left w:val="nil"/>
              <w:bottom w:val="single" w:sz="4" w:space="0" w:color="auto"/>
              <w:right w:val="single" w:sz="4" w:space="0" w:color="auto"/>
            </w:tcBorders>
            <w:shd w:val="clear" w:color="auto" w:fill="auto"/>
            <w:noWrap/>
            <w:vAlign w:val="center"/>
            <w:hideMark/>
          </w:tcPr>
          <w:p w14:paraId="27109D81"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0.30 ± 0.06</w:t>
            </w:r>
          </w:p>
        </w:tc>
        <w:tc>
          <w:tcPr>
            <w:tcW w:w="809" w:type="dxa"/>
            <w:tcBorders>
              <w:top w:val="nil"/>
              <w:left w:val="nil"/>
              <w:bottom w:val="single" w:sz="4" w:space="0" w:color="auto"/>
              <w:right w:val="single" w:sz="4" w:space="0" w:color="auto"/>
            </w:tcBorders>
            <w:shd w:val="clear" w:color="auto" w:fill="auto"/>
            <w:noWrap/>
            <w:vAlign w:val="center"/>
            <w:hideMark/>
          </w:tcPr>
          <w:p w14:paraId="437721D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0.28 ± 0.18</w:t>
            </w:r>
          </w:p>
        </w:tc>
        <w:tc>
          <w:tcPr>
            <w:tcW w:w="578" w:type="dxa"/>
            <w:tcBorders>
              <w:top w:val="nil"/>
              <w:left w:val="nil"/>
              <w:bottom w:val="single" w:sz="4" w:space="0" w:color="auto"/>
              <w:right w:val="single" w:sz="4" w:space="0" w:color="auto"/>
            </w:tcBorders>
            <w:shd w:val="clear" w:color="auto" w:fill="auto"/>
            <w:noWrap/>
            <w:vAlign w:val="center"/>
            <w:hideMark/>
          </w:tcPr>
          <w:p w14:paraId="4C596BD3" w14:textId="77777777" w:rsidR="00403B14" w:rsidRPr="00C91EC3" w:rsidRDefault="00403B14" w:rsidP="00403B14">
            <w:pPr>
              <w:spacing w:after="0" w:line="240" w:lineRule="auto"/>
              <w:jc w:val="center"/>
              <w:rPr>
                <w:rFonts w:ascii="Times New Roman" w:hAnsi="Times New Roman"/>
                <w:color w:val="000000"/>
                <w:lang w:bidi="ar-SA"/>
              </w:rPr>
            </w:pPr>
            <w:r w:rsidRPr="00C91EC3">
              <w:rPr>
                <w:rFonts w:ascii="Times New Roman" w:hAnsi="Times New Roman"/>
                <w:color w:val="000000"/>
                <w:lang w:bidi="ar-SA"/>
              </w:rPr>
              <w:t>&lt;LOD</w:t>
            </w:r>
          </w:p>
        </w:tc>
      </w:tr>
    </w:tbl>
    <w:p w14:paraId="615676E8" w14:textId="77777777" w:rsidR="00403B14" w:rsidRPr="006E1463" w:rsidRDefault="00403B14" w:rsidP="00DC19BD">
      <w:pPr>
        <w:pStyle w:val="NoSpacing"/>
        <w:rPr>
          <w:rFonts w:ascii="Times New Roman" w:hAnsi="Times New Roman"/>
          <w:color w:val="000000"/>
          <w:lang w:val="en-US"/>
        </w:rPr>
      </w:pPr>
    </w:p>
    <w:p w14:paraId="4D1C8CE7" w14:textId="77777777" w:rsidR="00694D91" w:rsidRPr="006E1463" w:rsidRDefault="00694D91" w:rsidP="00DC19BD">
      <w:pPr>
        <w:pStyle w:val="NoSpacing"/>
        <w:rPr>
          <w:rFonts w:ascii="Times New Roman" w:hAnsi="Times New Roman"/>
          <w:color w:val="000000"/>
          <w:lang w:val="en-US"/>
        </w:rPr>
      </w:pPr>
    </w:p>
    <w:p w14:paraId="5B5665F7" w14:textId="77777777" w:rsidR="007325A0" w:rsidRPr="006E1463" w:rsidRDefault="007325A0" w:rsidP="00DC19BD">
      <w:pPr>
        <w:pStyle w:val="NoSpacing"/>
        <w:rPr>
          <w:rFonts w:ascii="Times New Roman" w:hAnsi="Times New Roman"/>
          <w:color w:val="000000"/>
          <w:lang w:val="en-US"/>
        </w:rPr>
        <w:sectPr w:rsidR="007325A0" w:rsidRPr="006E1463" w:rsidSect="006B3531">
          <w:endnotePr>
            <w:numFmt w:val="decimal"/>
          </w:endnotePr>
          <w:type w:val="continuous"/>
          <w:pgSz w:w="16838" w:h="11906" w:orient="landscape"/>
          <w:pgMar w:top="1418" w:right="1418" w:bottom="1418" w:left="1418" w:header="709" w:footer="709" w:gutter="0"/>
          <w:lnNumType w:countBy="1" w:restart="continuous"/>
          <w:cols w:space="708"/>
          <w:docGrid w:linePitch="360"/>
        </w:sectPr>
      </w:pPr>
    </w:p>
    <w:p w14:paraId="1C928BBA" w14:textId="77777777" w:rsidR="006B1AF4" w:rsidRDefault="003A3B4B" w:rsidP="00D72BE1">
      <w:pPr>
        <w:spacing w:after="0" w:line="360" w:lineRule="auto"/>
        <w:ind w:firstLine="708"/>
        <w:rPr>
          <w:rFonts w:ascii="Times New Roman" w:hAnsi="Times New Roman"/>
          <w:color w:val="000000"/>
          <w:lang w:val="en-GB"/>
        </w:rPr>
      </w:pPr>
      <w:r>
        <w:rPr>
          <w:rFonts w:ascii="Times New Roman" w:hAnsi="Times New Roman"/>
          <w:color w:val="000000"/>
          <w:lang w:val="en-GB"/>
        </w:rPr>
        <w:lastRenderedPageBreak/>
        <w:t xml:space="preserve">The concentration of glycolipids (MGDS, SQDG and DGDG) </w:t>
      </w:r>
      <w:r w:rsidRPr="00380D85">
        <w:rPr>
          <w:rFonts w:ascii="Times New Roman" w:hAnsi="Times New Roman"/>
          <w:color w:val="000000"/>
          <w:lang w:val="en-GB"/>
        </w:rPr>
        <w:t>increased toward</w:t>
      </w:r>
      <w:r>
        <w:rPr>
          <w:rFonts w:ascii="Times New Roman" w:hAnsi="Times New Roman"/>
          <w:color w:val="000000"/>
          <w:lang w:val="en-GB"/>
        </w:rPr>
        <w:t xml:space="preserve"> the open sea, especially in the ULW. Oppositely, </w:t>
      </w:r>
      <w:r w:rsidRPr="00380D85">
        <w:rPr>
          <w:rFonts w:ascii="Times New Roman" w:hAnsi="Times New Roman"/>
          <w:color w:val="000000"/>
          <w:lang w:val="en-GB"/>
        </w:rPr>
        <w:t>the concentration of PL</w:t>
      </w:r>
      <w:r>
        <w:rPr>
          <w:rFonts w:ascii="Times New Roman" w:hAnsi="Times New Roman"/>
          <w:color w:val="000000"/>
          <w:lang w:val="en-GB"/>
        </w:rPr>
        <w:t xml:space="preserve"> in both SML and ULW decreased slightly with distance from the river mouth.</w:t>
      </w:r>
    </w:p>
    <w:p w14:paraId="3D070DA0" w14:textId="77777777" w:rsidR="007579A1" w:rsidRPr="006E1463" w:rsidRDefault="007579A1" w:rsidP="00D72BE1">
      <w:pPr>
        <w:spacing w:after="0" w:line="360" w:lineRule="auto"/>
        <w:ind w:firstLine="708"/>
        <w:rPr>
          <w:rFonts w:ascii="Times New Roman" w:hAnsi="Times New Roman"/>
          <w:noProof/>
          <w:color w:val="000000"/>
          <w:lang w:val="en-GB"/>
        </w:rPr>
      </w:pPr>
      <w:r w:rsidRPr="006E1463">
        <w:rPr>
          <w:rFonts w:ascii="Times New Roman" w:hAnsi="Times New Roman"/>
          <w:color w:val="000000"/>
          <w:lang w:val="en-GB"/>
        </w:rPr>
        <w:t>The enrichment in SML was observed for all lipid classes, with reserve lipids showing the highest enrichment, e.g.</w:t>
      </w:r>
      <w:r w:rsidR="00380D85">
        <w:rPr>
          <w:rFonts w:ascii="Times New Roman" w:hAnsi="Times New Roman"/>
          <w:color w:val="000000"/>
          <w:lang w:val="en-GB"/>
        </w:rPr>
        <w:t>,</w:t>
      </w:r>
      <w:r w:rsidRPr="006E1463">
        <w:rPr>
          <w:rFonts w:ascii="Times New Roman" w:hAnsi="Times New Roman"/>
          <w:color w:val="000000"/>
          <w:lang w:val="en-GB"/>
        </w:rPr>
        <w:t xml:space="preserve"> on average </w:t>
      </w:r>
      <w:r w:rsidR="00380D85" w:rsidRPr="006E1463">
        <w:rPr>
          <w:rFonts w:ascii="Times New Roman" w:hAnsi="Times New Roman"/>
          <w:color w:val="000000"/>
          <w:lang w:val="en-GB"/>
        </w:rPr>
        <w:t xml:space="preserve">there was </w:t>
      </w:r>
      <w:r w:rsidRPr="006E1463">
        <w:rPr>
          <w:rFonts w:ascii="Times New Roman" w:hAnsi="Times New Roman"/>
          <w:color w:val="000000"/>
          <w:lang w:val="en-GB"/>
        </w:rPr>
        <w:t>2.9 times more WE in the SML than in the ULW.</w:t>
      </w:r>
    </w:p>
    <w:p w14:paraId="52A28FA9" w14:textId="77777777" w:rsidR="007579A1" w:rsidRPr="006E1463" w:rsidRDefault="00380D85" w:rsidP="00380D85">
      <w:pPr>
        <w:spacing w:after="0" w:line="360" w:lineRule="auto"/>
        <w:rPr>
          <w:rFonts w:ascii="Times New Roman" w:hAnsi="Times New Roman"/>
          <w:color w:val="000000"/>
          <w:lang w:val="en-GB"/>
        </w:rPr>
      </w:pPr>
      <w:r w:rsidRPr="006B1AF4">
        <w:rPr>
          <w:rFonts w:ascii="Times New Roman" w:hAnsi="Times New Roman"/>
          <w:noProof/>
          <w:color w:val="000000"/>
          <w:lang w:val="hr-HR" w:eastAsia="hr-HR" w:bidi="ar-SA"/>
        </w:rPr>
        <w:drawing>
          <wp:inline distT="0" distB="0" distL="0" distR="0" wp14:anchorId="26A0AAEC" wp14:editId="7CC9E364">
            <wp:extent cx="5654675" cy="1983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4675" cy="1983740"/>
                    </a:xfrm>
                    <a:prstGeom prst="rect">
                      <a:avLst/>
                    </a:prstGeom>
                    <a:noFill/>
                    <a:ln>
                      <a:noFill/>
                    </a:ln>
                  </pic:spPr>
                </pic:pic>
              </a:graphicData>
            </a:graphic>
          </wp:inline>
        </w:drawing>
      </w:r>
    </w:p>
    <w:p w14:paraId="19B6755E" w14:textId="77777777" w:rsidR="003C0D23" w:rsidRPr="006E1463" w:rsidRDefault="003C0D23" w:rsidP="003C0D23">
      <w:pPr>
        <w:pStyle w:val="NoSpacing"/>
        <w:spacing w:line="360" w:lineRule="auto"/>
        <w:rPr>
          <w:rFonts w:ascii="Times New Roman" w:hAnsi="Times New Roman"/>
          <w:color w:val="000000"/>
          <w:lang w:val="en-GB"/>
        </w:rPr>
      </w:pPr>
      <w:r w:rsidRPr="006E1463">
        <w:rPr>
          <w:rFonts w:ascii="Times New Roman" w:hAnsi="Times New Roman"/>
          <w:b/>
          <w:color w:val="000000"/>
          <w:lang w:val="en-GB"/>
        </w:rPr>
        <w:t>Figure 7</w:t>
      </w:r>
      <w:r w:rsidRPr="006E1463">
        <w:rPr>
          <w:rFonts w:ascii="Times New Roman" w:hAnsi="Times New Roman"/>
          <w:color w:val="000000"/>
          <w:lang w:val="en-GB"/>
        </w:rPr>
        <w:t>. Distribution and concentrations of total membrane lipids (GL, PL, ST and PIG) (A), total reserve lipids (WE, ME and TG) (B) and total degradation indices (FFA, ALC, 1,2 DG, 1,3 DG, MG) (C) in SML (circles) and ULW (squares) throughout the transect.</w:t>
      </w:r>
    </w:p>
    <w:p w14:paraId="3AB779DF" w14:textId="77777777" w:rsidR="007579A1" w:rsidRPr="006E1463" w:rsidRDefault="007579A1" w:rsidP="00D72BE1">
      <w:pPr>
        <w:pStyle w:val="NoSpacing"/>
        <w:spacing w:line="360" w:lineRule="auto"/>
        <w:rPr>
          <w:rFonts w:ascii="Times New Roman" w:hAnsi="Times New Roman"/>
          <w:color w:val="000000"/>
          <w:lang w:val="en-GB" w:bidi="en-US"/>
        </w:rPr>
      </w:pPr>
    </w:p>
    <w:p w14:paraId="2BCB3BBA" w14:textId="77777777" w:rsidR="007579A1" w:rsidRPr="006E1463" w:rsidRDefault="003A3B4B" w:rsidP="00D72BE1">
      <w:pPr>
        <w:pStyle w:val="NoSpacing"/>
        <w:spacing w:line="360" w:lineRule="auto"/>
        <w:ind w:firstLine="708"/>
        <w:rPr>
          <w:rFonts w:ascii="Times New Roman" w:hAnsi="Times New Roman"/>
          <w:color w:val="000000"/>
          <w:lang w:val="en-GB" w:bidi="en-US"/>
        </w:rPr>
      </w:pPr>
      <w:bookmarkStart w:id="15" w:name="_Hlk100060690"/>
      <w:r w:rsidRPr="00341B0B">
        <w:rPr>
          <w:rFonts w:ascii="Times New Roman" w:hAnsi="Times New Roman"/>
          <w:color w:val="000000"/>
          <w:lang w:val="en-GB" w:bidi="en-US"/>
        </w:rPr>
        <w:t>Environmental conditions such as nutrient availability, light conditions</w:t>
      </w:r>
      <w:r>
        <w:rPr>
          <w:rFonts w:ascii="Times New Roman" w:hAnsi="Times New Roman"/>
          <w:color w:val="000000"/>
          <w:lang w:val="en-GB" w:bidi="en-US"/>
        </w:rPr>
        <w:t>, and</w:t>
      </w:r>
      <w:r w:rsidRPr="00341B0B">
        <w:rPr>
          <w:rFonts w:ascii="Times New Roman" w:hAnsi="Times New Roman"/>
          <w:color w:val="000000"/>
          <w:lang w:val="en-GB" w:bidi="en-US"/>
        </w:rPr>
        <w:t xml:space="preserve"> temperature </w:t>
      </w:r>
      <w:r>
        <w:rPr>
          <w:rFonts w:ascii="Times New Roman" w:hAnsi="Times New Roman"/>
          <w:color w:val="000000"/>
          <w:lang w:val="en-GB" w:bidi="en-US"/>
        </w:rPr>
        <w:t>affect</w:t>
      </w:r>
      <w:r w:rsidRPr="00341B0B">
        <w:rPr>
          <w:rFonts w:ascii="Times New Roman" w:hAnsi="Times New Roman"/>
          <w:color w:val="000000"/>
          <w:lang w:val="en-GB" w:bidi="en-US"/>
        </w:rPr>
        <w:t xml:space="preserve"> the biochemistry of phytoplankton </w:t>
      </w:r>
      <w:r>
        <w:rPr>
          <w:rFonts w:ascii="Times New Roman" w:hAnsi="Times New Roman"/>
          <w:color w:val="000000"/>
          <w:lang w:val="en-GB" w:bidi="en-US"/>
        </w:rPr>
        <w:t>by</w:t>
      </w:r>
      <w:r w:rsidRPr="00341B0B">
        <w:rPr>
          <w:rFonts w:ascii="Times New Roman" w:hAnsi="Times New Roman"/>
          <w:color w:val="000000"/>
          <w:lang w:val="en-GB" w:bidi="en-US"/>
        </w:rPr>
        <w:t xml:space="preserve"> potentially direct</w:t>
      </w:r>
      <w:r>
        <w:rPr>
          <w:rFonts w:ascii="Times New Roman" w:hAnsi="Times New Roman"/>
          <w:color w:val="000000"/>
          <w:lang w:val="en-GB" w:bidi="en-US"/>
        </w:rPr>
        <w:t>ing</w:t>
      </w:r>
      <w:r w:rsidRPr="00341B0B">
        <w:rPr>
          <w:rFonts w:ascii="Times New Roman" w:hAnsi="Times New Roman"/>
          <w:color w:val="000000"/>
          <w:lang w:val="en-GB" w:bidi="en-US"/>
        </w:rPr>
        <w:t xml:space="preserve"> biosynthetic pathways toward </w:t>
      </w:r>
      <w:r>
        <w:rPr>
          <w:rFonts w:ascii="Times New Roman" w:hAnsi="Times New Roman"/>
          <w:color w:val="000000"/>
          <w:lang w:val="en-GB" w:bidi="en-US"/>
        </w:rPr>
        <w:t xml:space="preserve">the </w:t>
      </w:r>
      <w:r w:rsidRPr="00341B0B">
        <w:rPr>
          <w:rFonts w:ascii="Times New Roman" w:hAnsi="Times New Roman"/>
          <w:color w:val="000000"/>
          <w:lang w:val="en-GB" w:bidi="en-US"/>
        </w:rPr>
        <w:t>production of different biomolecules</w:t>
      </w:r>
      <w:r>
        <w:rPr>
          <w:rFonts w:ascii="Times New Roman" w:hAnsi="Times New Roman"/>
          <w:color w:val="000000"/>
          <w:lang w:val="en-GB" w:bidi="en-US"/>
        </w:rPr>
        <w:t>,</w:t>
      </w:r>
      <w:r w:rsidRPr="00341B0B">
        <w:rPr>
          <w:rFonts w:ascii="Times New Roman" w:hAnsi="Times New Roman"/>
          <w:color w:val="000000"/>
          <w:lang w:val="en-GB" w:bidi="en-US"/>
        </w:rPr>
        <w:t xml:space="preserve"> </w:t>
      </w:r>
      <w:r>
        <w:rPr>
          <w:rFonts w:ascii="Times New Roman" w:hAnsi="Times New Roman"/>
          <w:color w:val="000000"/>
          <w:lang w:val="en-GB" w:bidi="en-US"/>
        </w:rPr>
        <w:t>i.e.</w:t>
      </w:r>
      <w:r w:rsidRPr="00341B0B">
        <w:rPr>
          <w:rFonts w:ascii="Times New Roman" w:hAnsi="Times New Roman"/>
          <w:color w:val="000000"/>
          <w:lang w:val="en-GB" w:bidi="en-US"/>
        </w:rPr>
        <w:t xml:space="preserve">, protein synthesis </w:t>
      </w:r>
      <w:r>
        <w:rPr>
          <w:rFonts w:ascii="Times New Roman" w:hAnsi="Times New Roman"/>
          <w:color w:val="000000"/>
          <w:lang w:val="en-GB" w:bidi="en-US"/>
        </w:rPr>
        <w:t>is</w:t>
      </w:r>
      <w:r w:rsidRPr="00341B0B">
        <w:rPr>
          <w:rFonts w:ascii="Times New Roman" w:hAnsi="Times New Roman"/>
          <w:color w:val="000000"/>
          <w:lang w:val="en-GB" w:bidi="en-US"/>
        </w:rPr>
        <w:t xml:space="preserve"> favoured </w:t>
      </w:r>
      <w:r>
        <w:rPr>
          <w:rFonts w:ascii="Times New Roman" w:hAnsi="Times New Roman"/>
          <w:color w:val="000000"/>
          <w:lang w:val="en-GB" w:bidi="en-US"/>
        </w:rPr>
        <w:t>under</w:t>
      </w:r>
      <w:r w:rsidRPr="00341B0B">
        <w:rPr>
          <w:rFonts w:ascii="Times New Roman" w:hAnsi="Times New Roman"/>
          <w:color w:val="000000"/>
          <w:lang w:val="en-GB" w:bidi="en-US"/>
        </w:rPr>
        <w:t xml:space="preserve"> good, non-stressful growth conditions, while lipid synthesis </w:t>
      </w:r>
      <w:r>
        <w:rPr>
          <w:rFonts w:ascii="Times New Roman" w:hAnsi="Times New Roman"/>
          <w:color w:val="000000"/>
          <w:lang w:val="en-GB" w:bidi="en-US"/>
        </w:rPr>
        <w:t>is</w:t>
      </w:r>
      <w:r w:rsidRPr="00341B0B">
        <w:rPr>
          <w:rFonts w:ascii="Times New Roman" w:hAnsi="Times New Roman"/>
          <w:color w:val="000000"/>
          <w:lang w:val="en-GB" w:bidi="en-US"/>
        </w:rPr>
        <w:t xml:space="preserve"> favoured </w:t>
      </w:r>
      <w:r>
        <w:rPr>
          <w:rFonts w:ascii="Times New Roman" w:hAnsi="Times New Roman"/>
          <w:color w:val="000000"/>
          <w:lang w:val="en-GB" w:bidi="en-US"/>
        </w:rPr>
        <w:t>under</w:t>
      </w:r>
      <w:r w:rsidRPr="00341B0B">
        <w:rPr>
          <w:rFonts w:ascii="Times New Roman" w:hAnsi="Times New Roman"/>
          <w:color w:val="000000"/>
          <w:lang w:val="en-GB" w:bidi="en-US"/>
        </w:rPr>
        <w:t xml:space="preserve"> stressful conditions (Gerin and Goutx, 1994</w:t>
      </w:r>
      <w:r>
        <w:rPr>
          <w:rFonts w:ascii="Times New Roman" w:hAnsi="Times New Roman"/>
          <w:color w:val="000000"/>
          <w:lang w:val="en-GB" w:bidi="en-US"/>
        </w:rPr>
        <w:t>, Gašparović et al., 2014</w:t>
      </w:r>
      <w:r w:rsidRPr="00341B0B">
        <w:rPr>
          <w:rFonts w:ascii="Times New Roman" w:hAnsi="Times New Roman"/>
          <w:color w:val="000000"/>
          <w:lang w:val="en-GB" w:bidi="en-US"/>
        </w:rPr>
        <w:t xml:space="preserve">). The </w:t>
      </w:r>
      <w:r>
        <w:rPr>
          <w:rFonts w:ascii="Times New Roman" w:hAnsi="Times New Roman"/>
          <w:color w:val="000000"/>
          <w:lang w:val="en-GB" w:bidi="en-US"/>
        </w:rPr>
        <w:t>L</w:t>
      </w:r>
      <w:r w:rsidRPr="00341B0B">
        <w:rPr>
          <w:rFonts w:ascii="Times New Roman" w:hAnsi="Times New Roman"/>
          <w:color w:val="000000"/>
          <w:lang w:val="en-GB" w:bidi="en-US"/>
        </w:rPr>
        <w:t xml:space="preserve">ipid:Chl </w:t>
      </w:r>
      <w:r w:rsidRPr="003A3B4B">
        <w:rPr>
          <w:rFonts w:ascii="Times New Roman" w:hAnsi="Times New Roman"/>
          <w:i/>
          <w:color w:val="000000"/>
          <w:lang w:val="en-GB" w:bidi="en-US"/>
        </w:rPr>
        <w:t>a</w:t>
      </w:r>
      <w:r w:rsidRPr="00341B0B">
        <w:rPr>
          <w:rFonts w:ascii="Times New Roman" w:hAnsi="Times New Roman"/>
          <w:color w:val="000000"/>
          <w:lang w:val="en-GB" w:bidi="en-US"/>
        </w:rPr>
        <w:t xml:space="preserve"> ratio (Gerin and Goutx, 1994) is often used to evaluate the biosynthetic pathways of photosynthetic communities.</w:t>
      </w:r>
      <w:r>
        <w:rPr>
          <w:rFonts w:ascii="Times New Roman" w:hAnsi="Times New Roman"/>
          <w:color w:val="000000"/>
          <w:lang w:val="en-GB" w:bidi="en-US"/>
        </w:rPr>
        <w:t xml:space="preserve"> </w:t>
      </w:r>
      <w:bookmarkEnd w:id="15"/>
      <w:r w:rsidR="007579A1" w:rsidRPr="006E1463">
        <w:rPr>
          <w:rFonts w:ascii="Times New Roman" w:hAnsi="Times New Roman"/>
          <w:color w:val="000000"/>
          <w:lang w:val="en-GB" w:bidi="en-US"/>
        </w:rPr>
        <w:t>Using particulate pigment (PIG) concentration data, which provide a rough estimate of autotrophic plankton biomass, we calculated the ratio of particulate lipids and PIG in the SML and ULW (Figure 8). The ratio show</w:t>
      </w:r>
      <w:r w:rsidR="009F0A76">
        <w:rPr>
          <w:rFonts w:ascii="Times New Roman" w:hAnsi="Times New Roman"/>
          <w:color w:val="000000"/>
          <w:lang w:val="en-GB" w:bidi="en-US"/>
        </w:rPr>
        <w:t>ed</w:t>
      </w:r>
      <w:r w:rsidR="007579A1" w:rsidRPr="006E1463">
        <w:rPr>
          <w:rFonts w:ascii="Times New Roman" w:hAnsi="Times New Roman"/>
          <w:color w:val="000000"/>
          <w:lang w:val="en-GB" w:bidi="en-US"/>
        </w:rPr>
        <w:t xml:space="preserve"> a sharp decrease from stations W1-W2 near the </w:t>
      </w:r>
      <w:r w:rsidR="007700ED">
        <w:rPr>
          <w:rFonts w:ascii="Times New Roman" w:hAnsi="Times New Roman"/>
          <w:color w:val="000000"/>
          <w:lang w:val="en-GB" w:bidi="en-US"/>
        </w:rPr>
        <w:t>r</w:t>
      </w:r>
      <w:r w:rsidR="007579A1" w:rsidRPr="006E1463">
        <w:rPr>
          <w:rFonts w:ascii="Times New Roman" w:hAnsi="Times New Roman"/>
          <w:color w:val="000000"/>
          <w:lang w:val="en-GB" w:bidi="en-US"/>
        </w:rPr>
        <w:t xml:space="preserve">iver mouth to stations W3-W4, which are about 5-10 km from the river mouth, after which an increase was observed </w:t>
      </w:r>
      <w:r w:rsidR="00EC2982">
        <w:rPr>
          <w:rFonts w:ascii="Times New Roman" w:hAnsi="Times New Roman"/>
          <w:color w:val="000000"/>
          <w:lang w:val="en-GB" w:bidi="en-US"/>
        </w:rPr>
        <w:t>toward</w:t>
      </w:r>
      <w:r w:rsidR="007579A1" w:rsidRPr="006E1463">
        <w:rPr>
          <w:rFonts w:ascii="Times New Roman" w:hAnsi="Times New Roman"/>
          <w:color w:val="000000"/>
          <w:lang w:val="en-GB" w:bidi="en-US"/>
        </w:rPr>
        <w:t xml:space="preserve"> station W5. </w:t>
      </w:r>
    </w:p>
    <w:p w14:paraId="2EBF0EA3" w14:textId="77777777" w:rsidR="007579A1" w:rsidRPr="006E1463" w:rsidRDefault="007579A1" w:rsidP="00D72BE1">
      <w:pPr>
        <w:pStyle w:val="NoSpacing"/>
        <w:spacing w:line="360" w:lineRule="auto"/>
        <w:ind w:firstLine="708"/>
        <w:rPr>
          <w:rFonts w:ascii="Times New Roman" w:hAnsi="Times New Roman"/>
          <w:color w:val="000000"/>
          <w:lang w:val="en-GB" w:bidi="en-US"/>
        </w:rPr>
      </w:pPr>
    </w:p>
    <w:p w14:paraId="72A1424D" w14:textId="4126B2BD" w:rsidR="007579A1" w:rsidRDefault="009374D7" w:rsidP="00D72BE1">
      <w:pPr>
        <w:spacing w:after="0" w:line="360" w:lineRule="auto"/>
        <w:rPr>
          <w:rFonts w:ascii="Times New Roman" w:hAnsi="Times New Roman"/>
          <w:color w:val="000000"/>
          <w:lang w:val="en-GB"/>
        </w:rPr>
      </w:pPr>
      <w:r w:rsidRPr="006E1463">
        <w:rPr>
          <w:rFonts w:ascii="Times New Roman" w:hAnsi="Times New Roman"/>
          <w:noProof/>
          <w:color w:val="000000"/>
          <w:lang w:val="hr-HR" w:eastAsia="hr-HR" w:bidi="ar-SA"/>
        </w:rPr>
        <w:lastRenderedPageBreak/>
        <w:drawing>
          <wp:inline distT="0" distB="0" distL="0" distR="0" wp14:anchorId="6825745A" wp14:editId="7FED98CD">
            <wp:extent cx="2886075" cy="2425065"/>
            <wp:effectExtent l="0" t="0" r="0" b="0"/>
            <wp:docPr id="5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l="6422" t="4202" r="12157" b="6306"/>
                    <a:stretch>
                      <a:fillRect/>
                    </a:stretch>
                  </pic:blipFill>
                  <pic:spPr bwMode="auto">
                    <a:xfrm>
                      <a:off x="0" y="0"/>
                      <a:ext cx="2886075" cy="2425065"/>
                    </a:xfrm>
                    <a:prstGeom prst="rect">
                      <a:avLst/>
                    </a:prstGeom>
                    <a:noFill/>
                    <a:ln>
                      <a:noFill/>
                    </a:ln>
                  </pic:spPr>
                </pic:pic>
              </a:graphicData>
            </a:graphic>
          </wp:inline>
        </w:drawing>
      </w:r>
    </w:p>
    <w:p w14:paraId="04A3E377" w14:textId="77777777" w:rsidR="003C0D23" w:rsidRPr="003C0D23" w:rsidRDefault="003C0D23" w:rsidP="003C0D23">
      <w:pPr>
        <w:pStyle w:val="NoSpacing"/>
        <w:rPr>
          <w:lang w:val="en-GB" w:bidi="en-US"/>
        </w:rPr>
      </w:pPr>
    </w:p>
    <w:p w14:paraId="2C2D3DDB" w14:textId="77777777" w:rsidR="003C0D23" w:rsidRPr="006E146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t>Figure 8</w:t>
      </w:r>
      <w:r w:rsidRPr="006E1463">
        <w:rPr>
          <w:rFonts w:ascii="Times New Roman" w:hAnsi="Times New Roman"/>
          <w:color w:val="000000"/>
          <w:lang w:val="en-GB"/>
        </w:rPr>
        <w:t>. Lipid:PIG ratios of SML (circles) and ULW (squares) throughout the transect.</w:t>
      </w:r>
    </w:p>
    <w:p w14:paraId="637A47F9" w14:textId="77777777" w:rsidR="007579A1" w:rsidRPr="006E1463" w:rsidRDefault="007579A1" w:rsidP="00D72BE1">
      <w:pPr>
        <w:pStyle w:val="NoSpacing"/>
        <w:spacing w:line="360" w:lineRule="auto"/>
        <w:rPr>
          <w:rFonts w:ascii="Times New Roman" w:hAnsi="Times New Roman"/>
          <w:color w:val="000000"/>
          <w:lang w:val="en-GB"/>
        </w:rPr>
      </w:pPr>
    </w:p>
    <w:p w14:paraId="6528045B" w14:textId="77777777" w:rsidR="007579A1" w:rsidRDefault="007579A1" w:rsidP="00D72BE1">
      <w:pPr>
        <w:pStyle w:val="NoSpacing"/>
        <w:spacing w:line="360" w:lineRule="auto"/>
        <w:ind w:firstLine="708"/>
        <w:rPr>
          <w:rFonts w:ascii="Times New Roman" w:hAnsi="Times New Roman"/>
          <w:color w:val="000000"/>
          <w:lang w:val="en-GB"/>
        </w:rPr>
      </w:pPr>
      <w:r w:rsidRPr="006E1463">
        <w:rPr>
          <w:rFonts w:ascii="Times New Roman" w:hAnsi="Times New Roman"/>
          <w:color w:val="000000"/>
          <w:lang w:val="en-GB" w:bidi="en-US"/>
        </w:rPr>
        <w:t xml:space="preserve">The </w:t>
      </w:r>
      <w:r w:rsidR="009F0A76">
        <w:rPr>
          <w:rFonts w:ascii="Times New Roman" w:hAnsi="Times New Roman"/>
          <w:color w:val="000000"/>
          <w:lang w:val="en-GB" w:bidi="en-US"/>
        </w:rPr>
        <w:t xml:space="preserve">statistically significant </w:t>
      </w:r>
      <w:r w:rsidR="00A41800">
        <w:rPr>
          <w:rFonts w:ascii="Times New Roman" w:hAnsi="Times New Roman"/>
          <w:color w:val="000000"/>
          <w:lang w:val="en-GB" w:bidi="en-US"/>
        </w:rPr>
        <w:t xml:space="preserve">negative </w:t>
      </w:r>
      <w:r w:rsidRPr="006E1463">
        <w:rPr>
          <w:rFonts w:ascii="Times New Roman" w:hAnsi="Times New Roman"/>
          <w:color w:val="000000"/>
          <w:lang w:val="en-GB" w:bidi="en-US"/>
        </w:rPr>
        <w:t>correlations</w:t>
      </w:r>
      <w:r w:rsidR="00A41800">
        <w:rPr>
          <w:rFonts w:ascii="Times New Roman" w:hAnsi="Times New Roman"/>
          <w:color w:val="000000"/>
          <w:lang w:val="en-GB" w:bidi="en-US"/>
        </w:rPr>
        <w:t xml:space="preserve"> observed</w:t>
      </w:r>
      <w:r w:rsidRPr="006E1463">
        <w:rPr>
          <w:rFonts w:ascii="Times New Roman" w:hAnsi="Times New Roman"/>
          <w:color w:val="000000"/>
          <w:lang w:val="en-GB" w:bidi="en-US"/>
        </w:rPr>
        <w:t xml:space="preserve"> between S</w:t>
      </w:r>
      <w:r w:rsidRPr="006E1463">
        <w:rPr>
          <w:rFonts w:ascii="Times New Roman" w:hAnsi="Times New Roman"/>
          <w:color w:val="000000"/>
          <w:vertAlign w:val="subscript"/>
          <w:lang w:val="en-GB" w:bidi="en-US"/>
        </w:rPr>
        <w:t>R</w:t>
      </w:r>
      <w:r w:rsidRPr="006E1463">
        <w:rPr>
          <w:rFonts w:ascii="Times New Roman" w:hAnsi="Times New Roman"/>
          <w:color w:val="000000"/>
          <w:lang w:val="en-GB" w:bidi="en-US"/>
        </w:rPr>
        <w:t xml:space="preserve"> and the </w:t>
      </w:r>
      <w:r w:rsidR="003F6C8F">
        <w:rPr>
          <w:rFonts w:ascii="Times New Roman" w:hAnsi="Times New Roman"/>
          <w:color w:val="000000"/>
          <w:lang w:val="en-GB" w:bidi="en-US"/>
        </w:rPr>
        <w:t>L</w:t>
      </w:r>
      <w:r w:rsidRPr="006E1463">
        <w:rPr>
          <w:rFonts w:ascii="Times New Roman" w:hAnsi="Times New Roman"/>
          <w:color w:val="000000"/>
          <w:lang w:val="en-GB" w:bidi="en-US"/>
        </w:rPr>
        <w:t>ipid:PIG ratio</w:t>
      </w:r>
      <w:r w:rsidR="00A41800">
        <w:rPr>
          <w:rFonts w:ascii="Times New Roman" w:hAnsi="Times New Roman"/>
          <w:color w:val="000000"/>
          <w:lang w:val="en-GB" w:bidi="en-US"/>
        </w:rPr>
        <w:t xml:space="preserve"> in SML (r = -</w:t>
      </w:r>
      <w:r w:rsidR="008E087F">
        <w:rPr>
          <w:rFonts w:ascii="Times New Roman" w:hAnsi="Times New Roman"/>
          <w:color w:val="000000"/>
          <w:lang w:val="en-GB" w:bidi="en-US"/>
        </w:rPr>
        <w:t xml:space="preserve"> </w:t>
      </w:r>
      <w:r w:rsidR="00A41800">
        <w:rPr>
          <w:rFonts w:ascii="Times New Roman" w:hAnsi="Times New Roman"/>
          <w:color w:val="000000"/>
          <w:lang w:val="en-GB" w:bidi="en-US"/>
        </w:rPr>
        <w:t>0.718, p = 0.029) and ULW (r = -</w:t>
      </w:r>
      <w:r w:rsidR="008E087F">
        <w:rPr>
          <w:rFonts w:ascii="Times New Roman" w:hAnsi="Times New Roman"/>
          <w:color w:val="000000"/>
          <w:lang w:val="en-GB" w:bidi="en-US"/>
        </w:rPr>
        <w:t xml:space="preserve"> </w:t>
      </w:r>
      <w:r w:rsidR="00A41800">
        <w:rPr>
          <w:rFonts w:ascii="Times New Roman" w:hAnsi="Times New Roman"/>
          <w:color w:val="000000"/>
          <w:lang w:val="en-GB" w:bidi="en-US"/>
        </w:rPr>
        <w:t>0.795, p = 0.010)</w:t>
      </w:r>
      <w:r w:rsidR="00A41800" w:rsidRPr="00A41800">
        <w:rPr>
          <w:rFonts w:ascii="Times New Roman" w:hAnsi="Times New Roman"/>
          <w:color w:val="000000"/>
          <w:lang w:val="en-GB" w:bidi="en-US"/>
        </w:rPr>
        <w:t xml:space="preserve"> </w:t>
      </w:r>
      <w:r w:rsidR="00A41800" w:rsidRPr="006E1463">
        <w:rPr>
          <w:rFonts w:ascii="Times New Roman" w:hAnsi="Times New Roman"/>
          <w:color w:val="000000"/>
          <w:lang w:val="en-GB" w:bidi="en-US"/>
        </w:rPr>
        <w:t>(</w:t>
      </w:r>
      <w:r w:rsidR="00A41800" w:rsidRPr="006E1463">
        <w:rPr>
          <w:rFonts w:ascii="Times New Roman" w:hAnsi="Times New Roman"/>
          <w:color w:val="000000"/>
          <w:lang w:val="en-GB"/>
        </w:rPr>
        <w:t>Figure 9</w:t>
      </w:r>
      <w:r w:rsidR="00A41800" w:rsidRPr="002F6B69">
        <w:rPr>
          <w:rFonts w:ascii="Times New Roman" w:hAnsi="Times New Roman"/>
          <w:color w:val="000000"/>
          <w:lang w:val="en-GB"/>
        </w:rPr>
        <w:t>)</w:t>
      </w:r>
      <w:r w:rsidR="00A41800" w:rsidRPr="002F6B69">
        <w:rPr>
          <w:rFonts w:ascii="Times New Roman" w:hAnsi="Times New Roman"/>
          <w:color w:val="000000"/>
          <w:lang w:val="en-GB" w:bidi="en-US"/>
        </w:rPr>
        <w:t xml:space="preserve"> point</w:t>
      </w:r>
      <w:r w:rsidRPr="002F6B69">
        <w:rPr>
          <w:rFonts w:ascii="Times New Roman" w:hAnsi="Times New Roman"/>
          <w:color w:val="000000"/>
          <w:lang w:val="en-GB" w:bidi="en-US"/>
        </w:rPr>
        <w:t xml:space="preserve"> to </w:t>
      </w:r>
      <w:r w:rsidR="003E237D" w:rsidRPr="002F6B69">
        <w:rPr>
          <w:rFonts w:ascii="Times New Roman" w:hAnsi="Times New Roman"/>
          <w:color w:val="000000"/>
          <w:lang w:val="en-GB" w:bidi="en-US"/>
        </w:rPr>
        <w:t>a</w:t>
      </w:r>
      <w:r w:rsidRPr="002F6B69">
        <w:rPr>
          <w:rFonts w:ascii="Times New Roman" w:hAnsi="Times New Roman"/>
          <w:color w:val="000000"/>
          <w:lang w:val="en-GB" w:bidi="en-US"/>
        </w:rPr>
        <w:t xml:space="preserve"> </w:t>
      </w:r>
      <w:r w:rsidR="008E087F">
        <w:rPr>
          <w:rFonts w:ascii="Times New Roman" w:hAnsi="Times New Roman"/>
          <w:color w:val="000000"/>
          <w:lang w:val="en-GB" w:bidi="en-US"/>
        </w:rPr>
        <w:t>possible</w:t>
      </w:r>
      <w:r w:rsidR="008E087F" w:rsidRPr="002F6B69">
        <w:rPr>
          <w:rFonts w:ascii="Times New Roman" w:hAnsi="Times New Roman"/>
          <w:color w:val="000000"/>
          <w:lang w:val="en-GB" w:bidi="en-US"/>
        </w:rPr>
        <w:t xml:space="preserve"> </w:t>
      </w:r>
      <w:r w:rsidRPr="002F6B69">
        <w:rPr>
          <w:rFonts w:ascii="Times New Roman" w:hAnsi="Times New Roman"/>
          <w:color w:val="000000"/>
          <w:lang w:val="en-GB" w:bidi="en-US"/>
        </w:rPr>
        <w:t xml:space="preserve">relationship between </w:t>
      </w:r>
      <w:r w:rsidR="002F6B69" w:rsidRPr="002F6B69">
        <w:rPr>
          <w:rFonts w:ascii="Times New Roman" w:hAnsi="Times New Roman"/>
          <w:color w:val="000000"/>
          <w:lang w:val="en-GB" w:bidi="en-US"/>
        </w:rPr>
        <w:t xml:space="preserve">the environmental conditions of phytoplankton growth and </w:t>
      </w:r>
      <w:r w:rsidR="003A3B4B" w:rsidRPr="002F6B69">
        <w:rPr>
          <w:rFonts w:ascii="Times New Roman" w:hAnsi="Times New Roman"/>
          <w:color w:val="000000"/>
          <w:lang w:val="en-GB" w:bidi="en-US"/>
        </w:rPr>
        <w:t>the molecular</w:t>
      </w:r>
      <w:r w:rsidR="00D35FBE" w:rsidRPr="002F6B69">
        <w:rPr>
          <w:rFonts w:ascii="Times New Roman" w:hAnsi="Times New Roman"/>
          <w:color w:val="000000"/>
          <w:lang w:val="en-GB" w:bidi="en-US"/>
        </w:rPr>
        <w:t xml:space="preserve"> weight of </w:t>
      </w:r>
      <w:r w:rsidR="002F6B69" w:rsidRPr="002F6B69">
        <w:rPr>
          <w:rFonts w:ascii="Times New Roman" w:hAnsi="Times New Roman"/>
          <w:color w:val="000000"/>
          <w:lang w:val="en-GB" w:bidi="en-US"/>
        </w:rPr>
        <w:t>OM produce</w:t>
      </w:r>
      <w:r w:rsidR="003B28FA">
        <w:rPr>
          <w:rFonts w:ascii="Times New Roman" w:hAnsi="Times New Roman"/>
          <w:color w:val="000000"/>
          <w:lang w:val="en-GB" w:bidi="en-US"/>
        </w:rPr>
        <w:t>d</w:t>
      </w:r>
      <w:r w:rsidR="002F6B69" w:rsidRPr="002F6B69">
        <w:rPr>
          <w:rFonts w:ascii="Times New Roman" w:hAnsi="Times New Roman"/>
          <w:color w:val="000000"/>
          <w:lang w:val="en-GB" w:bidi="en-US"/>
        </w:rPr>
        <w:t>.</w:t>
      </w:r>
      <w:r w:rsidRPr="006E1463">
        <w:rPr>
          <w:rFonts w:ascii="Times New Roman" w:hAnsi="Times New Roman"/>
          <w:color w:val="000000"/>
          <w:lang w:val="en-GB"/>
        </w:rPr>
        <w:t xml:space="preserve"> </w:t>
      </w:r>
    </w:p>
    <w:p w14:paraId="4B3BFC49" w14:textId="77777777" w:rsidR="00D364D1" w:rsidRPr="006E1463" w:rsidRDefault="00D364D1" w:rsidP="00D72BE1">
      <w:pPr>
        <w:pStyle w:val="NoSpacing"/>
        <w:spacing w:line="360" w:lineRule="auto"/>
        <w:ind w:firstLine="708"/>
        <w:rPr>
          <w:rFonts w:ascii="Times New Roman" w:hAnsi="Times New Roman"/>
          <w:color w:val="000000"/>
          <w:lang w:val="en-GB"/>
        </w:rPr>
      </w:pPr>
    </w:p>
    <w:p w14:paraId="574A6591" w14:textId="77777777" w:rsidR="007579A1" w:rsidRPr="006E1463" w:rsidRDefault="00BE480F" w:rsidP="00D72BE1">
      <w:pPr>
        <w:spacing w:after="0" w:line="360" w:lineRule="auto"/>
        <w:rPr>
          <w:rFonts w:ascii="Times New Roman" w:hAnsi="Times New Roman"/>
          <w:b/>
          <w:color w:val="000000"/>
          <w:lang w:val="en-GB"/>
        </w:rPr>
      </w:pPr>
      <w:r w:rsidRPr="00BE480F">
        <w:rPr>
          <w:rFonts w:ascii="Times New Roman" w:hAnsi="Times New Roman"/>
          <w:b/>
          <w:color w:val="000000"/>
          <w:lang w:val="en-GB"/>
        </w:rPr>
        <w:t xml:space="preserve"> </w:t>
      </w:r>
      <w:r w:rsidRPr="00BE480F">
        <w:rPr>
          <w:rFonts w:ascii="Times New Roman" w:hAnsi="Times New Roman"/>
          <w:b/>
          <w:noProof/>
          <w:color w:val="000000"/>
          <w:lang w:val="hr-HR" w:eastAsia="hr-HR" w:bidi="ar-SA"/>
        </w:rPr>
        <w:drawing>
          <wp:inline distT="0" distB="0" distL="0" distR="0" wp14:anchorId="590BF731" wp14:editId="3B17036B">
            <wp:extent cx="3200400" cy="27324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2732405"/>
                    </a:xfrm>
                    <a:prstGeom prst="rect">
                      <a:avLst/>
                    </a:prstGeom>
                    <a:noFill/>
                    <a:ln>
                      <a:noFill/>
                    </a:ln>
                  </pic:spPr>
                </pic:pic>
              </a:graphicData>
            </a:graphic>
          </wp:inline>
        </w:drawing>
      </w:r>
    </w:p>
    <w:p w14:paraId="685ECDC8" w14:textId="77777777" w:rsidR="003C0D23" w:rsidRPr="006E1463" w:rsidRDefault="003C0D23" w:rsidP="003C0D23">
      <w:pPr>
        <w:spacing w:after="0" w:line="360" w:lineRule="auto"/>
        <w:rPr>
          <w:rFonts w:ascii="Times New Roman" w:hAnsi="Times New Roman"/>
          <w:color w:val="000000"/>
          <w:lang w:val="en-GB"/>
        </w:rPr>
      </w:pPr>
      <w:r w:rsidRPr="006E1463">
        <w:rPr>
          <w:rFonts w:ascii="Times New Roman" w:hAnsi="Times New Roman"/>
          <w:b/>
          <w:color w:val="000000"/>
          <w:lang w:val="en-GB"/>
        </w:rPr>
        <w:t>Figure 9</w:t>
      </w:r>
      <w:r w:rsidRPr="006E1463">
        <w:rPr>
          <w:rFonts w:ascii="Times New Roman" w:hAnsi="Times New Roman"/>
          <w:color w:val="000000"/>
          <w:lang w:val="en-GB"/>
        </w:rPr>
        <w:t>. Correlation between</w:t>
      </w:r>
      <w:r>
        <w:rPr>
          <w:rFonts w:ascii="Times New Roman" w:hAnsi="Times New Roman"/>
          <w:color w:val="000000"/>
          <w:lang w:val="en-GB"/>
        </w:rPr>
        <w:t xml:space="preserve"> the slope ratio (</w:t>
      </w:r>
      <w:r w:rsidRPr="006E1463">
        <w:rPr>
          <w:rFonts w:ascii="Times New Roman" w:hAnsi="Times New Roman"/>
          <w:color w:val="000000"/>
          <w:lang w:val="en-GB"/>
        </w:rPr>
        <w:t>S</w:t>
      </w:r>
      <w:r w:rsidRPr="006E1463">
        <w:rPr>
          <w:rFonts w:ascii="Times New Roman" w:hAnsi="Times New Roman"/>
          <w:color w:val="000000"/>
          <w:vertAlign w:val="subscript"/>
          <w:lang w:val="en-GB"/>
        </w:rPr>
        <w:t>R</w:t>
      </w:r>
      <w:r>
        <w:rPr>
          <w:rFonts w:ascii="Times New Roman" w:hAnsi="Times New Roman"/>
          <w:color w:val="000000"/>
          <w:lang w:val="en-GB"/>
        </w:rPr>
        <w:t>)</w:t>
      </w:r>
      <w:r w:rsidRPr="006E1463">
        <w:rPr>
          <w:rFonts w:ascii="Times New Roman" w:hAnsi="Times New Roman"/>
          <w:color w:val="000000"/>
          <w:lang w:val="en-GB"/>
        </w:rPr>
        <w:t xml:space="preserve"> and the Lipid:PIG ratio for </w:t>
      </w:r>
      <w:r>
        <w:rPr>
          <w:rFonts w:ascii="Times New Roman" w:hAnsi="Times New Roman"/>
          <w:color w:val="000000"/>
          <w:lang w:val="en-GB"/>
        </w:rPr>
        <w:t>sea surface microlayer (</w:t>
      </w:r>
      <w:r w:rsidRPr="006E1463">
        <w:rPr>
          <w:rFonts w:ascii="Times New Roman" w:hAnsi="Times New Roman"/>
          <w:color w:val="000000"/>
          <w:lang w:val="en-GB"/>
        </w:rPr>
        <w:t>SML</w:t>
      </w:r>
      <w:r>
        <w:rPr>
          <w:rFonts w:ascii="Times New Roman" w:hAnsi="Times New Roman"/>
          <w:color w:val="000000"/>
          <w:lang w:val="en-GB"/>
        </w:rPr>
        <w:t>)</w:t>
      </w:r>
      <w:r w:rsidRPr="006E1463">
        <w:rPr>
          <w:rFonts w:ascii="Times New Roman" w:hAnsi="Times New Roman"/>
          <w:color w:val="000000"/>
          <w:lang w:val="en-GB"/>
        </w:rPr>
        <w:t xml:space="preserve"> (circles) and</w:t>
      </w:r>
      <w:r>
        <w:rPr>
          <w:rFonts w:ascii="Times New Roman" w:hAnsi="Times New Roman"/>
          <w:color w:val="000000"/>
          <w:lang w:val="en-GB"/>
        </w:rPr>
        <w:t xml:space="preserve"> underlying water (</w:t>
      </w:r>
      <w:r w:rsidRPr="006E1463">
        <w:rPr>
          <w:rFonts w:ascii="Times New Roman" w:hAnsi="Times New Roman"/>
          <w:color w:val="000000"/>
          <w:lang w:val="en-GB"/>
        </w:rPr>
        <w:t>ULW</w:t>
      </w:r>
      <w:r>
        <w:rPr>
          <w:rFonts w:ascii="Times New Roman" w:hAnsi="Times New Roman"/>
          <w:color w:val="000000"/>
          <w:lang w:val="en-GB"/>
        </w:rPr>
        <w:t>)</w:t>
      </w:r>
      <w:r w:rsidRPr="006E1463">
        <w:rPr>
          <w:rFonts w:ascii="Times New Roman" w:hAnsi="Times New Roman"/>
          <w:color w:val="000000"/>
          <w:lang w:val="en-GB"/>
        </w:rPr>
        <w:t xml:space="preserve"> (squares) throughout the transect.</w:t>
      </w:r>
    </w:p>
    <w:p w14:paraId="6D6E3EE9" w14:textId="77777777" w:rsidR="007579A1" w:rsidRPr="006E1463" w:rsidRDefault="007579A1" w:rsidP="00D72BE1">
      <w:pPr>
        <w:pStyle w:val="NoSpacing"/>
        <w:spacing w:line="360" w:lineRule="auto"/>
        <w:rPr>
          <w:rFonts w:ascii="Times New Roman" w:hAnsi="Times New Roman"/>
          <w:color w:val="000000"/>
          <w:lang w:val="en-GB"/>
        </w:rPr>
      </w:pPr>
    </w:p>
    <w:p w14:paraId="3970648F" w14:textId="77777777" w:rsidR="007579A1" w:rsidRPr="006E1463" w:rsidRDefault="007579A1" w:rsidP="00D72BE1">
      <w:pPr>
        <w:spacing w:after="0" w:line="360" w:lineRule="auto"/>
        <w:ind w:firstLine="708"/>
        <w:rPr>
          <w:rFonts w:ascii="Times New Roman" w:hAnsi="Times New Roman"/>
          <w:color w:val="000000"/>
          <w:lang w:val="en-GB"/>
        </w:rPr>
      </w:pPr>
      <w:r w:rsidRPr="006E1463">
        <w:rPr>
          <w:rFonts w:ascii="Times New Roman" w:hAnsi="Times New Roman"/>
          <w:color w:val="000000"/>
          <w:lang w:val="en-GB"/>
        </w:rPr>
        <w:t>The PE:PG ratios (</w:t>
      </w:r>
      <w:r w:rsidR="008E087F" w:rsidRPr="008E087F">
        <w:rPr>
          <w:rFonts w:ascii="Times New Roman" w:hAnsi="Times New Roman"/>
          <w:color w:val="000000"/>
          <w:lang w:val="en-GB"/>
        </w:rPr>
        <w:t>indicating the predominant</w:t>
      </w:r>
      <w:r w:rsidR="008E087F">
        <w:rPr>
          <w:rFonts w:ascii="Times New Roman" w:hAnsi="Times New Roman"/>
          <w:color w:val="000000"/>
          <w:lang w:val="en-GB"/>
        </w:rPr>
        <w:t xml:space="preserve"> </w:t>
      </w:r>
      <w:r w:rsidRPr="006E1463">
        <w:rPr>
          <w:rFonts w:ascii="Times New Roman" w:hAnsi="Times New Roman"/>
          <w:color w:val="000000"/>
          <w:lang w:val="en-GB"/>
        </w:rPr>
        <w:t>bacteria</w:t>
      </w:r>
      <w:r w:rsidR="00A41800">
        <w:rPr>
          <w:rFonts w:ascii="Times New Roman" w:hAnsi="Times New Roman"/>
          <w:color w:val="000000"/>
          <w:lang w:val="en-GB"/>
        </w:rPr>
        <w:t>l</w:t>
      </w:r>
      <w:r w:rsidRPr="006E1463">
        <w:rPr>
          <w:rFonts w:ascii="Times New Roman" w:hAnsi="Times New Roman"/>
          <w:color w:val="000000"/>
          <w:lang w:val="en-GB"/>
        </w:rPr>
        <w:t xml:space="preserve"> </w:t>
      </w:r>
      <w:r w:rsidR="00A41800">
        <w:rPr>
          <w:rFonts w:ascii="Times New Roman" w:hAnsi="Times New Roman"/>
          <w:color w:val="000000"/>
          <w:lang w:val="en-GB"/>
        </w:rPr>
        <w:t>or</w:t>
      </w:r>
      <w:r w:rsidRPr="006E1463">
        <w:rPr>
          <w:rFonts w:ascii="Times New Roman" w:hAnsi="Times New Roman"/>
          <w:color w:val="000000"/>
          <w:lang w:val="en-GB"/>
        </w:rPr>
        <w:t xml:space="preserve"> phytoplankton biomass) (Table S2) ranged from 0.25 to 0.74 </w:t>
      </w:r>
      <w:r w:rsidR="00EC2982">
        <w:rPr>
          <w:rFonts w:ascii="Times New Roman" w:hAnsi="Times New Roman"/>
          <w:color w:val="000000"/>
          <w:lang w:val="en-GB"/>
        </w:rPr>
        <w:t>in</w:t>
      </w:r>
      <w:r w:rsidRPr="006E1463">
        <w:rPr>
          <w:rFonts w:ascii="Times New Roman" w:hAnsi="Times New Roman"/>
          <w:color w:val="000000"/>
          <w:lang w:val="en-GB"/>
        </w:rPr>
        <w:t xml:space="preserve"> </w:t>
      </w:r>
      <w:r w:rsidR="003571C8">
        <w:rPr>
          <w:rFonts w:ascii="Times New Roman" w:hAnsi="Times New Roman"/>
          <w:color w:val="000000"/>
          <w:lang w:val="en-GB"/>
        </w:rPr>
        <w:t xml:space="preserve">the </w:t>
      </w:r>
      <w:r w:rsidRPr="006E1463">
        <w:rPr>
          <w:rFonts w:ascii="Times New Roman" w:hAnsi="Times New Roman"/>
          <w:color w:val="000000"/>
          <w:lang w:val="en-GB"/>
        </w:rPr>
        <w:t xml:space="preserve">SML and from 0.33 to 0.91 </w:t>
      </w:r>
      <w:r w:rsidR="00EC2982">
        <w:rPr>
          <w:rFonts w:ascii="Times New Roman" w:hAnsi="Times New Roman"/>
          <w:color w:val="000000"/>
          <w:lang w:val="en-GB"/>
        </w:rPr>
        <w:t>in</w:t>
      </w:r>
      <w:r w:rsidRPr="006E1463">
        <w:rPr>
          <w:rFonts w:ascii="Times New Roman" w:hAnsi="Times New Roman"/>
          <w:color w:val="000000"/>
          <w:lang w:val="en-GB"/>
        </w:rPr>
        <w:t xml:space="preserve"> </w:t>
      </w:r>
      <w:r w:rsidR="003571C8">
        <w:rPr>
          <w:rFonts w:ascii="Times New Roman" w:hAnsi="Times New Roman"/>
          <w:color w:val="000000"/>
          <w:lang w:val="en-GB"/>
        </w:rPr>
        <w:t xml:space="preserve">the </w:t>
      </w:r>
      <w:r w:rsidRPr="006E1463">
        <w:rPr>
          <w:rFonts w:ascii="Times New Roman" w:hAnsi="Times New Roman"/>
          <w:color w:val="000000"/>
          <w:lang w:val="en-GB"/>
        </w:rPr>
        <w:t xml:space="preserve">ULW. The highest values were observed at stations W1 and W2 in both SML and ULW, followed by a significant decrease at stations </w:t>
      </w:r>
      <w:r w:rsidRPr="006E1463">
        <w:rPr>
          <w:rFonts w:ascii="Times New Roman" w:hAnsi="Times New Roman"/>
          <w:color w:val="000000"/>
          <w:lang w:val="en-GB"/>
        </w:rPr>
        <w:lastRenderedPageBreak/>
        <w:t>W3 and W4. Wax esters, indicators of zooplankton, were enriched in the SML compared to the ULW (Table 2). The highest concentration of WE was measured</w:t>
      </w:r>
      <w:r w:rsidR="00C63FC0">
        <w:rPr>
          <w:rFonts w:ascii="Times New Roman" w:hAnsi="Times New Roman"/>
          <w:color w:val="000000"/>
          <w:lang w:val="en-GB"/>
        </w:rPr>
        <w:t xml:space="preserve"> in the SML</w:t>
      </w:r>
      <w:r w:rsidRPr="006E1463">
        <w:rPr>
          <w:rFonts w:ascii="Times New Roman" w:hAnsi="Times New Roman"/>
          <w:color w:val="000000"/>
          <w:lang w:val="en-GB"/>
        </w:rPr>
        <w:t xml:space="preserve"> at station W1</w:t>
      </w:r>
      <w:r w:rsidR="00C63FC0">
        <w:rPr>
          <w:rFonts w:ascii="Times New Roman" w:hAnsi="Times New Roman"/>
          <w:color w:val="000000"/>
          <w:lang w:val="en-GB"/>
        </w:rPr>
        <w:t>,</w:t>
      </w:r>
      <w:r w:rsidRPr="006E1463">
        <w:rPr>
          <w:rFonts w:ascii="Times New Roman" w:hAnsi="Times New Roman"/>
          <w:color w:val="000000"/>
          <w:lang w:val="en-GB"/>
        </w:rPr>
        <w:t xml:space="preserve"> closest to the river mouth. </w:t>
      </w:r>
    </w:p>
    <w:p w14:paraId="27CE9BCA" w14:textId="77777777" w:rsidR="002C1CD4" w:rsidRPr="006E1463" w:rsidRDefault="002C1CD4" w:rsidP="00D72BE1">
      <w:pPr>
        <w:pStyle w:val="NoSpacing"/>
        <w:spacing w:line="360" w:lineRule="auto"/>
        <w:rPr>
          <w:rFonts w:ascii="Times New Roman" w:hAnsi="Times New Roman"/>
          <w:color w:val="000000"/>
          <w:lang w:val="en-GB" w:bidi="en-US"/>
        </w:rPr>
      </w:pPr>
    </w:p>
    <w:p w14:paraId="3C3B660E" w14:textId="77777777" w:rsidR="007579A1" w:rsidRPr="006E1463" w:rsidRDefault="007579A1" w:rsidP="00D72BE1">
      <w:pPr>
        <w:pStyle w:val="Heading2"/>
      </w:pPr>
      <w:r w:rsidRPr="006E1463">
        <w:t>4. Discussion</w:t>
      </w:r>
    </w:p>
    <w:p w14:paraId="4DC7007A" w14:textId="77777777" w:rsidR="007579A1" w:rsidRDefault="007579A1" w:rsidP="00D72BE1">
      <w:pPr>
        <w:pStyle w:val="NoSpacing"/>
        <w:spacing w:line="360" w:lineRule="auto"/>
        <w:rPr>
          <w:rFonts w:ascii="Times New Roman" w:hAnsi="Times New Roman"/>
          <w:color w:val="000000"/>
          <w:lang w:val="en-GB" w:bidi="en-US"/>
        </w:rPr>
      </w:pPr>
    </w:p>
    <w:p w14:paraId="666A168B" w14:textId="77777777" w:rsidR="008963C1" w:rsidRDefault="008963C1" w:rsidP="008963C1">
      <w:pPr>
        <w:pStyle w:val="Heading3"/>
        <w:jc w:val="left"/>
      </w:pPr>
      <w:r>
        <w:t xml:space="preserve">4.1. </w:t>
      </w:r>
      <w:r w:rsidRPr="00C043E6">
        <w:t xml:space="preserve">Estimation of river propagation </w:t>
      </w:r>
      <w:r>
        <w:t>to the Gulf of Gdansk</w:t>
      </w:r>
    </w:p>
    <w:p w14:paraId="0EEFC49D" w14:textId="77777777" w:rsidR="008963C1" w:rsidRPr="00C601F1" w:rsidRDefault="008963C1" w:rsidP="008963C1">
      <w:pPr>
        <w:spacing w:after="0" w:line="360" w:lineRule="auto"/>
        <w:rPr>
          <w:lang w:val="en-GB"/>
        </w:rPr>
      </w:pPr>
    </w:p>
    <w:p w14:paraId="1F568704" w14:textId="4DA33E8E" w:rsidR="008963C1" w:rsidRDefault="008963C1" w:rsidP="008963C1">
      <w:pPr>
        <w:spacing w:after="0" w:line="360" w:lineRule="auto"/>
        <w:rPr>
          <w:rFonts w:ascii="Times New Roman" w:hAnsi="Times New Roman"/>
          <w:color w:val="000000"/>
          <w:lang w:val="en-GB"/>
        </w:rPr>
      </w:pPr>
      <w:r>
        <w:rPr>
          <w:rFonts w:ascii="Times New Roman" w:hAnsi="Times New Roman"/>
          <w:color w:val="000000"/>
          <w:lang w:val="en-GB"/>
        </w:rPr>
        <w:t>In the absence</w:t>
      </w:r>
      <w:r w:rsidRPr="00472B2B">
        <w:rPr>
          <w:rFonts w:ascii="Times New Roman" w:hAnsi="Times New Roman"/>
          <w:color w:val="000000"/>
          <w:lang w:val="en-GB"/>
        </w:rPr>
        <w:t xml:space="preserve"> of topographic boundaries, the Vistula Estuary connects freely </w:t>
      </w:r>
      <w:r>
        <w:rPr>
          <w:rFonts w:ascii="Times New Roman" w:hAnsi="Times New Roman"/>
          <w:color w:val="000000"/>
          <w:lang w:val="en-GB"/>
        </w:rPr>
        <w:t>to</w:t>
      </w:r>
      <w:r w:rsidRPr="00472B2B">
        <w:rPr>
          <w:rFonts w:ascii="Times New Roman" w:hAnsi="Times New Roman"/>
          <w:color w:val="000000"/>
          <w:lang w:val="en-GB"/>
        </w:rPr>
        <w:t xml:space="preserve"> the adjacent coastal waters of the Gulf of Gdansk</w:t>
      </w:r>
      <w:r>
        <w:rPr>
          <w:rFonts w:ascii="Times New Roman" w:hAnsi="Times New Roman"/>
          <w:color w:val="000000"/>
          <w:lang w:val="en-GB"/>
        </w:rPr>
        <w:t>. T</w:t>
      </w:r>
      <w:r w:rsidRPr="00472B2B">
        <w:rPr>
          <w:rFonts w:ascii="Times New Roman" w:hAnsi="Times New Roman"/>
          <w:color w:val="000000"/>
          <w:lang w:val="en-GB"/>
        </w:rPr>
        <w:t>he Vistula River plume usually has a horizontal extension of approximately 4</w:t>
      </w:r>
      <w:r>
        <w:rPr>
          <w:rFonts w:ascii="Times New Roman" w:hAnsi="Times New Roman"/>
          <w:color w:val="000000"/>
          <w:lang w:val="en-GB"/>
        </w:rPr>
        <w:t xml:space="preserve"> – </w:t>
      </w:r>
      <w:r w:rsidRPr="00472B2B">
        <w:rPr>
          <w:rFonts w:ascii="Times New Roman" w:hAnsi="Times New Roman"/>
          <w:color w:val="000000"/>
          <w:lang w:val="en-GB"/>
        </w:rPr>
        <w:t xml:space="preserve">30 km </w:t>
      </w:r>
      <w:r>
        <w:rPr>
          <w:rFonts w:ascii="Times New Roman" w:hAnsi="Times New Roman"/>
          <w:color w:val="000000"/>
          <w:lang w:val="en-GB"/>
        </w:rPr>
        <w:t>f</w:t>
      </w:r>
      <w:r w:rsidRPr="00472B2B">
        <w:rPr>
          <w:rFonts w:ascii="Times New Roman" w:hAnsi="Times New Roman"/>
          <w:color w:val="000000"/>
          <w:lang w:val="en-GB"/>
        </w:rPr>
        <w:t>rom the river mouth with</w:t>
      </w:r>
      <w:r>
        <w:rPr>
          <w:rFonts w:ascii="Times New Roman" w:hAnsi="Times New Roman"/>
          <w:color w:val="000000"/>
          <w:lang w:val="en-GB"/>
        </w:rPr>
        <w:t xml:space="preserve"> a</w:t>
      </w:r>
      <w:r w:rsidRPr="00472B2B">
        <w:rPr>
          <w:rFonts w:ascii="Times New Roman" w:hAnsi="Times New Roman"/>
          <w:color w:val="000000"/>
          <w:lang w:val="en-GB"/>
        </w:rPr>
        <w:t xml:space="preserve"> thickness </w:t>
      </w:r>
      <w:r>
        <w:rPr>
          <w:rFonts w:ascii="Times New Roman" w:hAnsi="Times New Roman"/>
          <w:color w:val="000000"/>
          <w:lang w:val="en-GB"/>
        </w:rPr>
        <w:t xml:space="preserve">between </w:t>
      </w:r>
      <w:r w:rsidRPr="00472B2B">
        <w:rPr>
          <w:rFonts w:ascii="Times New Roman" w:hAnsi="Times New Roman"/>
          <w:color w:val="000000"/>
          <w:lang w:val="en-GB"/>
        </w:rPr>
        <w:t xml:space="preserve">0.5 </w:t>
      </w:r>
      <w:r>
        <w:rPr>
          <w:rFonts w:ascii="Times New Roman" w:hAnsi="Times New Roman"/>
          <w:color w:val="000000"/>
          <w:lang w:val="en-GB"/>
        </w:rPr>
        <w:t>and</w:t>
      </w:r>
      <w:r w:rsidRPr="00472B2B">
        <w:rPr>
          <w:rFonts w:ascii="Times New Roman" w:hAnsi="Times New Roman"/>
          <w:color w:val="000000"/>
          <w:lang w:val="en-GB"/>
        </w:rPr>
        <w:t xml:space="preserve"> 12 m (Cyberska and Krzymiński,</w:t>
      </w:r>
      <w:r>
        <w:rPr>
          <w:rFonts w:ascii="Times New Roman" w:hAnsi="Times New Roman"/>
          <w:color w:val="000000"/>
          <w:lang w:val="en-GB"/>
        </w:rPr>
        <w:t xml:space="preserve"> 1988, </w:t>
      </w:r>
      <w:r w:rsidRPr="006E1463">
        <w:rPr>
          <w:rFonts w:ascii="Times New Roman" w:hAnsi="Times New Roman"/>
          <w:noProof/>
          <w:color w:val="000000"/>
          <w:lang w:val="en-GB"/>
        </w:rPr>
        <w:t>Grelowski and Wojewodzki, 1996</w:t>
      </w:r>
      <w:r>
        <w:rPr>
          <w:rFonts w:ascii="Times New Roman" w:hAnsi="Times New Roman"/>
          <w:color w:val="000000"/>
          <w:lang w:val="en-GB"/>
        </w:rPr>
        <w:t xml:space="preserve">), supplying the Gulf of Gdansk with terrestrial organic matter. </w:t>
      </w:r>
      <w:bookmarkStart w:id="16" w:name="_Hlk100040070"/>
      <w:r>
        <w:rPr>
          <w:rFonts w:ascii="Times New Roman" w:hAnsi="Times New Roman"/>
          <w:color w:val="000000"/>
          <w:lang w:val="en-GB"/>
        </w:rPr>
        <w:t>However, t</w:t>
      </w:r>
      <w:r w:rsidRPr="006E1463">
        <w:rPr>
          <w:rFonts w:ascii="Times New Roman" w:hAnsi="Times New Roman"/>
          <w:color w:val="000000"/>
          <w:lang w:val="en-GB"/>
        </w:rPr>
        <w:t>he strong northerly winds prior</w:t>
      </w:r>
      <w:r>
        <w:rPr>
          <w:rFonts w:ascii="Times New Roman" w:hAnsi="Times New Roman"/>
          <w:color w:val="000000"/>
          <w:lang w:val="en-GB"/>
        </w:rPr>
        <w:t xml:space="preserve"> and the easterly winds during</w:t>
      </w:r>
      <w:r w:rsidRPr="006E1463">
        <w:rPr>
          <w:rFonts w:ascii="Times New Roman" w:hAnsi="Times New Roman"/>
          <w:color w:val="000000"/>
          <w:lang w:val="en-GB"/>
        </w:rPr>
        <w:t xml:space="preserve"> the field campaign</w:t>
      </w:r>
      <w:r>
        <w:rPr>
          <w:rFonts w:ascii="Times New Roman" w:hAnsi="Times New Roman"/>
          <w:color w:val="000000"/>
          <w:lang w:val="en-GB"/>
        </w:rPr>
        <w:t xml:space="preserve"> (Figure S</w:t>
      </w:r>
      <w:r w:rsidR="00DE38F1">
        <w:rPr>
          <w:rFonts w:ascii="Times New Roman" w:hAnsi="Times New Roman"/>
          <w:color w:val="000000"/>
          <w:lang w:val="en-GB"/>
        </w:rPr>
        <w:t>2</w:t>
      </w:r>
      <w:r>
        <w:rPr>
          <w:rFonts w:ascii="Times New Roman" w:hAnsi="Times New Roman"/>
          <w:color w:val="000000"/>
          <w:lang w:val="en-GB"/>
        </w:rPr>
        <w:t>)</w:t>
      </w:r>
      <w:r w:rsidRPr="006E1463">
        <w:rPr>
          <w:rFonts w:ascii="Times New Roman" w:hAnsi="Times New Roman"/>
          <w:color w:val="000000"/>
          <w:lang w:val="en-GB"/>
        </w:rPr>
        <w:t xml:space="preserve"> </w:t>
      </w:r>
      <w:r w:rsidRPr="003571C8">
        <w:rPr>
          <w:rFonts w:ascii="Times New Roman" w:hAnsi="Times New Roman"/>
          <w:color w:val="000000"/>
          <w:lang w:val="en-GB"/>
        </w:rPr>
        <w:t>caused a strong</w:t>
      </w:r>
      <w:r>
        <w:rPr>
          <w:rFonts w:ascii="Times New Roman" w:hAnsi="Times New Roman"/>
          <w:color w:val="000000"/>
          <w:lang w:val="en-GB"/>
        </w:rPr>
        <w:t xml:space="preserve"> </w:t>
      </w:r>
      <w:r w:rsidRPr="006E1463">
        <w:rPr>
          <w:rFonts w:ascii="Times New Roman" w:hAnsi="Times New Roman"/>
          <w:color w:val="000000"/>
          <w:lang w:val="en-GB"/>
        </w:rPr>
        <w:t xml:space="preserve">mixing of </w:t>
      </w:r>
      <w:r>
        <w:rPr>
          <w:rFonts w:ascii="Times New Roman" w:hAnsi="Times New Roman"/>
          <w:color w:val="000000"/>
          <w:lang w:val="en-GB"/>
        </w:rPr>
        <w:t xml:space="preserve">the </w:t>
      </w:r>
      <w:r w:rsidRPr="006E1463">
        <w:rPr>
          <w:rFonts w:ascii="Times New Roman" w:hAnsi="Times New Roman"/>
          <w:color w:val="000000"/>
          <w:lang w:val="en-GB"/>
        </w:rPr>
        <w:t xml:space="preserve">surface waters, </w:t>
      </w:r>
      <w:r>
        <w:rPr>
          <w:rFonts w:ascii="Times New Roman" w:hAnsi="Times New Roman"/>
          <w:color w:val="000000"/>
          <w:lang w:val="en-GB"/>
        </w:rPr>
        <w:t xml:space="preserve">probably pushing the Vistula plume westward out of its usual direction (Drozdowska et al., 2017) and </w:t>
      </w:r>
      <w:r w:rsidRPr="006E1463">
        <w:rPr>
          <w:rFonts w:ascii="Times New Roman" w:hAnsi="Times New Roman"/>
          <w:color w:val="000000"/>
          <w:lang w:val="en-GB"/>
        </w:rPr>
        <w:t xml:space="preserve">increasing salinity to &gt;7 </w:t>
      </w:r>
      <w:r>
        <w:rPr>
          <w:rFonts w:ascii="Times New Roman" w:hAnsi="Times New Roman"/>
          <w:color w:val="000000"/>
          <w:lang w:val="en-GB"/>
        </w:rPr>
        <w:t>throughout the studied</w:t>
      </w:r>
      <w:r w:rsidRPr="006E1463">
        <w:rPr>
          <w:rFonts w:ascii="Times New Roman" w:hAnsi="Times New Roman"/>
          <w:color w:val="000000"/>
          <w:lang w:val="en-GB"/>
        </w:rPr>
        <w:t xml:space="preserve"> transect. </w:t>
      </w:r>
      <w:r>
        <w:rPr>
          <w:rFonts w:ascii="Times New Roman" w:hAnsi="Times New Roman"/>
          <w:color w:val="000000"/>
          <w:lang w:val="en-GB"/>
        </w:rPr>
        <w:t xml:space="preserve">The influence of the river was therefore difficult to discern, and the slight increase in salinity and decrease in temperature from stations W1 and W2 toward the open sea indicated that it was mainly confined to the two stations near the river mouth. </w:t>
      </w:r>
      <w:bookmarkStart w:id="17" w:name="_Hlk100041833"/>
      <w:bookmarkEnd w:id="16"/>
      <w:r w:rsidRPr="00FA3354">
        <w:rPr>
          <w:rFonts w:ascii="Times New Roman" w:hAnsi="Times New Roman"/>
          <w:color w:val="000000"/>
          <w:lang w:val="en-GB"/>
        </w:rPr>
        <w:t>As shown by our previous study, which includes this (October 2015) and two other field campaigns (April 2015 and September 2016) along the same transect, the intense mixing of fresh and seawater had an impact on the distribution of OM, based on analysis of its optical properties</w:t>
      </w:r>
      <w:r>
        <w:rPr>
          <w:rFonts w:ascii="Times New Roman" w:hAnsi="Times New Roman"/>
          <w:color w:val="000000"/>
          <w:lang w:val="en-GB"/>
        </w:rPr>
        <w:t xml:space="preserve"> (Drozdowska et al., 2017).</w:t>
      </w:r>
      <w:bookmarkEnd w:id="17"/>
      <w:r w:rsidRPr="006E1463">
        <w:rPr>
          <w:rFonts w:ascii="Times New Roman" w:hAnsi="Times New Roman"/>
          <w:color w:val="000000"/>
          <w:lang w:val="en-GB"/>
        </w:rPr>
        <w:t xml:space="preserve"> </w:t>
      </w:r>
      <w:r>
        <w:rPr>
          <w:rFonts w:ascii="Times New Roman" w:hAnsi="Times New Roman"/>
          <w:color w:val="000000"/>
          <w:lang w:val="en-GB"/>
        </w:rPr>
        <w:t xml:space="preserve">During the </w:t>
      </w:r>
      <w:r w:rsidRPr="006E1463">
        <w:rPr>
          <w:rFonts w:ascii="Times New Roman" w:hAnsi="Times New Roman"/>
          <w:color w:val="000000"/>
          <w:lang w:val="en-GB"/>
        </w:rPr>
        <w:t>April 2015 and September 2016</w:t>
      </w:r>
      <w:r>
        <w:rPr>
          <w:rFonts w:ascii="Times New Roman" w:hAnsi="Times New Roman"/>
          <w:color w:val="000000"/>
          <w:lang w:val="en-GB"/>
        </w:rPr>
        <w:t xml:space="preserve"> campaigns</w:t>
      </w:r>
      <w:r w:rsidRPr="006E1463">
        <w:rPr>
          <w:rFonts w:ascii="Times New Roman" w:hAnsi="Times New Roman"/>
          <w:color w:val="000000"/>
          <w:lang w:val="en-GB"/>
        </w:rPr>
        <w:t>, calm, windless sea conditions prevailed</w:t>
      </w:r>
      <w:r>
        <w:rPr>
          <w:rFonts w:ascii="Times New Roman" w:hAnsi="Times New Roman"/>
          <w:color w:val="000000"/>
          <w:lang w:val="en-GB"/>
        </w:rPr>
        <w:t>,</w:t>
      </w:r>
      <w:r w:rsidRPr="006E1463">
        <w:rPr>
          <w:rFonts w:ascii="Times New Roman" w:hAnsi="Times New Roman"/>
          <w:color w:val="000000"/>
          <w:lang w:val="en-GB"/>
        </w:rPr>
        <w:t xml:space="preserve"> and most importantly, a salinity gradient allowed </w:t>
      </w:r>
      <w:r w:rsidRPr="006C43E7">
        <w:rPr>
          <w:rFonts w:ascii="Times New Roman" w:hAnsi="Times New Roman"/>
          <w:color w:val="000000"/>
          <w:lang w:val="en-GB"/>
        </w:rPr>
        <w:t>us to distinguish</w:t>
      </w:r>
      <w:r w:rsidRPr="006E1463">
        <w:rPr>
          <w:rFonts w:ascii="Times New Roman" w:hAnsi="Times New Roman"/>
          <w:color w:val="000000"/>
          <w:lang w:val="en-GB"/>
        </w:rPr>
        <w:t xml:space="preserve"> between </w:t>
      </w:r>
      <w:r>
        <w:rPr>
          <w:rFonts w:ascii="Times New Roman" w:hAnsi="Times New Roman"/>
          <w:color w:val="000000"/>
          <w:lang w:val="en-GB"/>
        </w:rPr>
        <w:t>coastal waters under the influences of the Vistula River</w:t>
      </w:r>
      <w:r w:rsidRPr="006E1463">
        <w:rPr>
          <w:rFonts w:ascii="Times New Roman" w:hAnsi="Times New Roman"/>
          <w:color w:val="000000"/>
          <w:lang w:val="en-GB"/>
        </w:rPr>
        <w:t xml:space="preserve"> (&lt;7) and seawater (&gt;7)</w:t>
      </w:r>
      <w:r>
        <w:rPr>
          <w:rFonts w:ascii="Times New Roman" w:hAnsi="Times New Roman"/>
          <w:color w:val="000000"/>
          <w:lang w:val="en-GB"/>
        </w:rPr>
        <w:t>, which was not the case during the October 2015 campaign (the campaign analysed in this study)</w:t>
      </w:r>
      <w:r w:rsidRPr="006E1463">
        <w:rPr>
          <w:rFonts w:ascii="Times New Roman" w:hAnsi="Times New Roman"/>
          <w:color w:val="000000"/>
          <w:lang w:val="en-GB"/>
        </w:rPr>
        <w:t xml:space="preserve">. </w:t>
      </w:r>
      <w:r>
        <w:rPr>
          <w:rFonts w:ascii="Times New Roman" w:hAnsi="Times New Roman"/>
          <w:color w:val="000000"/>
          <w:lang w:val="en-GB"/>
        </w:rPr>
        <w:t>T</w:t>
      </w:r>
      <w:r w:rsidRPr="006E1463">
        <w:rPr>
          <w:rFonts w:ascii="Times New Roman" w:hAnsi="Times New Roman"/>
          <w:color w:val="000000"/>
          <w:lang w:val="en-GB"/>
        </w:rPr>
        <w:t xml:space="preserve">he most striking differences </w:t>
      </w:r>
      <w:r>
        <w:rPr>
          <w:rFonts w:ascii="Times New Roman" w:hAnsi="Times New Roman"/>
          <w:color w:val="000000"/>
          <w:lang w:val="en-GB"/>
        </w:rPr>
        <w:t xml:space="preserve">between </w:t>
      </w:r>
      <w:r w:rsidRPr="006E1463">
        <w:rPr>
          <w:rFonts w:ascii="Times New Roman" w:hAnsi="Times New Roman"/>
          <w:color w:val="000000"/>
          <w:lang w:val="en-GB"/>
        </w:rPr>
        <w:t>April 2015</w:t>
      </w:r>
      <w:r>
        <w:rPr>
          <w:rFonts w:ascii="Times New Roman" w:hAnsi="Times New Roman"/>
          <w:color w:val="000000"/>
          <w:lang w:val="en-GB"/>
        </w:rPr>
        <w:t>,</w:t>
      </w:r>
      <w:r w:rsidRPr="006E1463">
        <w:rPr>
          <w:rFonts w:ascii="Times New Roman" w:hAnsi="Times New Roman"/>
          <w:color w:val="000000"/>
          <w:lang w:val="en-GB"/>
        </w:rPr>
        <w:t xml:space="preserve"> September 2016</w:t>
      </w:r>
      <w:r>
        <w:rPr>
          <w:rFonts w:ascii="Times New Roman" w:hAnsi="Times New Roman"/>
          <w:color w:val="000000"/>
          <w:lang w:val="en-GB"/>
        </w:rPr>
        <w:t xml:space="preserve"> and this campaign were observed for the stations closest to the river mouth</w:t>
      </w:r>
      <w:r w:rsidRPr="006E1463">
        <w:rPr>
          <w:rFonts w:ascii="Times New Roman" w:hAnsi="Times New Roman"/>
          <w:color w:val="000000"/>
          <w:lang w:val="en-GB"/>
        </w:rPr>
        <w:t xml:space="preserve">. </w:t>
      </w:r>
      <w:r>
        <w:rPr>
          <w:rFonts w:ascii="Times New Roman" w:hAnsi="Times New Roman"/>
          <w:color w:val="000000"/>
          <w:lang w:val="en-GB"/>
        </w:rPr>
        <w:t>T</w:t>
      </w:r>
      <w:r w:rsidRPr="006E1463">
        <w:rPr>
          <w:rFonts w:ascii="Times New Roman" w:hAnsi="Times New Roman"/>
          <w:color w:val="000000"/>
          <w:lang w:val="en-GB"/>
        </w:rPr>
        <w:t>he absorption coefficient</w:t>
      </w:r>
      <w:r>
        <w:rPr>
          <w:rFonts w:ascii="Times New Roman" w:hAnsi="Times New Roman"/>
          <w:color w:val="000000"/>
          <w:lang w:val="en-GB"/>
        </w:rPr>
        <w:t>s</w:t>
      </w:r>
      <w:r w:rsidRPr="006E1463">
        <w:rPr>
          <w:rFonts w:ascii="Times New Roman" w:hAnsi="Times New Roman"/>
          <w:color w:val="000000"/>
          <w:lang w:val="en-GB"/>
        </w:rPr>
        <w:t xml:space="preserve"> a</w:t>
      </w:r>
      <w:r w:rsidRPr="006E1463">
        <w:rPr>
          <w:rFonts w:ascii="Times New Roman" w:hAnsi="Times New Roman"/>
          <w:color w:val="000000"/>
          <w:vertAlign w:val="subscript"/>
          <w:lang w:val="en-GB"/>
        </w:rPr>
        <w:t>CDOM</w:t>
      </w:r>
      <w:r w:rsidRPr="006E1463">
        <w:rPr>
          <w:rFonts w:ascii="Times New Roman" w:hAnsi="Times New Roman"/>
          <w:color w:val="000000"/>
          <w:lang w:val="en-GB"/>
        </w:rPr>
        <w:t xml:space="preserve">(254) </w:t>
      </w:r>
      <w:r>
        <w:rPr>
          <w:rFonts w:ascii="Times New Roman" w:hAnsi="Times New Roman"/>
          <w:color w:val="000000"/>
          <w:lang w:val="en-GB"/>
        </w:rPr>
        <w:t>were</w:t>
      </w:r>
      <w:r w:rsidRPr="006E1463">
        <w:rPr>
          <w:rFonts w:ascii="Times New Roman" w:hAnsi="Times New Roman"/>
          <w:color w:val="000000"/>
          <w:lang w:val="en-GB"/>
        </w:rPr>
        <w:t xml:space="preserve"> higher </w:t>
      </w:r>
      <w:r>
        <w:rPr>
          <w:rFonts w:ascii="Times New Roman" w:hAnsi="Times New Roman"/>
          <w:color w:val="000000"/>
          <w:lang w:val="en-GB"/>
        </w:rPr>
        <w:t>in</w:t>
      </w:r>
      <w:r w:rsidRPr="006E1463">
        <w:rPr>
          <w:rFonts w:ascii="Times New Roman" w:hAnsi="Times New Roman"/>
          <w:color w:val="000000"/>
          <w:lang w:val="en-GB"/>
        </w:rPr>
        <w:t xml:space="preserve"> April 2015 and September 2016, </w:t>
      </w:r>
      <w:r>
        <w:rPr>
          <w:rFonts w:ascii="Times New Roman" w:hAnsi="Times New Roman"/>
          <w:color w:val="000000"/>
          <w:lang w:val="en-GB"/>
        </w:rPr>
        <w:t>than in campaign discussed here. T</w:t>
      </w:r>
      <w:r w:rsidRPr="006E1463">
        <w:rPr>
          <w:rFonts w:ascii="Times New Roman" w:hAnsi="Times New Roman"/>
          <w:color w:val="000000"/>
          <w:lang w:val="en-GB"/>
        </w:rPr>
        <w:t>he changes in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values spanned a range</w:t>
      </w:r>
      <w:r>
        <w:rPr>
          <w:rFonts w:ascii="Times New Roman" w:hAnsi="Times New Roman"/>
          <w:color w:val="000000"/>
          <w:lang w:val="en-GB"/>
        </w:rPr>
        <w:t xml:space="preserve"> </w:t>
      </w:r>
      <w:r w:rsidRPr="006E1463">
        <w:rPr>
          <w:rFonts w:ascii="Times New Roman" w:hAnsi="Times New Roman"/>
          <w:color w:val="000000"/>
          <w:lang w:val="en-GB"/>
        </w:rPr>
        <w:t xml:space="preserve">three times larger </w:t>
      </w:r>
      <w:r>
        <w:rPr>
          <w:rFonts w:ascii="Times New Roman" w:hAnsi="Times New Roman"/>
          <w:color w:val="000000"/>
          <w:lang w:val="en-GB"/>
        </w:rPr>
        <w:t>in April 2015 and September 2016</w:t>
      </w:r>
      <w:r w:rsidRPr="006E1463">
        <w:rPr>
          <w:rFonts w:ascii="Times New Roman" w:hAnsi="Times New Roman"/>
          <w:color w:val="000000"/>
          <w:lang w:val="en-GB"/>
        </w:rPr>
        <w:t xml:space="preserve"> (Figures</w:t>
      </w:r>
      <w:r w:rsidR="007A0936">
        <w:rPr>
          <w:rFonts w:ascii="Times New Roman" w:hAnsi="Times New Roman"/>
          <w:color w:val="000000"/>
          <w:lang w:val="en-GB"/>
        </w:rPr>
        <w:t xml:space="preserve"> 3A</w:t>
      </w:r>
      <w:r>
        <w:rPr>
          <w:rFonts w:ascii="Times New Roman" w:hAnsi="Times New Roman"/>
          <w:color w:val="000000"/>
          <w:lang w:val="en-GB"/>
        </w:rPr>
        <w:t>, 3</w:t>
      </w:r>
      <w:r w:rsidR="007A0936">
        <w:rPr>
          <w:rFonts w:ascii="Times New Roman" w:hAnsi="Times New Roman"/>
          <w:color w:val="000000"/>
          <w:lang w:val="en-GB"/>
        </w:rPr>
        <w:t>B</w:t>
      </w:r>
      <w:r>
        <w:rPr>
          <w:rFonts w:ascii="Times New Roman" w:hAnsi="Times New Roman"/>
          <w:color w:val="000000"/>
          <w:lang w:val="en-GB"/>
        </w:rPr>
        <w:t>,</w:t>
      </w:r>
      <w:r w:rsidRPr="006E1463">
        <w:rPr>
          <w:rFonts w:ascii="Times New Roman" w:hAnsi="Times New Roman"/>
          <w:color w:val="000000"/>
          <w:lang w:val="en-GB"/>
        </w:rPr>
        <w:t xml:space="preserve"> S</w:t>
      </w:r>
      <w:r w:rsidR="00DE38F1">
        <w:rPr>
          <w:rFonts w:ascii="Times New Roman" w:hAnsi="Times New Roman"/>
          <w:color w:val="000000"/>
          <w:lang w:val="en-GB"/>
        </w:rPr>
        <w:t>3</w:t>
      </w:r>
      <w:r w:rsidRPr="006E1463">
        <w:rPr>
          <w:rFonts w:ascii="Times New Roman" w:hAnsi="Times New Roman"/>
          <w:color w:val="000000"/>
          <w:lang w:val="en-GB"/>
        </w:rPr>
        <w:t xml:space="preserve"> and S</w:t>
      </w:r>
      <w:r w:rsidR="00DE38F1">
        <w:rPr>
          <w:rFonts w:ascii="Times New Roman" w:hAnsi="Times New Roman"/>
          <w:color w:val="000000"/>
          <w:lang w:val="en-GB"/>
        </w:rPr>
        <w:t>4</w:t>
      </w:r>
      <w:r w:rsidRPr="006E1463">
        <w:rPr>
          <w:rFonts w:ascii="Times New Roman" w:hAnsi="Times New Roman"/>
          <w:color w:val="000000"/>
          <w:lang w:val="en-GB"/>
        </w:rPr>
        <w:t xml:space="preserve">) </w:t>
      </w:r>
      <w:r w:rsidRPr="006E1463">
        <w:rPr>
          <w:rFonts w:ascii="Times New Roman" w:hAnsi="Times New Roman"/>
          <w:noProof/>
          <w:color w:val="000000"/>
          <w:lang w:val="en-GB"/>
        </w:rPr>
        <w:t>(Drozdowska et al., 2017)</w:t>
      </w:r>
      <w:r w:rsidRPr="006E1463">
        <w:rPr>
          <w:rFonts w:ascii="Times New Roman" w:hAnsi="Times New Roman"/>
          <w:color w:val="000000"/>
          <w:lang w:val="en-GB"/>
        </w:rPr>
        <w:t xml:space="preserve">. All FDOM components had significantly higher intensities in both SML and ULW in April 2015 and September 2016 </w:t>
      </w:r>
      <w:r>
        <w:rPr>
          <w:rFonts w:ascii="Times New Roman" w:hAnsi="Times New Roman"/>
          <w:color w:val="000000"/>
          <w:lang w:val="en-GB"/>
        </w:rPr>
        <w:t>compared to</w:t>
      </w:r>
      <w:r w:rsidRPr="006E1463">
        <w:rPr>
          <w:rFonts w:ascii="Times New Roman" w:hAnsi="Times New Roman"/>
          <w:color w:val="000000"/>
          <w:lang w:val="en-GB"/>
        </w:rPr>
        <w:t xml:space="preserve"> </w:t>
      </w:r>
      <w:r>
        <w:rPr>
          <w:rFonts w:ascii="Times New Roman" w:hAnsi="Times New Roman"/>
          <w:color w:val="000000"/>
          <w:lang w:val="en-GB"/>
        </w:rPr>
        <w:t>this campaign, especially at stations W1 and W2</w:t>
      </w:r>
      <w:r w:rsidRPr="006E1463">
        <w:rPr>
          <w:rFonts w:ascii="Times New Roman" w:hAnsi="Times New Roman"/>
          <w:color w:val="000000"/>
          <w:lang w:val="en-GB"/>
        </w:rPr>
        <w:t xml:space="preserve"> (Figure</w:t>
      </w:r>
      <w:r>
        <w:rPr>
          <w:rFonts w:ascii="Times New Roman" w:hAnsi="Times New Roman"/>
          <w:color w:val="000000"/>
          <w:lang w:val="en-GB"/>
        </w:rPr>
        <w:t>s 4 and</w:t>
      </w:r>
      <w:r w:rsidRPr="006E1463">
        <w:rPr>
          <w:rFonts w:ascii="Times New Roman" w:hAnsi="Times New Roman"/>
          <w:color w:val="000000"/>
          <w:lang w:val="en-GB"/>
        </w:rPr>
        <w:t xml:space="preserve"> </w:t>
      </w:r>
      <w:r w:rsidRPr="00791B5F">
        <w:rPr>
          <w:rFonts w:ascii="Times New Roman" w:hAnsi="Times New Roman"/>
          <w:color w:val="000000"/>
          <w:lang w:val="en-GB"/>
        </w:rPr>
        <w:t>S</w:t>
      </w:r>
      <w:r w:rsidR="00DE38F1">
        <w:rPr>
          <w:rFonts w:ascii="Times New Roman" w:hAnsi="Times New Roman"/>
          <w:color w:val="000000"/>
          <w:lang w:val="en-GB"/>
        </w:rPr>
        <w:t>5</w:t>
      </w:r>
      <w:r w:rsidRPr="006E1463">
        <w:rPr>
          <w:rFonts w:ascii="Times New Roman" w:hAnsi="Times New Roman"/>
          <w:color w:val="000000"/>
          <w:lang w:val="en-GB"/>
        </w:rPr>
        <w:t>)</w:t>
      </w:r>
      <w:r>
        <w:rPr>
          <w:rFonts w:ascii="Times New Roman" w:hAnsi="Times New Roman"/>
          <w:color w:val="000000"/>
          <w:lang w:val="en-GB"/>
        </w:rPr>
        <w:t xml:space="preserve">, likely due to calmer weather conditions </w:t>
      </w:r>
      <w:r w:rsidRPr="000C64A9">
        <w:rPr>
          <w:rFonts w:ascii="Times New Roman" w:hAnsi="Times New Roman"/>
          <w:color w:val="000000"/>
          <w:lang w:val="en-GB"/>
        </w:rPr>
        <w:t>that allowed for greater</w:t>
      </w:r>
      <w:r>
        <w:rPr>
          <w:rFonts w:ascii="Times New Roman" w:hAnsi="Times New Roman"/>
          <w:color w:val="000000"/>
          <w:lang w:val="en-GB"/>
        </w:rPr>
        <w:t xml:space="preserve"> influence of riverine material on the surface coastal waters. </w:t>
      </w:r>
      <w:bookmarkStart w:id="18" w:name="_Hlk100062907"/>
      <w:r>
        <w:rPr>
          <w:rFonts w:ascii="Times New Roman" w:hAnsi="Times New Roman"/>
          <w:color w:val="000000"/>
          <w:lang w:val="en-GB"/>
        </w:rPr>
        <w:t>F</w:t>
      </w:r>
      <w:r w:rsidRPr="006E1463">
        <w:rPr>
          <w:rFonts w:ascii="Times New Roman" w:hAnsi="Times New Roman"/>
          <w:color w:val="000000"/>
          <w:lang w:val="en-GB"/>
        </w:rPr>
        <w:t>luorescen</w:t>
      </w:r>
      <w:r w:rsidR="00FF28AF">
        <w:rPr>
          <w:rFonts w:ascii="Times New Roman" w:hAnsi="Times New Roman"/>
          <w:color w:val="000000"/>
          <w:lang w:val="en-GB"/>
        </w:rPr>
        <w:t>ce</w:t>
      </w:r>
      <w:r w:rsidRPr="006E1463">
        <w:rPr>
          <w:rFonts w:ascii="Times New Roman" w:hAnsi="Times New Roman"/>
          <w:color w:val="000000"/>
          <w:lang w:val="en-GB"/>
        </w:rPr>
        <w:t xml:space="preserve"> intensities</w:t>
      </w:r>
      <w:r>
        <w:rPr>
          <w:rFonts w:ascii="Times New Roman" w:hAnsi="Times New Roman"/>
          <w:color w:val="000000"/>
          <w:lang w:val="en-GB"/>
        </w:rPr>
        <w:t xml:space="preserve"> obtained for</w:t>
      </w:r>
      <w:r w:rsidR="006B3531" w:rsidRPr="006B3531">
        <w:rPr>
          <w:rFonts w:ascii="Times New Roman" w:hAnsi="Times New Roman"/>
          <w:color w:val="000000"/>
          <w:lang w:val="en-GB"/>
        </w:rPr>
        <w:t xml:space="preserve"> </w:t>
      </w:r>
      <w:r w:rsidR="006B3531">
        <w:rPr>
          <w:rFonts w:ascii="Times New Roman" w:hAnsi="Times New Roman"/>
          <w:color w:val="000000"/>
          <w:lang w:val="en-GB"/>
        </w:rPr>
        <w:t>this campaign in October 2015</w:t>
      </w:r>
      <w:r>
        <w:rPr>
          <w:rFonts w:ascii="Times New Roman" w:hAnsi="Times New Roman"/>
          <w:color w:val="000000"/>
          <w:lang w:val="en-GB"/>
        </w:rPr>
        <w:t xml:space="preserve">, were reasonably comparable </w:t>
      </w:r>
      <w:r w:rsidRPr="006E1463">
        <w:rPr>
          <w:rFonts w:ascii="Times New Roman" w:hAnsi="Times New Roman"/>
          <w:color w:val="000000"/>
          <w:lang w:val="en-GB"/>
        </w:rPr>
        <w:t>to those observed in April 2015 and September 2016</w:t>
      </w:r>
      <w:r>
        <w:rPr>
          <w:rFonts w:ascii="Times New Roman" w:hAnsi="Times New Roman"/>
          <w:color w:val="000000"/>
          <w:lang w:val="en-GB"/>
        </w:rPr>
        <w:t xml:space="preserve"> only </w:t>
      </w:r>
      <w:r w:rsidRPr="006E1463">
        <w:rPr>
          <w:rFonts w:ascii="Times New Roman" w:hAnsi="Times New Roman"/>
          <w:color w:val="000000"/>
          <w:lang w:val="en-GB"/>
        </w:rPr>
        <w:t>in waters with salinity &gt;7</w:t>
      </w:r>
      <w:r>
        <w:rPr>
          <w:rFonts w:ascii="Times New Roman" w:hAnsi="Times New Roman"/>
          <w:color w:val="000000"/>
          <w:lang w:val="en-GB"/>
        </w:rPr>
        <w:t xml:space="preserve">, </w:t>
      </w:r>
      <w:r w:rsidR="006B3531">
        <w:rPr>
          <w:rFonts w:ascii="Times New Roman" w:hAnsi="Times New Roman"/>
          <w:color w:val="000000"/>
          <w:lang w:val="en-GB"/>
        </w:rPr>
        <w:t xml:space="preserve">again </w:t>
      </w:r>
      <w:r>
        <w:rPr>
          <w:rFonts w:ascii="Times New Roman" w:hAnsi="Times New Roman"/>
          <w:color w:val="000000"/>
          <w:lang w:val="en-GB"/>
        </w:rPr>
        <w:t xml:space="preserve">indicating the very limited influence of the Vistula River and </w:t>
      </w:r>
      <w:r w:rsidRPr="006E1463">
        <w:rPr>
          <w:rFonts w:ascii="Times New Roman" w:hAnsi="Times New Roman"/>
          <w:color w:val="000000"/>
          <w:lang w:val="en-GB"/>
        </w:rPr>
        <w:t>a strong seawater</w:t>
      </w:r>
      <w:r>
        <w:rPr>
          <w:rFonts w:ascii="Times New Roman" w:hAnsi="Times New Roman"/>
          <w:color w:val="000000"/>
          <w:lang w:val="en-GB"/>
        </w:rPr>
        <w:t xml:space="preserve"> intrusion in</w:t>
      </w:r>
      <w:r w:rsidRPr="006E1463">
        <w:rPr>
          <w:rFonts w:ascii="Times New Roman" w:hAnsi="Times New Roman"/>
          <w:color w:val="000000"/>
          <w:lang w:val="en-GB"/>
        </w:rPr>
        <w:t xml:space="preserve"> October 2015. </w:t>
      </w:r>
      <w:r>
        <w:rPr>
          <w:rFonts w:ascii="Times New Roman" w:hAnsi="Times New Roman"/>
          <w:color w:val="000000"/>
          <w:lang w:val="en-GB"/>
        </w:rPr>
        <w:t>However, t</w:t>
      </w:r>
      <w:r w:rsidRPr="006E1463">
        <w:rPr>
          <w:rFonts w:ascii="Times New Roman" w:hAnsi="Times New Roman"/>
          <w:color w:val="000000"/>
          <w:lang w:val="en-GB"/>
        </w:rPr>
        <w:t>he contribution of the different FDOM components</w:t>
      </w:r>
      <w:r>
        <w:rPr>
          <w:rFonts w:ascii="Times New Roman" w:hAnsi="Times New Roman"/>
          <w:color w:val="000000"/>
          <w:lang w:val="en-GB"/>
        </w:rPr>
        <w:t xml:space="preserve"> determined in April 2015 and September 2016</w:t>
      </w:r>
      <w:r w:rsidRPr="006E1463">
        <w:rPr>
          <w:rFonts w:ascii="Times New Roman" w:hAnsi="Times New Roman"/>
          <w:color w:val="000000"/>
          <w:lang w:val="en-GB"/>
        </w:rPr>
        <w:t xml:space="preserve"> </w:t>
      </w:r>
      <w:r>
        <w:rPr>
          <w:rFonts w:ascii="Times New Roman" w:hAnsi="Times New Roman"/>
          <w:color w:val="000000"/>
          <w:lang w:val="en-GB"/>
        </w:rPr>
        <w:lastRenderedPageBreak/>
        <w:t>was</w:t>
      </w:r>
      <w:r w:rsidRPr="006E1463">
        <w:rPr>
          <w:rFonts w:ascii="Times New Roman" w:hAnsi="Times New Roman"/>
          <w:color w:val="000000"/>
          <w:lang w:val="en-GB"/>
        </w:rPr>
        <w:t xml:space="preserve"> not significantly differ</w:t>
      </w:r>
      <w:r>
        <w:rPr>
          <w:rFonts w:ascii="Times New Roman" w:hAnsi="Times New Roman"/>
          <w:color w:val="000000"/>
          <w:lang w:val="en-GB"/>
        </w:rPr>
        <w:t xml:space="preserve">ent from </w:t>
      </w:r>
      <w:r w:rsidR="006B3531">
        <w:rPr>
          <w:rFonts w:ascii="Times New Roman" w:hAnsi="Times New Roman"/>
          <w:color w:val="000000"/>
          <w:lang w:val="en-GB"/>
        </w:rPr>
        <w:t xml:space="preserve">those </w:t>
      </w:r>
      <w:r>
        <w:rPr>
          <w:rFonts w:ascii="Times New Roman" w:hAnsi="Times New Roman"/>
          <w:color w:val="000000"/>
          <w:lang w:val="en-GB"/>
        </w:rPr>
        <w:t>determined for this campaign, probably because most of the samples in April 2015 and September 2016 actually had salinity &gt;7</w:t>
      </w:r>
      <w:r w:rsidRPr="006E1463">
        <w:rPr>
          <w:rFonts w:ascii="Times New Roman" w:hAnsi="Times New Roman"/>
          <w:color w:val="000000"/>
          <w:lang w:val="en-GB"/>
        </w:rPr>
        <w:t>.</w:t>
      </w:r>
      <w:r>
        <w:rPr>
          <w:rFonts w:ascii="Times New Roman" w:hAnsi="Times New Roman"/>
          <w:color w:val="000000"/>
          <w:lang w:val="en-GB"/>
        </w:rPr>
        <w:t xml:space="preserve"> </w:t>
      </w:r>
    </w:p>
    <w:p w14:paraId="55865EF9" w14:textId="77777777" w:rsidR="008963C1" w:rsidRDefault="008963C1" w:rsidP="006B3531">
      <w:pPr>
        <w:spacing w:after="0" w:line="360" w:lineRule="auto"/>
        <w:ind w:firstLine="708"/>
        <w:rPr>
          <w:rFonts w:ascii="Times New Roman" w:hAnsi="Times New Roman"/>
          <w:color w:val="000000"/>
          <w:lang w:val="en-GB"/>
        </w:rPr>
      </w:pPr>
      <w:bookmarkStart w:id="19" w:name="_Hlk100044770"/>
      <w:bookmarkEnd w:id="18"/>
      <w:r>
        <w:rPr>
          <w:rFonts w:ascii="Times New Roman" w:hAnsi="Times New Roman"/>
          <w:color w:val="000000"/>
          <w:lang w:val="en-GB"/>
        </w:rPr>
        <w:t>During the October 2015 campaign, s</w:t>
      </w:r>
      <w:r w:rsidRPr="006E1463">
        <w:rPr>
          <w:rFonts w:ascii="Times New Roman" w:hAnsi="Times New Roman"/>
          <w:color w:val="000000"/>
          <w:lang w:val="en-GB"/>
        </w:rPr>
        <w:t>ignificantly higher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 in the SML and ULW at station W1 compared to</w:t>
      </w:r>
      <w:r>
        <w:rPr>
          <w:rFonts w:ascii="Times New Roman" w:hAnsi="Times New Roman"/>
          <w:color w:val="000000"/>
          <w:lang w:val="en-GB"/>
        </w:rPr>
        <w:t xml:space="preserve"> all other</w:t>
      </w:r>
      <w:r w:rsidRPr="006E1463">
        <w:rPr>
          <w:rFonts w:ascii="Times New Roman" w:hAnsi="Times New Roman"/>
          <w:color w:val="000000"/>
          <w:lang w:val="en-GB"/>
        </w:rPr>
        <w:t xml:space="preserve"> stations indicat</w:t>
      </w:r>
      <w:r>
        <w:rPr>
          <w:rFonts w:ascii="Times New Roman" w:hAnsi="Times New Roman"/>
          <w:color w:val="000000"/>
          <w:lang w:val="en-GB"/>
        </w:rPr>
        <w:t>e</w:t>
      </w:r>
      <w:r w:rsidRPr="006E1463">
        <w:rPr>
          <w:rFonts w:ascii="Times New Roman" w:hAnsi="Times New Roman"/>
          <w:color w:val="000000"/>
          <w:lang w:val="en-GB"/>
        </w:rPr>
        <w:t xml:space="preserve"> </w:t>
      </w:r>
      <w:r>
        <w:rPr>
          <w:rFonts w:ascii="Times New Roman" w:hAnsi="Times New Roman"/>
          <w:color w:val="000000"/>
          <w:lang w:val="en-GB"/>
        </w:rPr>
        <w:t>the</w:t>
      </w:r>
      <w:r w:rsidRPr="006E1463">
        <w:rPr>
          <w:rFonts w:ascii="Times New Roman" w:hAnsi="Times New Roman"/>
          <w:color w:val="000000"/>
          <w:lang w:val="en-GB"/>
        </w:rPr>
        <w:t xml:space="preserve"> strong</w:t>
      </w:r>
      <w:r>
        <w:rPr>
          <w:rFonts w:ascii="Times New Roman" w:hAnsi="Times New Roman"/>
          <w:color w:val="000000"/>
          <w:lang w:val="en-GB"/>
        </w:rPr>
        <w:t>est</w:t>
      </w:r>
      <w:r w:rsidRPr="006E1463">
        <w:rPr>
          <w:rFonts w:ascii="Times New Roman" w:hAnsi="Times New Roman"/>
          <w:color w:val="000000"/>
          <w:lang w:val="en-GB"/>
        </w:rPr>
        <w:t xml:space="preserve"> presence of riverine chromophoric DOM</w:t>
      </w:r>
      <w:r>
        <w:rPr>
          <w:rFonts w:ascii="Times New Roman" w:hAnsi="Times New Roman"/>
          <w:color w:val="000000"/>
          <w:lang w:val="en-GB"/>
        </w:rPr>
        <w:t xml:space="preserve"> closest to the river mouth</w:t>
      </w:r>
      <w:r w:rsidRPr="006E1463">
        <w:rPr>
          <w:rFonts w:ascii="Times New Roman" w:hAnsi="Times New Roman"/>
          <w:color w:val="000000"/>
          <w:lang w:val="en-GB"/>
        </w:rPr>
        <w:t>, while lower values determined for the two layers at stations W2 - W9 i</w:t>
      </w:r>
      <w:r>
        <w:rPr>
          <w:rFonts w:ascii="Times New Roman" w:hAnsi="Times New Roman"/>
          <w:color w:val="000000"/>
          <w:lang w:val="en-GB"/>
        </w:rPr>
        <w:t>ndicate</w:t>
      </w:r>
      <w:r w:rsidRPr="006E1463">
        <w:rPr>
          <w:rFonts w:ascii="Times New Roman" w:hAnsi="Times New Roman"/>
          <w:color w:val="000000"/>
          <w:lang w:val="en-GB"/>
        </w:rPr>
        <w:t xml:space="preserve"> removal of CDOM</w:t>
      </w:r>
      <w:r>
        <w:rPr>
          <w:rFonts w:ascii="Times New Roman" w:hAnsi="Times New Roman"/>
          <w:color w:val="000000"/>
          <w:lang w:val="en-GB"/>
        </w:rPr>
        <w:t>, probably</w:t>
      </w:r>
      <w:r w:rsidRPr="006E1463">
        <w:rPr>
          <w:rFonts w:ascii="Times New Roman" w:hAnsi="Times New Roman"/>
          <w:color w:val="000000"/>
          <w:lang w:val="en-GB"/>
        </w:rPr>
        <w:t xml:space="preserve"> by </w:t>
      </w:r>
      <w:r>
        <w:rPr>
          <w:rFonts w:ascii="Times New Roman" w:hAnsi="Times New Roman"/>
          <w:color w:val="000000"/>
          <w:lang w:val="en-GB"/>
        </w:rPr>
        <w:t>p</w:t>
      </w:r>
      <w:r w:rsidRPr="006E1463">
        <w:rPr>
          <w:rFonts w:ascii="Times New Roman" w:hAnsi="Times New Roman"/>
          <w:color w:val="000000"/>
          <w:lang w:val="en-GB"/>
        </w:rPr>
        <w:t xml:space="preserve">hotodegradation/transformation </w:t>
      </w:r>
      <w:r w:rsidRPr="006E1463">
        <w:rPr>
          <w:rFonts w:ascii="Times New Roman" w:hAnsi="Times New Roman"/>
          <w:noProof/>
          <w:color w:val="000000"/>
          <w:lang w:val="en-GB"/>
        </w:rPr>
        <w:t>(Obernosterer et al., 2008)</w:t>
      </w:r>
      <w:r>
        <w:rPr>
          <w:rFonts w:ascii="Times New Roman" w:hAnsi="Times New Roman"/>
          <w:noProof/>
          <w:color w:val="000000"/>
          <w:lang w:val="en-GB"/>
        </w:rPr>
        <w:t>, as well as dillution processes of riverine OM upon entering the Gulf (Pereira et al., 2016)</w:t>
      </w:r>
      <w:r w:rsidRPr="006E1463">
        <w:rPr>
          <w:rFonts w:ascii="Times New Roman" w:hAnsi="Times New Roman"/>
          <w:color w:val="000000"/>
          <w:lang w:val="en-GB"/>
        </w:rPr>
        <w:t>. Similar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w:t>
      </w:r>
      <w:r>
        <w:rPr>
          <w:rFonts w:ascii="Times New Roman" w:hAnsi="Times New Roman"/>
          <w:color w:val="000000"/>
          <w:lang w:val="en-GB"/>
        </w:rPr>
        <w:t xml:space="preserve"> </w:t>
      </w:r>
      <w:r w:rsidRPr="006E1463">
        <w:rPr>
          <w:rFonts w:ascii="Times New Roman" w:hAnsi="Times New Roman"/>
          <w:color w:val="000000"/>
          <w:lang w:val="en-GB"/>
        </w:rPr>
        <w:t xml:space="preserve">absorption coefficient </w:t>
      </w:r>
      <w:r>
        <w:rPr>
          <w:rFonts w:ascii="Times New Roman" w:hAnsi="Times New Roman"/>
          <w:color w:val="000000"/>
          <w:lang w:val="en-GB"/>
        </w:rPr>
        <w:t xml:space="preserve">values determined in SML and ULW </w:t>
      </w:r>
      <w:r w:rsidRPr="006E1463">
        <w:rPr>
          <w:rFonts w:ascii="Times New Roman" w:hAnsi="Times New Roman"/>
          <w:color w:val="000000"/>
          <w:lang w:val="en-GB"/>
        </w:rPr>
        <w:t>(Figure 3</w:t>
      </w:r>
      <w:r>
        <w:rPr>
          <w:rFonts w:ascii="Times New Roman" w:hAnsi="Times New Roman"/>
          <w:color w:val="000000"/>
          <w:lang w:val="en-GB"/>
        </w:rPr>
        <w:t>A</w:t>
      </w:r>
      <w:r w:rsidRPr="006E1463">
        <w:rPr>
          <w:rFonts w:ascii="Times New Roman" w:hAnsi="Times New Roman"/>
          <w:color w:val="000000"/>
          <w:lang w:val="en-GB"/>
        </w:rPr>
        <w:t>) confirm</w:t>
      </w:r>
      <w:r>
        <w:rPr>
          <w:rFonts w:ascii="Times New Roman" w:hAnsi="Times New Roman"/>
          <w:color w:val="000000"/>
          <w:lang w:val="en-GB"/>
        </w:rPr>
        <w:t>ed</w:t>
      </w:r>
      <w:r w:rsidRPr="006E1463">
        <w:rPr>
          <w:rFonts w:ascii="Times New Roman" w:hAnsi="Times New Roman"/>
          <w:color w:val="000000"/>
          <w:lang w:val="en-GB"/>
        </w:rPr>
        <w:t xml:space="preserve"> a well-mixed upper water column</w:t>
      </w:r>
      <w:r>
        <w:rPr>
          <w:rFonts w:ascii="Times New Roman" w:hAnsi="Times New Roman"/>
          <w:color w:val="000000"/>
          <w:lang w:val="en-GB"/>
        </w:rPr>
        <w:t>, although no statistically significant correlation was found between SML and ULW values</w:t>
      </w:r>
      <w:r w:rsidRPr="006E1463">
        <w:rPr>
          <w:rFonts w:ascii="Times New Roman" w:hAnsi="Times New Roman"/>
          <w:color w:val="000000"/>
          <w:lang w:val="en-GB"/>
        </w:rPr>
        <w:t>.</w:t>
      </w:r>
      <w:bookmarkEnd w:id="19"/>
      <w:r>
        <w:rPr>
          <w:rFonts w:ascii="Times New Roman" w:hAnsi="Times New Roman"/>
          <w:color w:val="000000"/>
          <w:lang w:val="en-GB"/>
        </w:rPr>
        <w:t xml:space="preserve"> </w:t>
      </w:r>
    </w:p>
    <w:p w14:paraId="1EF64AFA" w14:textId="77777777" w:rsidR="000E7B35" w:rsidRDefault="000E7B35" w:rsidP="00242ADD">
      <w:pPr>
        <w:spacing w:after="0" w:line="360" w:lineRule="auto"/>
        <w:rPr>
          <w:rFonts w:ascii="Times New Roman" w:hAnsi="Times New Roman"/>
          <w:color w:val="000000"/>
          <w:highlight w:val="yellow"/>
          <w:lang w:val="en-GB"/>
        </w:rPr>
      </w:pPr>
    </w:p>
    <w:p w14:paraId="69A72E76" w14:textId="77777777" w:rsidR="009852BF" w:rsidRDefault="009852BF" w:rsidP="00DC65AD">
      <w:pPr>
        <w:pStyle w:val="Heading3"/>
      </w:pPr>
      <w:r w:rsidRPr="008963C1">
        <w:t>4.2. Biogeochemistry</w:t>
      </w:r>
      <w:r w:rsidRPr="00242ADD">
        <w:t xml:space="preserve"> of SML and ULW</w:t>
      </w:r>
    </w:p>
    <w:p w14:paraId="4DAE564F" w14:textId="77777777" w:rsidR="00242ADD" w:rsidRDefault="00242ADD" w:rsidP="00242ADD">
      <w:pPr>
        <w:pStyle w:val="NoSpacing"/>
        <w:spacing w:line="360" w:lineRule="auto"/>
        <w:rPr>
          <w:rFonts w:ascii="Times New Roman" w:hAnsi="Times New Roman"/>
          <w:b/>
          <w:color w:val="000000"/>
          <w:lang w:val="en-GB"/>
        </w:rPr>
      </w:pPr>
    </w:p>
    <w:p w14:paraId="3431EEB0" w14:textId="77777777" w:rsidR="009852BF" w:rsidRDefault="009852BF" w:rsidP="009852BF">
      <w:pPr>
        <w:pStyle w:val="NoSpacing"/>
        <w:spacing w:line="360" w:lineRule="auto"/>
        <w:rPr>
          <w:rFonts w:ascii="Times New Roman" w:hAnsi="Times New Roman"/>
          <w:color w:val="000000"/>
          <w:lang w:val="en-GB"/>
        </w:rPr>
      </w:pPr>
      <w:r w:rsidRPr="00242ADD">
        <w:rPr>
          <w:rFonts w:ascii="Times New Roman" w:hAnsi="Times New Roman"/>
          <w:color w:val="000000"/>
          <w:lang w:val="en-GB"/>
        </w:rPr>
        <w:t>In addition to the optical characterisation from the previous study (Drozdowska et al., 2017), the additional characterization of OM presented in this study helped reveal some biogeochemical processes within the Vistula plume</w:t>
      </w:r>
      <w:r w:rsidRPr="006E1463">
        <w:rPr>
          <w:rFonts w:ascii="Times New Roman" w:hAnsi="Times New Roman"/>
          <w:color w:val="000000"/>
          <w:lang w:val="en-GB"/>
        </w:rPr>
        <w:t>.</w:t>
      </w:r>
    </w:p>
    <w:p w14:paraId="7A9EB58B" w14:textId="69437F4A" w:rsidR="009852BF" w:rsidRPr="008E5D49" w:rsidRDefault="009852BF" w:rsidP="009852BF">
      <w:pPr>
        <w:spacing w:after="0" w:line="360" w:lineRule="auto"/>
        <w:rPr>
          <w:rFonts w:ascii="Times New Roman" w:hAnsi="Times New Roman"/>
          <w:color w:val="000000"/>
          <w:lang w:val="en-GB"/>
        </w:rPr>
      </w:pPr>
      <w:r w:rsidRPr="006E1463">
        <w:rPr>
          <w:rFonts w:ascii="Times New Roman" w:hAnsi="Times New Roman"/>
          <w:color w:val="000000"/>
          <w:lang w:val="en-GB"/>
        </w:rPr>
        <w:t>The a</w:t>
      </w:r>
      <w:r w:rsidRPr="006E1463">
        <w:rPr>
          <w:rFonts w:ascii="Times New Roman" w:hAnsi="Times New Roman"/>
          <w:color w:val="000000"/>
          <w:vertAlign w:val="subscript"/>
          <w:lang w:val="en-GB"/>
        </w:rPr>
        <w:t>CDOM</w:t>
      </w:r>
      <w:r w:rsidRPr="006E1463">
        <w:rPr>
          <w:rFonts w:ascii="Times New Roman" w:hAnsi="Times New Roman"/>
          <w:color w:val="000000"/>
          <w:lang w:val="en-GB"/>
        </w:rPr>
        <w:t>(254), an indicator of the presence of aromatic molecules, showed no</w:t>
      </w:r>
      <w:r>
        <w:rPr>
          <w:rFonts w:ascii="Times New Roman" w:hAnsi="Times New Roman"/>
          <w:color w:val="000000"/>
          <w:lang w:val="en-GB"/>
        </w:rPr>
        <w:t xml:space="preserve"> significant</w:t>
      </w:r>
      <w:r w:rsidRPr="006E1463">
        <w:rPr>
          <w:rFonts w:ascii="Times New Roman" w:hAnsi="Times New Roman"/>
          <w:color w:val="000000"/>
          <w:lang w:val="en-GB"/>
        </w:rPr>
        <w:t xml:space="preserve"> correlation with HC concentrations in SML and ULW, </w:t>
      </w:r>
      <w:r w:rsidRPr="00CB7019">
        <w:rPr>
          <w:rFonts w:ascii="Times New Roman" w:hAnsi="Times New Roman"/>
          <w:color w:val="000000"/>
          <w:lang w:val="en-GB"/>
        </w:rPr>
        <w:t>possibly due to the fact that</w:t>
      </w:r>
      <w:r>
        <w:rPr>
          <w:rFonts w:ascii="Times New Roman" w:hAnsi="Times New Roman"/>
          <w:color w:val="000000"/>
          <w:lang w:val="en-GB"/>
        </w:rPr>
        <w:t xml:space="preserve"> </w:t>
      </w:r>
      <w:r w:rsidRPr="006E1463">
        <w:rPr>
          <w:rFonts w:ascii="Times New Roman" w:hAnsi="Times New Roman"/>
          <w:color w:val="000000"/>
          <w:lang w:val="en-GB"/>
        </w:rPr>
        <w:t>this class of lipids was n</w:t>
      </w:r>
      <w:r>
        <w:rPr>
          <w:rFonts w:ascii="Times New Roman" w:hAnsi="Times New Roman"/>
          <w:color w:val="000000"/>
          <w:lang w:val="en-GB"/>
        </w:rPr>
        <w:t>either</w:t>
      </w:r>
      <w:r w:rsidRPr="006E1463">
        <w:rPr>
          <w:rFonts w:ascii="Times New Roman" w:hAnsi="Times New Roman"/>
          <w:color w:val="000000"/>
          <w:lang w:val="en-GB"/>
        </w:rPr>
        <w:t xml:space="preserve"> highly </w:t>
      </w:r>
      <w:r w:rsidRPr="00242ADD">
        <w:rPr>
          <w:rFonts w:ascii="Times New Roman" w:hAnsi="Times New Roman"/>
          <w:color w:val="000000"/>
          <w:lang w:val="en-GB"/>
        </w:rPr>
        <w:t>aromatic nor</w:t>
      </w:r>
      <w:r w:rsidRPr="006E1463">
        <w:rPr>
          <w:rFonts w:ascii="Times New Roman" w:hAnsi="Times New Roman"/>
          <w:color w:val="000000"/>
          <w:lang w:val="en-GB"/>
        </w:rPr>
        <w:t xml:space="preserve"> of anthropogenic origin, as </w:t>
      </w:r>
      <w:r w:rsidR="006B3531">
        <w:rPr>
          <w:rFonts w:ascii="Times New Roman" w:hAnsi="Times New Roman"/>
          <w:color w:val="000000"/>
          <w:lang w:val="en-GB"/>
        </w:rPr>
        <w:t>these</w:t>
      </w:r>
      <w:r w:rsidR="006B3531" w:rsidRPr="006E1463">
        <w:rPr>
          <w:rFonts w:ascii="Times New Roman" w:hAnsi="Times New Roman"/>
          <w:color w:val="000000"/>
          <w:lang w:val="en-GB"/>
        </w:rPr>
        <w:t xml:space="preserve"> mainly </w:t>
      </w:r>
      <w:r w:rsidR="006B3531">
        <w:rPr>
          <w:rFonts w:ascii="Times New Roman" w:hAnsi="Times New Roman"/>
          <w:color w:val="000000"/>
          <w:lang w:val="en-GB"/>
        </w:rPr>
        <w:t>have an</w:t>
      </w:r>
      <w:r w:rsidR="006B3531" w:rsidRPr="006E1463">
        <w:rPr>
          <w:rFonts w:ascii="Times New Roman" w:hAnsi="Times New Roman"/>
          <w:color w:val="000000"/>
          <w:lang w:val="en-GB"/>
        </w:rPr>
        <w:t xml:space="preserve"> aromatic structure</w:t>
      </w:r>
      <w:r w:rsidR="006B3531" w:rsidRPr="008C6815">
        <w:rPr>
          <w:rFonts w:ascii="Times New Roman" w:hAnsi="Times New Roman"/>
          <w:color w:val="000000"/>
          <w:lang w:val="en-GB"/>
        </w:rPr>
        <w:t xml:space="preserve"> </w:t>
      </w:r>
      <w:r>
        <w:rPr>
          <w:rFonts w:ascii="Times New Roman" w:hAnsi="Times New Roman"/>
          <w:color w:val="000000"/>
          <w:lang w:val="en-GB"/>
        </w:rPr>
        <w:t>(Patel et al., 2020)</w:t>
      </w:r>
      <w:r w:rsidRPr="006E1463">
        <w:rPr>
          <w:rFonts w:ascii="Times New Roman" w:hAnsi="Times New Roman"/>
          <w:color w:val="000000"/>
          <w:lang w:val="en-GB"/>
        </w:rPr>
        <w:t xml:space="preserve">. </w:t>
      </w:r>
      <w:r>
        <w:rPr>
          <w:rFonts w:ascii="Times New Roman" w:hAnsi="Times New Roman"/>
          <w:color w:val="000000"/>
          <w:lang w:val="en-GB"/>
        </w:rPr>
        <w:t>In a</w:t>
      </w:r>
      <w:r w:rsidRPr="006E1463">
        <w:rPr>
          <w:rFonts w:ascii="Times New Roman" w:hAnsi="Times New Roman"/>
          <w:color w:val="000000"/>
          <w:lang w:val="en-GB"/>
        </w:rPr>
        <w:t xml:space="preserve">ddition, </w:t>
      </w:r>
      <w:r>
        <w:rPr>
          <w:rFonts w:ascii="Times New Roman" w:hAnsi="Times New Roman"/>
          <w:color w:val="000000"/>
          <w:lang w:val="en-GB"/>
        </w:rPr>
        <w:t>HC</w:t>
      </w:r>
      <w:r w:rsidRPr="006E1463">
        <w:rPr>
          <w:rFonts w:ascii="Times New Roman" w:hAnsi="Times New Roman"/>
          <w:color w:val="000000"/>
          <w:lang w:val="en-GB"/>
        </w:rPr>
        <w:t xml:space="preserve"> concentrations were below 10 µg L</w:t>
      </w:r>
      <w:r w:rsidRPr="006E1463">
        <w:rPr>
          <w:rFonts w:ascii="Times New Roman" w:hAnsi="Times New Roman"/>
          <w:color w:val="000000"/>
          <w:vertAlign w:val="superscript"/>
          <w:lang w:val="en-GB"/>
        </w:rPr>
        <w:t>-1</w:t>
      </w:r>
      <w:r w:rsidRPr="006E1463">
        <w:rPr>
          <w:rFonts w:ascii="Times New Roman" w:hAnsi="Times New Roman"/>
          <w:color w:val="000000"/>
          <w:lang w:val="en-GB"/>
        </w:rPr>
        <w:t xml:space="preserve"> in both SML and ULW, which is another indication that </w:t>
      </w:r>
      <w:r>
        <w:rPr>
          <w:rFonts w:ascii="Times New Roman" w:hAnsi="Times New Roman"/>
          <w:color w:val="000000"/>
          <w:lang w:val="en-GB"/>
        </w:rPr>
        <w:t>no</w:t>
      </w:r>
      <w:r w:rsidRPr="006E1463">
        <w:rPr>
          <w:rFonts w:ascii="Times New Roman" w:hAnsi="Times New Roman"/>
          <w:color w:val="000000"/>
          <w:lang w:val="en-GB"/>
        </w:rPr>
        <w:t xml:space="preserve"> significant source of hydrocarbon pollution</w:t>
      </w:r>
      <w:r>
        <w:rPr>
          <w:rFonts w:ascii="Times New Roman" w:hAnsi="Times New Roman"/>
          <w:color w:val="000000"/>
          <w:lang w:val="en-GB"/>
        </w:rPr>
        <w:t xml:space="preserve"> was present</w:t>
      </w:r>
      <w:r>
        <w:rPr>
          <w:rFonts w:ascii="Times New Roman" w:hAnsi="Times New Roman"/>
          <w:noProof/>
          <w:color w:val="000000"/>
          <w:lang w:val="en-GB"/>
        </w:rPr>
        <w:t xml:space="preserve">. </w:t>
      </w:r>
      <w:r w:rsidRPr="006E1463">
        <w:rPr>
          <w:rFonts w:ascii="Times New Roman" w:hAnsi="Times New Roman"/>
          <w:color w:val="000000"/>
          <w:lang w:val="en-GB"/>
        </w:rPr>
        <w:t>A slight decrea</w:t>
      </w:r>
      <w:r>
        <w:rPr>
          <w:rFonts w:ascii="Times New Roman" w:hAnsi="Times New Roman"/>
          <w:color w:val="000000"/>
          <w:lang w:val="en-GB"/>
        </w:rPr>
        <w:t>se in</w:t>
      </w:r>
      <w:r w:rsidRPr="006E1463">
        <w:rPr>
          <w:rFonts w:ascii="Times New Roman" w:hAnsi="Times New Roman"/>
          <w:color w:val="000000"/>
          <w:lang w:val="en-GB"/>
        </w:rPr>
        <w:t xml:space="preserve"> a</w:t>
      </w:r>
      <w:r w:rsidRPr="006E1463">
        <w:rPr>
          <w:rFonts w:ascii="Times New Roman" w:hAnsi="Times New Roman"/>
          <w:color w:val="000000"/>
          <w:vertAlign w:val="subscript"/>
          <w:lang w:val="en-GB"/>
        </w:rPr>
        <w:t>CDOM</w:t>
      </w:r>
      <w:r w:rsidRPr="006E1463">
        <w:rPr>
          <w:rFonts w:ascii="Times New Roman" w:hAnsi="Times New Roman"/>
          <w:color w:val="000000"/>
          <w:lang w:val="en-GB"/>
        </w:rPr>
        <w:t xml:space="preserve">(254) </w:t>
      </w:r>
      <w:r>
        <w:rPr>
          <w:rFonts w:ascii="Times New Roman" w:hAnsi="Times New Roman"/>
          <w:color w:val="000000"/>
          <w:lang w:val="en-GB"/>
        </w:rPr>
        <w:t xml:space="preserve">values </w:t>
      </w:r>
      <w:r w:rsidRPr="006E1463">
        <w:rPr>
          <w:rFonts w:ascii="Times New Roman" w:hAnsi="Times New Roman"/>
          <w:color w:val="000000"/>
          <w:lang w:val="en-GB"/>
        </w:rPr>
        <w:t>with increasing concentration of SAS</w:t>
      </w:r>
      <w:r>
        <w:rPr>
          <w:rFonts w:ascii="Times New Roman" w:hAnsi="Times New Roman"/>
          <w:color w:val="000000"/>
          <w:lang w:val="en-GB"/>
        </w:rPr>
        <w:t xml:space="preserve"> observed</w:t>
      </w:r>
      <w:r w:rsidRPr="006E1463">
        <w:rPr>
          <w:rFonts w:ascii="Times New Roman" w:hAnsi="Times New Roman"/>
          <w:color w:val="000000"/>
          <w:lang w:val="en-GB"/>
        </w:rPr>
        <w:t xml:space="preserve"> in the SML, but not in the ULW (Figure S</w:t>
      </w:r>
      <w:r w:rsidR="00DE38F1">
        <w:rPr>
          <w:rFonts w:ascii="Times New Roman" w:hAnsi="Times New Roman"/>
          <w:color w:val="000000"/>
          <w:lang w:val="en-GB"/>
        </w:rPr>
        <w:t>6</w:t>
      </w:r>
      <w:r w:rsidRPr="006E1463">
        <w:rPr>
          <w:rFonts w:ascii="Times New Roman" w:hAnsi="Times New Roman"/>
          <w:color w:val="000000"/>
          <w:lang w:val="en-GB"/>
        </w:rPr>
        <w:t xml:space="preserve">), suggests that an increase in OM surface </w:t>
      </w:r>
      <w:r w:rsidRPr="008E5D49">
        <w:rPr>
          <w:rFonts w:ascii="Times New Roman" w:hAnsi="Times New Roman"/>
          <w:color w:val="000000"/>
          <w:lang w:val="en-GB"/>
        </w:rPr>
        <w:t>activity does not necessarily imply an increase in OM aromaticity, complementing the lack of correlation between a</w:t>
      </w:r>
      <w:r w:rsidRPr="008E5D49">
        <w:rPr>
          <w:rFonts w:ascii="Times New Roman" w:hAnsi="Times New Roman"/>
          <w:color w:val="000000"/>
          <w:vertAlign w:val="subscript"/>
          <w:lang w:val="en-GB"/>
        </w:rPr>
        <w:t>CDOM</w:t>
      </w:r>
      <w:r w:rsidRPr="008E5D49">
        <w:rPr>
          <w:rFonts w:ascii="Times New Roman" w:hAnsi="Times New Roman"/>
          <w:color w:val="000000"/>
          <w:lang w:val="en-GB"/>
        </w:rPr>
        <w:t xml:space="preserve"> (254nm) and HC.</w:t>
      </w:r>
    </w:p>
    <w:p w14:paraId="35A78D02" w14:textId="77777777" w:rsidR="00252D05" w:rsidRDefault="00252D05" w:rsidP="00252D05">
      <w:pPr>
        <w:pStyle w:val="NoSpacing"/>
        <w:spacing w:line="360" w:lineRule="auto"/>
        <w:rPr>
          <w:rFonts w:ascii="Times New Roman" w:hAnsi="Times New Roman"/>
          <w:b/>
        </w:rPr>
      </w:pPr>
    </w:p>
    <w:p w14:paraId="77D954C6" w14:textId="77777777" w:rsidR="009852BF" w:rsidRPr="004A6D35" w:rsidRDefault="009852BF" w:rsidP="00DC65AD">
      <w:pPr>
        <w:pStyle w:val="Heading4"/>
        <w:spacing w:before="0" w:line="360" w:lineRule="auto"/>
        <w:rPr>
          <w:rFonts w:ascii="Times New Roman" w:hAnsi="Times New Roman"/>
          <w:i w:val="0"/>
          <w:iCs w:val="0"/>
          <w:color w:val="000000"/>
          <w:lang w:val="en-GB"/>
        </w:rPr>
      </w:pPr>
      <w:r w:rsidRPr="004A6D35">
        <w:rPr>
          <w:rFonts w:ascii="Times New Roman" w:hAnsi="Times New Roman"/>
          <w:i w:val="0"/>
          <w:iCs w:val="0"/>
          <w:color w:val="000000"/>
          <w:lang w:val="en-GB"/>
        </w:rPr>
        <w:t>4.2.1. High wind does not prevent POC accumulation in the SML</w:t>
      </w:r>
    </w:p>
    <w:p w14:paraId="679621F8" w14:textId="77777777" w:rsidR="009852BF" w:rsidRPr="009852BF" w:rsidRDefault="009852BF" w:rsidP="009852BF">
      <w:pPr>
        <w:spacing w:after="0" w:line="360" w:lineRule="auto"/>
        <w:rPr>
          <w:rFonts w:ascii="Times New Roman" w:hAnsi="Times New Roman"/>
          <w:color w:val="000000"/>
          <w:lang w:val="en-GB"/>
        </w:rPr>
      </w:pPr>
    </w:p>
    <w:p w14:paraId="05A2129F" w14:textId="17C47511" w:rsidR="009852BF" w:rsidRPr="005A53C3" w:rsidRDefault="009852BF" w:rsidP="009852BF">
      <w:pPr>
        <w:spacing w:after="0" w:line="360" w:lineRule="auto"/>
        <w:rPr>
          <w:rFonts w:ascii="Times New Roman" w:hAnsi="Times New Roman"/>
          <w:color w:val="000000"/>
          <w:lang w:val="en-GB"/>
        </w:rPr>
      </w:pPr>
      <w:r w:rsidRPr="009852BF">
        <w:rPr>
          <w:rFonts w:ascii="Times New Roman" w:hAnsi="Times New Roman"/>
          <w:color w:val="000000"/>
          <w:lang w:val="en-GB"/>
        </w:rPr>
        <w:t xml:space="preserve">Concentrations of POC in our study were comparable </w:t>
      </w:r>
      <w:r w:rsidR="006B3531" w:rsidRPr="009852BF">
        <w:rPr>
          <w:rFonts w:ascii="Times New Roman" w:hAnsi="Times New Roman"/>
          <w:color w:val="000000"/>
          <w:lang w:val="en-GB"/>
        </w:rPr>
        <w:t xml:space="preserve">to </w:t>
      </w:r>
      <w:r w:rsidR="006B3531">
        <w:rPr>
          <w:rFonts w:ascii="Times New Roman" w:hAnsi="Times New Roman"/>
          <w:color w:val="000000"/>
          <w:lang w:val="en-GB"/>
        </w:rPr>
        <w:t xml:space="preserve">those in </w:t>
      </w:r>
      <w:r w:rsidR="006B3531" w:rsidRPr="009852BF">
        <w:rPr>
          <w:rFonts w:ascii="Times New Roman" w:hAnsi="Times New Roman"/>
          <w:color w:val="000000"/>
          <w:lang w:val="en-GB"/>
        </w:rPr>
        <w:t>other coastal areas (Gašparović et al., 2007, Stolle et al., 2010, Penezić et al., 202</w:t>
      </w:r>
      <w:r w:rsidR="006B3531">
        <w:rPr>
          <w:rFonts w:ascii="Times New Roman" w:hAnsi="Times New Roman"/>
          <w:color w:val="000000"/>
          <w:lang w:val="en-GB"/>
        </w:rPr>
        <w:t>1</w:t>
      </w:r>
      <w:r w:rsidR="006B3531" w:rsidRPr="009852BF">
        <w:rPr>
          <w:rFonts w:ascii="Times New Roman" w:hAnsi="Times New Roman"/>
          <w:color w:val="000000"/>
          <w:lang w:val="en-GB"/>
        </w:rPr>
        <w:t>)</w:t>
      </w:r>
      <w:r w:rsidR="006B3531">
        <w:rPr>
          <w:rFonts w:ascii="Times New Roman" w:hAnsi="Times New Roman"/>
          <w:color w:val="000000"/>
          <w:lang w:val="en-GB"/>
        </w:rPr>
        <w:t>,</w:t>
      </w:r>
      <w:r w:rsidR="006B3531" w:rsidRPr="009852BF">
        <w:rPr>
          <w:rFonts w:ascii="Times New Roman" w:hAnsi="Times New Roman"/>
          <w:color w:val="000000"/>
          <w:lang w:val="en-GB"/>
        </w:rPr>
        <w:t xml:space="preserve"> but </w:t>
      </w:r>
      <w:r w:rsidRPr="009852BF">
        <w:rPr>
          <w:rFonts w:ascii="Times New Roman" w:hAnsi="Times New Roman"/>
          <w:color w:val="000000"/>
          <w:lang w:val="en-GB"/>
        </w:rPr>
        <w:t>higher than those observed in the Atlantic Ocean (Van Pi</w:t>
      </w:r>
      <w:r w:rsidR="00DA3BA7">
        <w:rPr>
          <w:rFonts w:ascii="Times New Roman" w:hAnsi="Times New Roman"/>
          <w:color w:val="000000"/>
          <w:lang w:val="en-GB"/>
        </w:rPr>
        <w:t>n</w:t>
      </w:r>
      <w:r w:rsidRPr="009852BF">
        <w:rPr>
          <w:rFonts w:ascii="Times New Roman" w:hAnsi="Times New Roman"/>
          <w:color w:val="000000"/>
          <w:lang w:val="en-GB"/>
        </w:rPr>
        <w:t xml:space="preserve">xteren et al., 2017). Despite high wind speeds, we observed POC enrichment at all stations except at W2, although no relationship with wind speed was observed. Similar results are obtained by </w:t>
      </w:r>
      <w:r w:rsidRPr="009852BF">
        <w:rPr>
          <w:rFonts w:ascii="Times New Roman" w:hAnsi="Times New Roman"/>
          <w:lang w:val="en-GB"/>
        </w:rPr>
        <w:t>Van Pi</w:t>
      </w:r>
      <w:r w:rsidR="00DA3BA7">
        <w:rPr>
          <w:rFonts w:ascii="Times New Roman" w:hAnsi="Times New Roman"/>
          <w:lang w:val="en-GB"/>
        </w:rPr>
        <w:t>n</w:t>
      </w:r>
      <w:r w:rsidRPr="009852BF">
        <w:rPr>
          <w:rFonts w:ascii="Times New Roman" w:hAnsi="Times New Roman"/>
          <w:lang w:val="en-GB"/>
        </w:rPr>
        <w:t>xteren et al. (2017), who sampled in both low (2 - 5) and high (&gt;5 m s</w:t>
      </w:r>
      <w:r w:rsidRPr="009852BF">
        <w:rPr>
          <w:rFonts w:ascii="Times New Roman" w:hAnsi="Times New Roman"/>
          <w:vertAlign w:val="superscript"/>
          <w:lang w:val="en-GB"/>
        </w:rPr>
        <w:t>-1</w:t>
      </w:r>
      <w:r w:rsidRPr="009852BF">
        <w:rPr>
          <w:rFonts w:ascii="Times New Roman" w:hAnsi="Times New Roman"/>
          <w:lang w:val="en-GB"/>
        </w:rPr>
        <w:t>) wind conditions. In contrast, Obernosterer et al. (2008) showed a significant negative correlation between POC enrichment in the SML and wind blowing 6 h prior to sampling, where all recorded wind speeds were &lt;3 m s</w:t>
      </w:r>
      <w:r w:rsidRPr="009852BF">
        <w:rPr>
          <w:rFonts w:ascii="Times New Roman" w:hAnsi="Times New Roman"/>
          <w:vertAlign w:val="superscript"/>
          <w:lang w:val="en-GB"/>
        </w:rPr>
        <w:t>-1</w:t>
      </w:r>
      <w:r w:rsidRPr="009852BF">
        <w:rPr>
          <w:rFonts w:ascii="Times New Roman" w:hAnsi="Times New Roman"/>
          <w:lang w:val="en-GB"/>
        </w:rPr>
        <w:t xml:space="preserve">. Stolle et al. (2010), on the other hand, observed the formation of a slick in the southern Baltic Sea at </w:t>
      </w:r>
      <w:r w:rsidRPr="009852BF">
        <w:rPr>
          <w:rFonts w:ascii="Times New Roman" w:hAnsi="Times New Roman"/>
          <w:lang w:val="en-GB"/>
        </w:rPr>
        <w:lastRenderedPageBreak/>
        <w:t>&lt;2 ms</w:t>
      </w:r>
      <w:r w:rsidRPr="009852BF">
        <w:rPr>
          <w:rFonts w:ascii="Times New Roman" w:hAnsi="Times New Roman"/>
          <w:vertAlign w:val="superscript"/>
          <w:lang w:val="en-GB"/>
        </w:rPr>
        <w:t>-1</w:t>
      </w:r>
      <w:r w:rsidRPr="009852BF">
        <w:rPr>
          <w:rFonts w:ascii="Times New Roman" w:hAnsi="Times New Roman"/>
          <w:lang w:val="en-GB"/>
        </w:rPr>
        <w:t xml:space="preserve"> wind speed, which resulted in very high POC concentrations in the SML (≈ 9 mg L</w:t>
      </w:r>
      <w:r w:rsidRPr="009852BF">
        <w:rPr>
          <w:rFonts w:ascii="Times New Roman" w:hAnsi="Times New Roman"/>
          <w:vertAlign w:val="superscript"/>
          <w:lang w:val="en-GB"/>
        </w:rPr>
        <w:t>-1</w:t>
      </w:r>
      <w:r w:rsidRPr="009852BF">
        <w:rPr>
          <w:rFonts w:ascii="Times New Roman" w:hAnsi="Times New Roman"/>
          <w:lang w:val="en-GB"/>
        </w:rPr>
        <w:t>), leading to an enrichment factor of up to 26.8.</w:t>
      </w:r>
      <w:r w:rsidRPr="005A53C3">
        <w:rPr>
          <w:rFonts w:ascii="Times New Roman" w:hAnsi="Times New Roman"/>
          <w:lang w:val="en-GB"/>
        </w:rPr>
        <w:t xml:space="preserve"> </w:t>
      </w:r>
    </w:p>
    <w:p w14:paraId="35B103FA" w14:textId="77777777" w:rsidR="00C043E6" w:rsidRDefault="00C043E6" w:rsidP="00EC48C9">
      <w:pPr>
        <w:spacing w:after="0" w:line="360" w:lineRule="auto"/>
        <w:ind w:firstLine="708"/>
        <w:rPr>
          <w:rFonts w:ascii="Times New Roman" w:hAnsi="Times New Roman"/>
          <w:color w:val="000000"/>
          <w:lang w:val="en-GB"/>
        </w:rPr>
      </w:pPr>
    </w:p>
    <w:p w14:paraId="62F259B9" w14:textId="04780C57" w:rsidR="006C3A0B" w:rsidRPr="004A6D35" w:rsidRDefault="006C3A0B" w:rsidP="00DC65AD">
      <w:pPr>
        <w:pStyle w:val="Heading4"/>
        <w:spacing w:before="0" w:line="360" w:lineRule="auto"/>
        <w:rPr>
          <w:rFonts w:ascii="Times New Roman" w:hAnsi="Times New Roman"/>
          <w:i w:val="0"/>
          <w:iCs w:val="0"/>
          <w:color w:val="000000"/>
          <w:lang w:val="en-GB"/>
        </w:rPr>
      </w:pPr>
      <w:r w:rsidRPr="004A6D35">
        <w:rPr>
          <w:rFonts w:ascii="Times New Roman" w:hAnsi="Times New Roman"/>
          <w:i w:val="0"/>
          <w:iCs w:val="0"/>
          <w:color w:val="000000"/>
          <w:lang w:val="en-GB"/>
        </w:rPr>
        <w:t>4.2.2. The active role of surface-active substances for the (re)establishment of SML</w:t>
      </w:r>
    </w:p>
    <w:p w14:paraId="0668E820" w14:textId="77777777" w:rsidR="006C3A0B" w:rsidRPr="006C3A0B" w:rsidRDefault="006C3A0B" w:rsidP="006C3A0B">
      <w:pPr>
        <w:pStyle w:val="NoSpacing"/>
        <w:spacing w:line="360" w:lineRule="auto"/>
        <w:rPr>
          <w:rFonts w:ascii="Times New Roman" w:hAnsi="Times New Roman"/>
          <w:b/>
          <w:color w:val="000000"/>
          <w:lang w:val="en-GB"/>
        </w:rPr>
      </w:pPr>
    </w:p>
    <w:p w14:paraId="019DC5E8" w14:textId="2F31EF8C" w:rsidR="006C3A0B" w:rsidRDefault="006C3A0B" w:rsidP="006C3A0B">
      <w:pPr>
        <w:spacing w:after="0" w:line="360" w:lineRule="auto"/>
        <w:rPr>
          <w:rFonts w:ascii="Times New Roman" w:hAnsi="Times New Roman"/>
          <w:iCs/>
          <w:color w:val="000000"/>
          <w:lang w:val="en-GB"/>
        </w:rPr>
      </w:pPr>
      <w:r w:rsidRPr="003012E1">
        <w:rPr>
          <w:rFonts w:ascii="Times New Roman" w:hAnsi="Times New Roman"/>
          <w:color w:val="000000"/>
          <w:lang w:val="en-GB"/>
        </w:rPr>
        <w:t>The determined concentrations of SAS in the SML and ULW were comparable to those reported by other authors using the same analytical method (</w:t>
      </w:r>
      <w:r w:rsidR="006B3531">
        <w:rPr>
          <w:rFonts w:ascii="Times New Roman" w:hAnsi="Times New Roman"/>
          <w:color w:val="000000"/>
          <w:lang w:val="en-GB"/>
        </w:rPr>
        <w:t xml:space="preserve">calibration with </w:t>
      </w:r>
      <w:r w:rsidRPr="003012E1">
        <w:rPr>
          <w:rFonts w:ascii="Times New Roman" w:hAnsi="Times New Roman"/>
          <w:color w:val="000000"/>
          <w:lang w:val="en-GB"/>
        </w:rPr>
        <w:t>Triton-X-100 as the model compound), for coastal</w:t>
      </w:r>
      <w:r>
        <w:rPr>
          <w:rFonts w:ascii="Times New Roman" w:hAnsi="Times New Roman"/>
          <w:color w:val="000000"/>
          <w:lang w:val="en-GB"/>
        </w:rPr>
        <w:t xml:space="preserve"> areas</w:t>
      </w:r>
      <w:r w:rsidRPr="003012E1">
        <w:rPr>
          <w:rFonts w:ascii="Times New Roman" w:hAnsi="Times New Roman"/>
          <w:color w:val="000000"/>
          <w:lang w:val="en-GB"/>
        </w:rPr>
        <w:t xml:space="preserve">, but also </w:t>
      </w:r>
      <w:r>
        <w:rPr>
          <w:rFonts w:ascii="Times New Roman" w:hAnsi="Times New Roman"/>
          <w:color w:val="000000"/>
          <w:lang w:val="en-GB"/>
        </w:rPr>
        <w:t xml:space="preserve">for the </w:t>
      </w:r>
      <w:r w:rsidRPr="003012E1">
        <w:rPr>
          <w:rFonts w:ascii="Times New Roman" w:hAnsi="Times New Roman"/>
          <w:color w:val="000000"/>
          <w:lang w:val="en-GB"/>
        </w:rPr>
        <w:t>open sea (Table 2).</w:t>
      </w:r>
      <w:r>
        <w:rPr>
          <w:rFonts w:ascii="Times New Roman" w:hAnsi="Times New Roman"/>
          <w:color w:val="000000"/>
          <w:lang w:val="en-GB"/>
        </w:rPr>
        <w:t xml:space="preserve"> The same was observed for the enrichment factors, despite different sampling techniques, different locations, whether conditions and different thickness of the sampled SML. </w:t>
      </w:r>
      <w:bookmarkStart w:id="20" w:name="_Hlk100040380"/>
      <w:r>
        <w:rPr>
          <w:rFonts w:ascii="Times New Roman" w:hAnsi="Times New Roman"/>
          <w:color w:val="000000"/>
          <w:lang w:val="en-GB"/>
        </w:rPr>
        <w:t xml:space="preserve">Despite high wind speeds, </w:t>
      </w:r>
      <w:r w:rsidRPr="006E1463">
        <w:rPr>
          <w:rFonts w:ascii="Times New Roman" w:hAnsi="Times New Roman"/>
          <w:color w:val="000000"/>
          <w:lang w:val="en-GB"/>
        </w:rPr>
        <w:t>SAS</w:t>
      </w:r>
      <w:r>
        <w:rPr>
          <w:rFonts w:ascii="Times New Roman" w:hAnsi="Times New Roman"/>
          <w:color w:val="000000"/>
          <w:lang w:val="en-GB"/>
        </w:rPr>
        <w:t xml:space="preserve"> </w:t>
      </w:r>
      <w:r w:rsidRPr="006E1463">
        <w:rPr>
          <w:rFonts w:ascii="Times New Roman" w:hAnsi="Times New Roman"/>
          <w:color w:val="000000"/>
          <w:lang w:val="en-GB"/>
        </w:rPr>
        <w:t xml:space="preserve">were </w:t>
      </w:r>
      <w:r>
        <w:rPr>
          <w:rFonts w:ascii="Times New Roman" w:hAnsi="Times New Roman"/>
          <w:color w:val="000000"/>
          <w:lang w:val="en-GB"/>
        </w:rPr>
        <w:t>enriched in the SML</w:t>
      </w:r>
      <w:r w:rsidRPr="006E1463">
        <w:rPr>
          <w:rFonts w:ascii="Times New Roman" w:hAnsi="Times New Roman"/>
          <w:color w:val="000000"/>
          <w:lang w:val="en-GB"/>
        </w:rPr>
        <w:t xml:space="preserve">, although no </w:t>
      </w:r>
      <w:r>
        <w:rPr>
          <w:rFonts w:ascii="Times New Roman" w:hAnsi="Times New Roman"/>
          <w:color w:val="000000"/>
          <w:lang w:val="en-GB"/>
        </w:rPr>
        <w:t xml:space="preserve">statistically significant </w:t>
      </w:r>
      <w:r w:rsidRPr="006E1463">
        <w:rPr>
          <w:rFonts w:ascii="Times New Roman" w:hAnsi="Times New Roman"/>
          <w:color w:val="000000"/>
          <w:lang w:val="en-GB"/>
        </w:rPr>
        <w:t>correlation was found between the two parameters</w:t>
      </w:r>
      <w:r>
        <w:rPr>
          <w:rFonts w:ascii="Times New Roman" w:hAnsi="Times New Roman"/>
          <w:color w:val="000000"/>
          <w:lang w:val="en-GB"/>
        </w:rPr>
        <w:t xml:space="preserve">. </w:t>
      </w:r>
      <w:r w:rsidRPr="006E1463">
        <w:rPr>
          <w:rFonts w:ascii="Times New Roman" w:hAnsi="Times New Roman"/>
          <w:color w:val="000000"/>
          <w:lang w:val="en-GB"/>
        </w:rPr>
        <w:t>Th</w:t>
      </w:r>
      <w:r>
        <w:rPr>
          <w:rFonts w:ascii="Times New Roman" w:hAnsi="Times New Roman"/>
          <w:color w:val="000000"/>
          <w:lang w:val="en-GB"/>
        </w:rPr>
        <w:t xml:space="preserve">ese enrichments confirm the </w:t>
      </w:r>
      <w:r w:rsidRPr="008E5D49">
        <w:rPr>
          <w:rFonts w:ascii="Times New Roman" w:hAnsi="Times New Roman"/>
          <w:color w:val="000000"/>
          <w:lang w:val="en-GB"/>
        </w:rPr>
        <w:t>rapid recovery</w:t>
      </w:r>
      <w:r>
        <w:rPr>
          <w:rFonts w:ascii="Times New Roman" w:hAnsi="Times New Roman"/>
          <w:color w:val="000000"/>
          <w:lang w:val="en-GB"/>
        </w:rPr>
        <w:t xml:space="preserve"> of the SML by transport and </w:t>
      </w:r>
      <w:r w:rsidRPr="006E1463">
        <w:rPr>
          <w:rFonts w:ascii="Times New Roman" w:hAnsi="Times New Roman"/>
          <w:color w:val="000000"/>
          <w:lang w:val="en-GB"/>
        </w:rPr>
        <w:t xml:space="preserve">accumulation of OM </w:t>
      </w:r>
      <w:r>
        <w:rPr>
          <w:rFonts w:ascii="Times New Roman" w:hAnsi="Times New Roman"/>
          <w:color w:val="000000"/>
          <w:lang w:val="en-GB"/>
        </w:rPr>
        <w:t>from the subsurface, as observed earlier (Dragić</w:t>
      </w:r>
      <w:r w:rsidRPr="00D0486F">
        <w:rPr>
          <w:rFonts w:ascii="Times New Roman" w:hAnsi="Times New Roman"/>
          <w:color w:val="000000"/>
          <w:lang w:val="en-GB"/>
        </w:rPr>
        <w:t>ević and Pravdić, 1981</w:t>
      </w:r>
      <w:r>
        <w:rPr>
          <w:rFonts w:ascii="Times New Roman" w:hAnsi="Times New Roman"/>
          <w:color w:val="000000"/>
          <w:lang w:val="en-GB"/>
        </w:rPr>
        <w:t xml:space="preserve">; </w:t>
      </w:r>
      <w:r w:rsidRPr="00D0486F">
        <w:rPr>
          <w:rFonts w:ascii="Times New Roman" w:hAnsi="Times New Roman"/>
          <w:color w:val="000000"/>
          <w:lang w:val="en-GB"/>
        </w:rPr>
        <w:t>Liss, 1975</w:t>
      </w:r>
      <w:r>
        <w:rPr>
          <w:rFonts w:ascii="Times New Roman" w:hAnsi="Times New Roman"/>
          <w:color w:val="000000"/>
          <w:lang w:val="en-GB"/>
        </w:rPr>
        <w:t xml:space="preserve">; </w:t>
      </w:r>
      <w:r w:rsidRPr="003A5AA6">
        <w:rPr>
          <w:rFonts w:ascii="Times New Roman" w:hAnsi="Times New Roman"/>
          <w:color w:val="000000"/>
          <w:lang w:val="en-GB"/>
        </w:rPr>
        <w:t>Wurl et al., 2009</w:t>
      </w:r>
      <w:r>
        <w:rPr>
          <w:rFonts w:ascii="Times New Roman" w:hAnsi="Times New Roman"/>
          <w:color w:val="000000"/>
          <w:lang w:val="en-GB"/>
        </w:rPr>
        <w:t>;</w:t>
      </w:r>
      <w:r w:rsidRPr="003A5AA6">
        <w:rPr>
          <w:rFonts w:ascii="Times New Roman" w:hAnsi="Times New Roman"/>
          <w:color w:val="000000"/>
          <w:lang w:val="en-GB"/>
        </w:rPr>
        <w:t xml:space="preserve"> Sabbaghzadeh et al., 2017</w:t>
      </w:r>
      <w:r>
        <w:rPr>
          <w:rFonts w:ascii="Times New Roman" w:hAnsi="Times New Roman"/>
          <w:color w:val="000000"/>
          <w:lang w:val="en-GB"/>
        </w:rPr>
        <w:t xml:space="preserve">). This is particularly evident in the case of </w:t>
      </w:r>
      <w:r w:rsidRPr="00CB5173">
        <w:rPr>
          <w:rFonts w:ascii="Times New Roman" w:hAnsi="Times New Roman"/>
          <w:color w:val="000000"/>
          <w:lang w:val="en-GB"/>
        </w:rPr>
        <w:t xml:space="preserve">SAS </w:t>
      </w:r>
      <w:r w:rsidRPr="006C3A0B">
        <w:rPr>
          <w:rFonts w:ascii="Times New Roman" w:hAnsi="Times New Roman"/>
          <w:color w:val="000000"/>
          <w:lang w:val="en-GB"/>
        </w:rPr>
        <w:t xml:space="preserve">that have high </w:t>
      </w:r>
      <w:r w:rsidRPr="00CB5173">
        <w:rPr>
          <w:rFonts w:ascii="Times New Roman" w:hAnsi="Times New Roman"/>
          <w:color w:val="000000"/>
          <w:lang w:val="en-GB"/>
        </w:rPr>
        <w:t>a</w:t>
      </w:r>
      <w:r>
        <w:rPr>
          <w:rFonts w:ascii="Times New Roman" w:hAnsi="Times New Roman"/>
          <w:color w:val="000000"/>
          <w:lang w:val="en-GB"/>
        </w:rPr>
        <w:t>ffinity for the air/water interface. A</w:t>
      </w:r>
      <w:r>
        <w:rPr>
          <w:rFonts w:ascii="Times New Roman" w:hAnsi="Times New Roman"/>
          <w:iCs/>
          <w:color w:val="000000"/>
          <w:lang w:val="en-GB"/>
        </w:rPr>
        <w:t xml:space="preserve"> high positive correlation was found </w:t>
      </w:r>
      <w:r w:rsidRPr="006E1463">
        <w:rPr>
          <w:rFonts w:ascii="Times New Roman" w:hAnsi="Times New Roman"/>
          <w:iCs/>
          <w:color w:val="000000"/>
          <w:lang w:val="en-GB"/>
        </w:rPr>
        <w:t>between SAS concentrations in the SML and ULW</w:t>
      </w:r>
      <w:r>
        <w:rPr>
          <w:rFonts w:ascii="Times New Roman" w:hAnsi="Times New Roman"/>
          <w:iCs/>
          <w:color w:val="000000"/>
          <w:lang w:val="en-GB"/>
        </w:rPr>
        <w:t>, with a similar linear dependence (SAS</w:t>
      </w:r>
      <w:r w:rsidRPr="0053293E">
        <w:rPr>
          <w:rFonts w:ascii="Times New Roman" w:hAnsi="Times New Roman"/>
          <w:iCs/>
          <w:color w:val="000000"/>
          <w:vertAlign w:val="subscript"/>
          <w:lang w:val="en-GB"/>
        </w:rPr>
        <w:t>ULW</w:t>
      </w:r>
      <w:r>
        <w:rPr>
          <w:rFonts w:ascii="Times New Roman" w:hAnsi="Times New Roman"/>
          <w:iCs/>
          <w:color w:val="000000"/>
          <w:lang w:val="en-GB"/>
        </w:rPr>
        <w:t xml:space="preserve"> = 0.690 x SAS</w:t>
      </w:r>
      <w:r w:rsidRPr="0053293E">
        <w:rPr>
          <w:rFonts w:ascii="Times New Roman" w:hAnsi="Times New Roman"/>
          <w:iCs/>
          <w:color w:val="000000"/>
          <w:vertAlign w:val="subscript"/>
          <w:lang w:val="en-GB"/>
        </w:rPr>
        <w:t>SML</w:t>
      </w:r>
      <w:r>
        <w:rPr>
          <w:rFonts w:ascii="Times New Roman" w:hAnsi="Times New Roman"/>
          <w:iCs/>
          <w:color w:val="000000"/>
          <w:lang w:val="en-GB"/>
        </w:rPr>
        <w:t xml:space="preserve"> + 0.052) as derived by Pereira et al. (2016) (SAS</w:t>
      </w:r>
      <w:r w:rsidRPr="0053293E">
        <w:rPr>
          <w:rFonts w:ascii="Times New Roman" w:hAnsi="Times New Roman"/>
          <w:iCs/>
          <w:color w:val="000000"/>
          <w:vertAlign w:val="subscript"/>
          <w:lang w:val="en-GB"/>
        </w:rPr>
        <w:t>ULW</w:t>
      </w:r>
      <w:r>
        <w:rPr>
          <w:rFonts w:ascii="Times New Roman" w:hAnsi="Times New Roman"/>
          <w:iCs/>
          <w:color w:val="000000"/>
          <w:lang w:val="en-GB"/>
        </w:rPr>
        <w:t xml:space="preserve"> = 0.766 x SAS</w:t>
      </w:r>
      <w:r w:rsidRPr="0053293E">
        <w:rPr>
          <w:rFonts w:ascii="Times New Roman" w:hAnsi="Times New Roman"/>
          <w:iCs/>
          <w:color w:val="000000"/>
          <w:vertAlign w:val="subscript"/>
          <w:lang w:val="en-GB"/>
        </w:rPr>
        <w:t>SML</w:t>
      </w:r>
      <w:r>
        <w:rPr>
          <w:rFonts w:ascii="Times New Roman" w:hAnsi="Times New Roman"/>
          <w:iCs/>
          <w:color w:val="000000"/>
          <w:lang w:val="en-GB"/>
        </w:rPr>
        <w:t xml:space="preserve"> + 0.018). Our result supports the observation that ULW constantly </w:t>
      </w:r>
      <w:r w:rsidRPr="00F90755">
        <w:rPr>
          <w:rFonts w:ascii="Times New Roman" w:hAnsi="Times New Roman"/>
          <w:iCs/>
          <w:color w:val="000000"/>
          <w:lang w:val="en-GB"/>
        </w:rPr>
        <w:t>replenishes</w:t>
      </w:r>
      <w:r>
        <w:rPr>
          <w:rFonts w:ascii="Times New Roman" w:hAnsi="Times New Roman"/>
          <w:iCs/>
          <w:color w:val="000000"/>
          <w:lang w:val="en-GB"/>
        </w:rPr>
        <w:t xml:space="preserve"> SAS in the SML (Pereira et al., 2016, Cunliffe et al., 2013)</w:t>
      </w:r>
      <w:r w:rsidRPr="006E1463">
        <w:rPr>
          <w:rFonts w:ascii="Times New Roman" w:hAnsi="Times New Roman"/>
          <w:iCs/>
          <w:color w:val="000000"/>
          <w:lang w:val="en-GB"/>
        </w:rPr>
        <w:t xml:space="preserve"> </w:t>
      </w:r>
      <w:r>
        <w:rPr>
          <w:rFonts w:ascii="Times New Roman" w:hAnsi="Times New Roman"/>
          <w:iCs/>
          <w:color w:val="000000"/>
          <w:lang w:val="en-GB"/>
        </w:rPr>
        <w:t>and reinforces the discussion about the self-sustainability of the SML with respect to its surface activity, even in strong wind conditions.</w:t>
      </w:r>
      <w:bookmarkEnd w:id="20"/>
      <w:r>
        <w:rPr>
          <w:rFonts w:ascii="Times New Roman" w:hAnsi="Times New Roman"/>
          <w:iCs/>
          <w:color w:val="000000"/>
          <w:lang w:val="en-GB"/>
        </w:rPr>
        <w:t xml:space="preserve"> </w:t>
      </w:r>
    </w:p>
    <w:p w14:paraId="1CBE0430" w14:textId="77777777" w:rsidR="00B41302" w:rsidRPr="00B41302" w:rsidRDefault="00B41302" w:rsidP="00EC48C9">
      <w:pPr>
        <w:pStyle w:val="NoSpacing"/>
        <w:spacing w:line="360" w:lineRule="auto"/>
        <w:rPr>
          <w:lang w:val="en-GB" w:bidi="en-US"/>
        </w:rPr>
      </w:pPr>
    </w:p>
    <w:p w14:paraId="40B3740A" w14:textId="77777777" w:rsidR="008C3378" w:rsidRPr="006E1463" w:rsidRDefault="008C3378">
      <w:pPr>
        <w:pStyle w:val="NoSpacing"/>
        <w:spacing w:line="360" w:lineRule="auto"/>
        <w:rPr>
          <w:rFonts w:ascii="Times New Roman" w:hAnsi="Times New Roman"/>
          <w:color w:val="000000"/>
          <w:lang w:val="en-GB" w:bidi="en-US"/>
        </w:rPr>
      </w:pPr>
      <w:r w:rsidRPr="006E1463">
        <w:rPr>
          <w:rFonts w:ascii="Times New Roman" w:hAnsi="Times New Roman"/>
          <w:color w:val="000000"/>
          <w:lang w:val="en-GB" w:bidi="en-US"/>
        </w:rPr>
        <w:t xml:space="preserve">Table </w:t>
      </w:r>
      <w:r>
        <w:rPr>
          <w:rFonts w:ascii="Times New Roman" w:hAnsi="Times New Roman"/>
          <w:color w:val="000000"/>
          <w:lang w:val="en-GB" w:bidi="en-US"/>
        </w:rPr>
        <w:t>2</w:t>
      </w:r>
      <w:r w:rsidRPr="006E1463">
        <w:rPr>
          <w:rFonts w:ascii="Times New Roman" w:hAnsi="Times New Roman"/>
          <w:color w:val="000000"/>
          <w:lang w:val="en-GB" w:bidi="en-US"/>
        </w:rPr>
        <w:t xml:space="preserve">. Concentration ranges of </w:t>
      </w:r>
      <w:r>
        <w:rPr>
          <w:rFonts w:ascii="Times New Roman" w:hAnsi="Times New Roman"/>
          <w:color w:val="000000"/>
          <w:lang w:val="en-GB" w:bidi="en-US"/>
        </w:rPr>
        <w:t>surface</w:t>
      </w:r>
      <w:r w:rsidR="00137909">
        <w:rPr>
          <w:rFonts w:ascii="Times New Roman" w:hAnsi="Times New Roman"/>
          <w:color w:val="000000"/>
          <w:lang w:val="en-GB" w:bidi="en-US"/>
        </w:rPr>
        <w:t>-</w:t>
      </w:r>
      <w:r>
        <w:rPr>
          <w:rFonts w:ascii="Times New Roman" w:hAnsi="Times New Roman"/>
          <w:color w:val="000000"/>
          <w:lang w:val="en-GB" w:bidi="en-US"/>
        </w:rPr>
        <w:t xml:space="preserve">active </w:t>
      </w:r>
      <w:r w:rsidR="006C3A0B">
        <w:rPr>
          <w:rFonts w:ascii="Times New Roman" w:hAnsi="Times New Roman"/>
          <w:color w:val="000000"/>
          <w:lang w:val="en-GB" w:bidi="en-US"/>
        </w:rPr>
        <w:t xml:space="preserve">organic </w:t>
      </w:r>
      <w:r>
        <w:rPr>
          <w:rFonts w:ascii="Times New Roman" w:hAnsi="Times New Roman"/>
          <w:color w:val="000000"/>
          <w:lang w:val="en-GB" w:bidi="en-US"/>
        </w:rPr>
        <w:t>substances (</w:t>
      </w:r>
      <w:r w:rsidRPr="006E1463">
        <w:rPr>
          <w:rFonts w:ascii="Times New Roman" w:hAnsi="Times New Roman"/>
          <w:color w:val="000000"/>
          <w:lang w:val="en-GB" w:bidi="en-US"/>
        </w:rPr>
        <w:t>SAS</w:t>
      </w:r>
      <w:r>
        <w:rPr>
          <w:rFonts w:ascii="Times New Roman" w:hAnsi="Times New Roman"/>
          <w:color w:val="000000"/>
          <w:lang w:val="en-GB" w:bidi="en-US"/>
        </w:rPr>
        <w:t>)</w:t>
      </w:r>
      <w:r w:rsidRPr="006E1463">
        <w:rPr>
          <w:rFonts w:ascii="Times New Roman" w:hAnsi="Times New Roman"/>
          <w:color w:val="000000"/>
          <w:lang w:val="en-GB" w:bidi="en-US"/>
        </w:rPr>
        <w:t xml:space="preserve"> and enrichment factor (EF) ranges in </w:t>
      </w:r>
      <w:r>
        <w:rPr>
          <w:rFonts w:ascii="Times New Roman" w:hAnsi="Times New Roman"/>
          <w:color w:val="000000"/>
          <w:lang w:val="en-GB" w:bidi="en-US"/>
        </w:rPr>
        <w:t>sea surface microlayer (</w:t>
      </w:r>
      <w:r w:rsidRPr="006E1463">
        <w:rPr>
          <w:rFonts w:ascii="Times New Roman" w:hAnsi="Times New Roman"/>
          <w:color w:val="000000"/>
          <w:lang w:val="en-GB" w:bidi="en-US"/>
        </w:rPr>
        <w:t>SML</w:t>
      </w:r>
      <w:r>
        <w:rPr>
          <w:rFonts w:ascii="Times New Roman" w:hAnsi="Times New Roman"/>
          <w:color w:val="000000"/>
          <w:lang w:val="en-GB" w:bidi="en-US"/>
        </w:rPr>
        <w:t>)</w:t>
      </w:r>
      <w:r w:rsidRPr="006E1463">
        <w:rPr>
          <w:rFonts w:ascii="Times New Roman" w:hAnsi="Times New Roman"/>
          <w:color w:val="000000"/>
          <w:lang w:val="en-GB" w:bidi="en-US"/>
        </w:rPr>
        <w:t xml:space="preserve"> and</w:t>
      </w:r>
      <w:r>
        <w:rPr>
          <w:rFonts w:ascii="Times New Roman" w:hAnsi="Times New Roman"/>
          <w:color w:val="000000"/>
          <w:lang w:val="en-GB" w:bidi="en-US"/>
        </w:rPr>
        <w:t xml:space="preserve"> underlying water from 1 m depth (</w:t>
      </w:r>
      <w:r w:rsidRPr="006E1463">
        <w:rPr>
          <w:rFonts w:ascii="Times New Roman" w:hAnsi="Times New Roman"/>
          <w:color w:val="000000"/>
          <w:lang w:val="en-GB" w:bidi="en-US"/>
        </w:rPr>
        <w:t>ULW</w:t>
      </w:r>
      <w:r>
        <w:rPr>
          <w:rFonts w:ascii="Times New Roman" w:hAnsi="Times New Roman"/>
          <w:color w:val="000000"/>
          <w:lang w:val="en-GB" w:bidi="en-US"/>
        </w:rPr>
        <w:t>)</w:t>
      </w:r>
      <w:r w:rsidRPr="006E1463">
        <w:rPr>
          <w:rFonts w:ascii="Times New Roman" w:hAnsi="Times New Roman"/>
          <w:color w:val="000000"/>
          <w:lang w:val="en-GB" w:bidi="en-US"/>
        </w:rPr>
        <w:t xml:space="preserve"> determined in this study, along with results from other similar studies.    </w:t>
      </w:r>
    </w:p>
    <w:tbl>
      <w:tblPr>
        <w:tblW w:w="9459" w:type="dxa"/>
        <w:tblInd w:w="-5" w:type="dxa"/>
        <w:tblLook w:val="04A0" w:firstRow="1" w:lastRow="0" w:firstColumn="1" w:lastColumn="0" w:noHBand="0" w:noVBand="1"/>
      </w:tblPr>
      <w:tblGrid>
        <w:gridCol w:w="2127"/>
        <w:gridCol w:w="1984"/>
        <w:gridCol w:w="1283"/>
        <w:gridCol w:w="1276"/>
        <w:gridCol w:w="1268"/>
        <w:gridCol w:w="1513"/>
        <w:gridCol w:w="8"/>
      </w:tblGrid>
      <w:tr w:rsidR="008C3378" w:rsidRPr="006E1463" w14:paraId="507F4177" w14:textId="77777777" w:rsidTr="00D57163">
        <w:trPr>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3F77775E"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Location</w:t>
            </w:r>
            <w:r>
              <w:rPr>
                <w:rFonts w:ascii="Times New Roman" w:hAnsi="Times New Roman"/>
                <w:color w:val="000000"/>
                <w:sz w:val="20"/>
                <w:szCs w:val="20"/>
                <w:lang w:bidi="ar-SA"/>
              </w:rPr>
              <w:t xml:space="preserve"> (sampling method)</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B1721"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SML thickness (μm)</w:t>
            </w:r>
          </w:p>
        </w:tc>
        <w:tc>
          <w:tcPr>
            <w:tcW w:w="2559" w:type="dxa"/>
            <w:gridSpan w:val="2"/>
            <w:tcBorders>
              <w:top w:val="single" w:sz="4" w:space="0" w:color="auto"/>
              <w:left w:val="nil"/>
              <w:bottom w:val="single" w:sz="4" w:space="0" w:color="000000"/>
              <w:right w:val="nil"/>
            </w:tcBorders>
            <w:shd w:val="clear" w:color="auto" w:fill="auto"/>
            <w:noWrap/>
            <w:vAlign w:val="center"/>
            <w:hideMark/>
          </w:tcPr>
          <w:p w14:paraId="41233FDB"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SAS (mg L</w:t>
            </w:r>
            <w:r w:rsidRPr="006E1463">
              <w:rPr>
                <w:rFonts w:ascii="Times New Roman" w:hAnsi="Times New Roman"/>
                <w:color w:val="000000"/>
                <w:sz w:val="20"/>
                <w:szCs w:val="20"/>
                <w:vertAlign w:val="superscript"/>
                <w:lang w:bidi="ar-SA"/>
              </w:rPr>
              <w:t>-1</w:t>
            </w:r>
            <w:r w:rsidRPr="006E1463">
              <w:rPr>
                <w:rFonts w:ascii="Times New Roman" w:hAnsi="Times New Roman"/>
                <w:color w:val="000000"/>
                <w:sz w:val="20"/>
                <w:szCs w:val="20"/>
                <w:lang w:bidi="ar-SA"/>
              </w:rPr>
              <w:t xml:space="preserve"> eq. T-X-100)</w:t>
            </w: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5797F"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EF</w:t>
            </w:r>
          </w:p>
        </w:tc>
        <w:tc>
          <w:tcPr>
            <w:tcW w:w="152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22B4CE"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Reference</w:t>
            </w:r>
          </w:p>
        </w:tc>
      </w:tr>
      <w:tr w:rsidR="008C3378" w:rsidRPr="006E1463" w14:paraId="5CE4856D" w14:textId="77777777" w:rsidTr="00D57163">
        <w:trPr>
          <w:gridAfter w:val="1"/>
          <w:wAfter w:w="8" w:type="dxa"/>
          <w:trHeight w:val="300"/>
        </w:trPr>
        <w:tc>
          <w:tcPr>
            <w:tcW w:w="2127" w:type="dxa"/>
            <w:tcBorders>
              <w:top w:val="nil"/>
              <w:left w:val="single" w:sz="4" w:space="0" w:color="auto"/>
              <w:bottom w:val="nil"/>
              <w:right w:val="single" w:sz="4" w:space="0" w:color="auto"/>
            </w:tcBorders>
            <w:shd w:val="clear" w:color="auto" w:fill="auto"/>
            <w:noWrap/>
            <w:vAlign w:val="center"/>
            <w:hideMark/>
          </w:tcPr>
          <w:p w14:paraId="3CFF5968"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c>
          <w:tcPr>
            <w:tcW w:w="1984" w:type="dxa"/>
            <w:tcBorders>
              <w:top w:val="nil"/>
              <w:left w:val="nil"/>
              <w:bottom w:val="nil"/>
              <w:right w:val="single" w:sz="4" w:space="0" w:color="auto"/>
            </w:tcBorders>
            <w:shd w:val="clear" w:color="auto" w:fill="auto"/>
            <w:noWrap/>
            <w:vAlign w:val="center"/>
            <w:hideMark/>
          </w:tcPr>
          <w:p w14:paraId="2B15C931"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c>
          <w:tcPr>
            <w:tcW w:w="1283" w:type="dxa"/>
            <w:tcBorders>
              <w:top w:val="nil"/>
              <w:left w:val="nil"/>
              <w:bottom w:val="nil"/>
              <w:right w:val="single" w:sz="4" w:space="0" w:color="auto"/>
            </w:tcBorders>
            <w:shd w:val="clear" w:color="auto" w:fill="auto"/>
            <w:noWrap/>
            <w:vAlign w:val="center"/>
            <w:hideMark/>
          </w:tcPr>
          <w:p w14:paraId="7DD4318B"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SML</w:t>
            </w:r>
          </w:p>
        </w:tc>
        <w:tc>
          <w:tcPr>
            <w:tcW w:w="1276" w:type="dxa"/>
            <w:tcBorders>
              <w:top w:val="nil"/>
              <w:left w:val="nil"/>
              <w:bottom w:val="nil"/>
              <w:right w:val="single" w:sz="4" w:space="0" w:color="auto"/>
            </w:tcBorders>
            <w:shd w:val="clear" w:color="auto" w:fill="auto"/>
            <w:noWrap/>
            <w:vAlign w:val="center"/>
            <w:hideMark/>
          </w:tcPr>
          <w:p w14:paraId="507D8C0B"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ULW</w:t>
            </w:r>
          </w:p>
        </w:tc>
        <w:tc>
          <w:tcPr>
            <w:tcW w:w="1268" w:type="dxa"/>
            <w:tcBorders>
              <w:top w:val="nil"/>
              <w:left w:val="nil"/>
              <w:bottom w:val="nil"/>
              <w:right w:val="single" w:sz="4" w:space="0" w:color="auto"/>
            </w:tcBorders>
            <w:shd w:val="clear" w:color="auto" w:fill="auto"/>
            <w:noWrap/>
            <w:vAlign w:val="center"/>
            <w:hideMark/>
          </w:tcPr>
          <w:p w14:paraId="7B726739"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c>
          <w:tcPr>
            <w:tcW w:w="1513" w:type="dxa"/>
            <w:tcBorders>
              <w:top w:val="nil"/>
              <w:left w:val="nil"/>
              <w:bottom w:val="nil"/>
              <w:right w:val="single" w:sz="4" w:space="0" w:color="auto"/>
            </w:tcBorders>
            <w:shd w:val="clear" w:color="auto" w:fill="auto"/>
            <w:noWrap/>
            <w:vAlign w:val="center"/>
            <w:hideMark/>
          </w:tcPr>
          <w:p w14:paraId="6EEEDEC1"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r>
      <w:tr w:rsidR="008C3378" w:rsidRPr="006E1463" w14:paraId="2FE3BE6F"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45DF956B"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Baltic Sea; Vistula plume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3F626"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500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54B6E632" w14:textId="0624E42C" w:rsidR="008C3378" w:rsidRPr="006E1463" w:rsidRDefault="008C3378" w:rsidP="00A32DF7">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w:t>
            </w:r>
            <w:r w:rsidR="00A32DF7">
              <w:rPr>
                <w:rFonts w:ascii="Times New Roman" w:hAnsi="Times New Roman"/>
                <w:color w:val="000000"/>
                <w:sz w:val="20"/>
                <w:szCs w:val="20"/>
                <w:lang w:bidi="ar-SA"/>
              </w:rPr>
              <w:t>28</w:t>
            </w:r>
            <w:r w:rsidRPr="006E1463">
              <w:rPr>
                <w:rFonts w:ascii="Times New Roman" w:hAnsi="Times New Roman"/>
                <w:color w:val="000000"/>
                <w:sz w:val="20"/>
                <w:szCs w:val="20"/>
                <w:lang w:bidi="ar-SA"/>
              </w:rPr>
              <w:t xml:space="preserve"> – 0.6</w:t>
            </w:r>
            <w:r w:rsidR="00A32DF7">
              <w:rPr>
                <w:rFonts w:ascii="Times New Roman" w:hAnsi="Times New Roman"/>
                <w:color w:val="000000"/>
                <w:sz w:val="20"/>
                <w:szCs w:val="20"/>
                <w:lang w:bidi="ar-SA"/>
              </w:rPr>
              <w:t>0</w:t>
            </w:r>
            <w:r w:rsidRPr="006E1463">
              <w:rPr>
                <w:rFonts w:ascii="Times New Roman" w:hAnsi="Times New Roman"/>
                <w:color w:val="000000"/>
                <w:sz w:val="20"/>
                <w:szCs w:val="20"/>
                <w:lang w:bidi="ar-SA"/>
              </w:rPr>
              <w:t xml:space="preserve">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7A9F691" w14:textId="17ED5480" w:rsidR="008C3378" w:rsidRPr="006E1463" w:rsidRDefault="008C3378" w:rsidP="00A32DF7">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0.2</w:t>
            </w:r>
            <w:r w:rsidR="00A32DF7">
              <w:rPr>
                <w:rFonts w:ascii="Times New Roman" w:hAnsi="Times New Roman"/>
                <w:color w:val="000000"/>
                <w:sz w:val="20"/>
                <w:szCs w:val="20"/>
                <w:lang w:bidi="ar-SA"/>
              </w:rPr>
              <w:t>2</w:t>
            </w:r>
            <w:r w:rsidRPr="006E1463">
              <w:rPr>
                <w:rFonts w:ascii="Times New Roman" w:hAnsi="Times New Roman"/>
                <w:color w:val="000000"/>
                <w:sz w:val="20"/>
                <w:szCs w:val="20"/>
                <w:lang w:bidi="ar-SA"/>
              </w:rPr>
              <w:t xml:space="preserve"> – 0.47</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1E64C975"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1.0 – 1.4</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1B914A80"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This study</w:t>
            </w:r>
          </w:p>
        </w:tc>
      </w:tr>
      <w:tr w:rsidR="008C3378" w:rsidRPr="006E1463" w14:paraId="6903E2E6"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4F0D6910"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Middle Adriatic; coastal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846241"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260 ± 40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01BA307B"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0.25 ± 0.06 – 0.79 ± 0.54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EE2A27E"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 xml:space="preserve">0.06 ± 0.02 – 0.30 ± 0.13 </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3780A460"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1.4 – 5.1</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5D2ED73B" w14:textId="77777777" w:rsidR="008C3378" w:rsidRPr="009852BF" w:rsidRDefault="008C3378" w:rsidP="00D57163">
            <w:pPr>
              <w:spacing w:after="0" w:line="240" w:lineRule="auto"/>
              <w:rPr>
                <w:rFonts w:ascii="Times New Roman" w:hAnsi="Times New Roman"/>
                <w:color w:val="000000"/>
                <w:sz w:val="20"/>
                <w:szCs w:val="20"/>
                <w:lang w:bidi="ar-SA"/>
              </w:rPr>
            </w:pPr>
            <w:r w:rsidRPr="009852BF">
              <w:rPr>
                <w:rFonts w:ascii="Times New Roman" w:hAnsi="Times New Roman"/>
                <w:noProof/>
                <w:color w:val="000000"/>
                <w:sz w:val="20"/>
                <w:szCs w:val="20"/>
                <w:lang w:bidi="ar-SA"/>
              </w:rPr>
              <w:t>Frka et al., 2009</w:t>
            </w:r>
          </w:p>
        </w:tc>
      </w:tr>
      <w:tr w:rsidR="006C3A0B" w:rsidRPr="006E1463" w14:paraId="0F65E813"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5524840B"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W Atlantic; Mauritania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A88D0"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465 ± 34</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648F8633"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0.22 ± 0.18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1C4F6E"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0.16 ± 0.07</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6620274B"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1.5 ± 0.7</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7A905DA8" w14:textId="77777777" w:rsidR="006C3A0B" w:rsidRPr="009852BF" w:rsidRDefault="006C3A0B" w:rsidP="006C3A0B">
            <w:pPr>
              <w:spacing w:after="0" w:line="240" w:lineRule="auto"/>
              <w:rPr>
                <w:rFonts w:ascii="Times New Roman" w:hAnsi="Times New Roman"/>
                <w:noProof/>
                <w:color w:val="000000"/>
                <w:sz w:val="20"/>
                <w:szCs w:val="20"/>
                <w:lang w:bidi="ar-SA"/>
              </w:rPr>
            </w:pPr>
            <w:r w:rsidRPr="009852BF">
              <w:rPr>
                <w:rFonts w:ascii="Times New Roman" w:hAnsi="Times New Roman"/>
                <w:noProof/>
                <w:color w:val="000000"/>
                <w:sz w:val="20"/>
                <w:szCs w:val="20"/>
                <w:lang w:bidi="ar-SA"/>
              </w:rPr>
              <w:t>Barthelmess et al., 2021</w:t>
            </w:r>
          </w:p>
        </w:tc>
      </w:tr>
      <w:tr w:rsidR="006C3A0B" w:rsidRPr="006E1463" w14:paraId="59E0BA2B" w14:textId="77777777" w:rsidTr="006C3A0B">
        <w:trPr>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5384E60F"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North Sea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AC064"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65 – 80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7C33883A"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0.15 – 1.96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FE1959"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0.09 – 1.70</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321F43F9"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0.9 – 1.6</w:t>
            </w:r>
          </w:p>
        </w:tc>
        <w:tc>
          <w:tcPr>
            <w:tcW w:w="1521" w:type="dxa"/>
            <w:gridSpan w:val="2"/>
            <w:tcBorders>
              <w:top w:val="single" w:sz="4" w:space="0" w:color="auto"/>
              <w:left w:val="nil"/>
              <w:bottom w:val="single" w:sz="4" w:space="0" w:color="auto"/>
              <w:right w:val="single" w:sz="4" w:space="0" w:color="auto"/>
            </w:tcBorders>
            <w:shd w:val="clear" w:color="auto" w:fill="auto"/>
            <w:noWrap/>
            <w:vAlign w:val="center"/>
          </w:tcPr>
          <w:p w14:paraId="747F7CB9" w14:textId="77777777" w:rsidR="006C3A0B" w:rsidRPr="009852BF" w:rsidRDefault="006C3A0B" w:rsidP="006C3A0B">
            <w:pPr>
              <w:spacing w:after="0" w:line="240" w:lineRule="auto"/>
              <w:rPr>
                <w:rFonts w:ascii="Times New Roman" w:hAnsi="Times New Roman"/>
                <w:noProof/>
                <w:color w:val="000000"/>
                <w:sz w:val="20"/>
                <w:szCs w:val="20"/>
                <w:lang w:bidi="ar-SA"/>
              </w:rPr>
            </w:pPr>
            <w:r w:rsidRPr="009852BF">
              <w:rPr>
                <w:rFonts w:ascii="Times New Roman" w:hAnsi="Times New Roman"/>
                <w:noProof/>
                <w:color w:val="000000"/>
                <w:sz w:val="20"/>
                <w:szCs w:val="20"/>
                <w:lang w:bidi="ar-SA"/>
              </w:rPr>
              <w:t>Rickard et al., 2022</w:t>
            </w:r>
          </w:p>
        </w:tc>
      </w:tr>
      <w:tr w:rsidR="006C3A0B" w:rsidRPr="006E1463" w14:paraId="1BB133B6" w14:textId="77777777" w:rsidTr="006C3A0B">
        <w:trPr>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1D52F24B"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North Sea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25E597"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65 – 80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2E58A20"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0.08 ± 0.01 - 0.38 ±0.04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F0D746"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0.09±0.02 – 0.28±0.01</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147F769E" w14:textId="77777777" w:rsidR="006C3A0B" w:rsidRPr="009852BF" w:rsidRDefault="006C3A0B" w:rsidP="006C3A0B">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0.75±0.17 – 1.90±0.71</w:t>
            </w:r>
          </w:p>
        </w:tc>
        <w:tc>
          <w:tcPr>
            <w:tcW w:w="1521" w:type="dxa"/>
            <w:gridSpan w:val="2"/>
            <w:tcBorders>
              <w:top w:val="single" w:sz="4" w:space="0" w:color="auto"/>
              <w:left w:val="nil"/>
              <w:bottom w:val="single" w:sz="4" w:space="0" w:color="auto"/>
              <w:right w:val="single" w:sz="4" w:space="0" w:color="auto"/>
            </w:tcBorders>
            <w:shd w:val="clear" w:color="auto" w:fill="auto"/>
            <w:noWrap/>
            <w:vAlign w:val="center"/>
          </w:tcPr>
          <w:p w14:paraId="78F64B3C" w14:textId="77777777" w:rsidR="006C3A0B" w:rsidRPr="009852BF" w:rsidRDefault="006C3A0B" w:rsidP="006C3A0B">
            <w:pPr>
              <w:spacing w:after="0" w:line="240" w:lineRule="auto"/>
              <w:rPr>
                <w:rFonts w:ascii="Times New Roman" w:hAnsi="Times New Roman"/>
                <w:noProof/>
                <w:color w:val="000000"/>
                <w:sz w:val="20"/>
                <w:szCs w:val="20"/>
                <w:lang w:bidi="ar-SA"/>
              </w:rPr>
            </w:pPr>
            <w:r w:rsidRPr="009852BF">
              <w:rPr>
                <w:rFonts w:ascii="Times New Roman" w:hAnsi="Times New Roman"/>
                <w:noProof/>
                <w:color w:val="000000"/>
                <w:sz w:val="20"/>
                <w:szCs w:val="20"/>
                <w:lang w:bidi="ar-SA"/>
              </w:rPr>
              <w:t>Pereira et al., 2016.</w:t>
            </w:r>
          </w:p>
        </w:tc>
      </w:tr>
      <w:tr w:rsidR="00550842" w:rsidRPr="006E1463" w14:paraId="5A9B8E8F"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78198AC8" w14:textId="77777777" w:rsidR="00550842" w:rsidRPr="009852BF" w:rsidRDefault="00055549" w:rsidP="00055549">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Norwegian Sea; fjords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E074E" w14:textId="77777777" w:rsidR="00550842" w:rsidRPr="009852BF" w:rsidRDefault="00055549"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100 - 150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749AFD7F" w14:textId="77777777" w:rsidR="00550842" w:rsidRPr="009852BF" w:rsidRDefault="00055549"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0.12 – 0.21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8FBD9E2" w14:textId="77777777" w:rsidR="00550842" w:rsidRPr="009852BF" w:rsidRDefault="00055549"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0.07 – 0.14</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70E2B0E7" w14:textId="77777777" w:rsidR="00550842" w:rsidRPr="009852BF" w:rsidRDefault="00055549" w:rsidP="00D57163">
            <w:pPr>
              <w:spacing w:after="0" w:line="240" w:lineRule="auto"/>
              <w:rPr>
                <w:rFonts w:ascii="Times New Roman" w:hAnsi="Times New Roman"/>
                <w:color w:val="000000"/>
                <w:sz w:val="20"/>
                <w:szCs w:val="20"/>
                <w:lang w:bidi="ar-SA"/>
              </w:rPr>
            </w:pPr>
            <w:r w:rsidRPr="009852BF">
              <w:rPr>
                <w:rFonts w:ascii="Times New Roman" w:hAnsi="Times New Roman"/>
                <w:color w:val="000000"/>
                <w:sz w:val="20"/>
                <w:szCs w:val="20"/>
                <w:lang w:bidi="ar-SA"/>
              </w:rPr>
              <w:t>1.21 – 2.8</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43A98D39" w14:textId="77777777" w:rsidR="00550842" w:rsidRPr="009852BF" w:rsidRDefault="00055549" w:rsidP="00D57163">
            <w:pPr>
              <w:spacing w:after="0" w:line="240" w:lineRule="auto"/>
              <w:rPr>
                <w:rFonts w:ascii="Times New Roman" w:hAnsi="Times New Roman"/>
                <w:noProof/>
                <w:color w:val="000000"/>
                <w:sz w:val="20"/>
                <w:szCs w:val="20"/>
                <w:lang w:bidi="ar-SA"/>
              </w:rPr>
            </w:pPr>
            <w:r w:rsidRPr="009852BF">
              <w:rPr>
                <w:rFonts w:ascii="Times New Roman" w:hAnsi="Times New Roman"/>
                <w:noProof/>
                <w:color w:val="000000"/>
                <w:sz w:val="20"/>
                <w:szCs w:val="20"/>
                <w:lang w:bidi="ar-SA"/>
              </w:rPr>
              <w:t>Gašparović et al., 2007.</w:t>
            </w:r>
          </w:p>
        </w:tc>
      </w:tr>
      <w:tr w:rsidR="008C3378" w:rsidRPr="006E1463" w14:paraId="5C133545"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1CB8EF66"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Baltic Sea and North Sea (glass discs)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4E1A9"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60 – 100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051206C9"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xml:space="preserve">0.31 ± 0.03 – 0.60 ± 0.63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F9B0033"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0.13 ± 0.03 – 0.49 ± 0.05</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18635A54"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0.9 ± 0.2 – 3.9 ± 3.3</w:t>
            </w:r>
          </w:p>
        </w:tc>
        <w:tc>
          <w:tcPr>
            <w:tcW w:w="1513" w:type="dxa"/>
            <w:tcBorders>
              <w:top w:val="single" w:sz="4" w:space="0" w:color="auto"/>
              <w:left w:val="nil"/>
              <w:bottom w:val="single" w:sz="4" w:space="0" w:color="auto"/>
              <w:right w:val="single" w:sz="4" w:space="0" w:color="auto"/>
            </w:tcBorders>
            <w:shd w:val="clear" w:color="auto" w:fill="auto"/>
            <w:noWrap/>
            <w:vAlign w:val="center"/>
            <w:hideMark/>
          </w:tcPr>
          <w:p w14:paraId="368D0C07" w14:textId="77777777" w:rsidR="008C3378" w:rsidRPr="006E1463" w:rsidRDefault="008C3378" w:rsidP="00D57163">
            <w:pPr>
              <w:spacing w:after="0" w:line="240" w:lineRule="auto"/>
              <w:rPr>
                <w:rFonts w:ascii="Times New Roman" w:hAnsi="Times New Roman"/>
                <w:color w:val="000000"/>
                <w:sz w:val="20"/>
                <w:szCs w:val="20"/>
                <w:lang w:bidi="ar-SA"/>
              </w:rPr>
            </w:pPr>
            <w:r>
              <w:rPr>
                <w:rFonts w:ascii="Times New Roman" w:hAnsi="Times New Roman"/>
                <w:noProof/>
                <w:color w:val="000000"/>
                <w:sz w:val="20"/>
                <w:szCs w:val="20"/>
                <w:lang w:bidi="ar-SA"/>
              </w:rPr>
              <w:t>Ribas-Ribas et al., 2017</w:t>
            </w:r>
          </w:p>
        </w:tc>
      </w:tr>
      <w:tr w:rsidR="008C3378" w:rsidRPr="006E1463" w14:paraId="6C49A7E6"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67EF71E7"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North Sea; Jade bay (glass discs)</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F1A2F3"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50 – 80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3C054408"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0.05 – 0.81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0FB522"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0.20 – 0.29</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42A4A51B"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0.6 – 1.0</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415EC8C9" w14:textId="77777777" w:rsidR="008C3378" w:rsidRPr="006E1463" w:rsidRDefault="008C3378" w:rsidP="00D57163">
            <w:pPr>
              <w:spacing w:after="0" w:line="240" w:lineRule="auto"/>
              <w:rPr>
                <w:rFonts w:ascii="Times New Roman" w:hAnsi="Times New Roman"/>
                <w:color w:val="000000"/>
                <w:sz w:val="20"/>
                <w:szCs w:val="20"/>
                <w:lang w:bidi="ar-SA"/>
              </w:rPr>
            </w:pPr>
            <w:r>
              <w:rPr>
                <w:rFonts w:ascii="Times New Roman" w:hAnsi="Times New Roman"/>
                <w:noProof/>
                <w:color w:val="000000"/>
                <w:sz w:val="20"/>
                <w:szCs w:val="20"/>
                <w:lang w:bidi="ar-SA"/>
              </w:rPr>
              <w:t>Rickard et al., 2019</w:t>
            </w:r>
          </w:p>
        </w:tc>
      </w:tr>
      <w:tr w:rsidR="008C3378" w:rsidRPr="006E1463" w14:paraId="2E5FC24D"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60BB1D6F"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lastRenderedPageBreak/>
              <w:t>N Atlantic; N Pacific, nearshore (0-2 km) (glass plate)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52756"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xml:space="preserve">50 </w:t>
            </w:r>
            <w:r w:rsidRPr="006E1463">
              <w:rPr>
                <w:rFonts w:cs="Calibri"/>
                <w:color w:val="000000"/>
                <w:sz w:val="20"/>
                <w:szCs w:val="20"/>
                <w:lang w:bidi="ar-SA"/>
              </w:rPr>
              <w:t>–</w:t>
            </w:r>
            <w:r w:rsidRPr="006E1463">
              <w:rPr>
                <w:rFonts w:ascii="Times New Roman" w:hAnsi="Times New Roman"/>
                <w:color w:val="000000"/>
                <w:sz w:val="20"/>
                <w:szCs w:val="20"/>
                <w:lang w:bidi="ar-SA"/>
              </w:rPr>
              <w:t xml:space="preserve"> 120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14A2B2F6"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0.11 – 4.99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0B83AFE"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76BC01E1"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0.5 – 5.9</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25A10C40" w14:textId="77777777" w:rsidR="008C3378" w:rsidRPr="006E1463" w:rsidRDefault="008C3378" w:rsidP="00D57163">
            <w:pPr>
              <w:spacing w:after="0" w:line="240" w:lineRule="auto"/>
              <w:rPr>
                <w:rFonts w:ascii="Times New Roman" w:hAnsi="Times New Roman"/>
                <w:color w:val="000000"/>
                <w:sz w:val="20"/>
                <w:szCs w:val="20"/>
                <w:lang w:bidi="ar-SA"/>
              </w:rPr>
            </w:pPr>
            <w:r>
              <w:rPr>
                <w:rFonts w:ascii="Times New Roman" w:hAnsi="Times New Roman"/>
                <w:noProof/>
                <w:color w:val="000000"/>
                <w:sz w:val="20"/>
                <w:szCs w:val="20"/>
                <w:lang w:bidi="ar-SA"/>
              </w:rPr>
              <w:t>Wurl et al., 2011</w:t>
            </w:r>
          </w:p>
        </w:tc>
      </w:tr>
      <w:tr w:rsidR="008C3378" w:rsidRPr="006E1463" w14:paraId="39C4D45E"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2AADCFA7"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N Atlantic; N Pacific, offshore (2-20 km) (glass plate)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03FEAD"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50 – 120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594E17DA"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0.11 – 1.26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3F5DA58"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 </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29C614C6"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0.6 –</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5.0</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2F17A940"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noProof/>
                <w:color w:val="000000"/>
                <w:sz w:val="20"/>
                <w:szCs w:val="20"/>
                <w:lang w:bidi="ar-SA"/>
              </w:rPr>
              <w:t>Wurl</w:t>
            </w:r>
            <w:r>
              <w:rPr>
                <w:rFonts w:ascii="Times New Roman" w:hAnsi="Times New Roman"/>
                <w:noProof/>
                <w:color w:val="000000"/>
                <w:sz w:val="20"/>
                <w:szCs w:val="20"/>
                <w:lang w:bidi="ar-SA"/>
              </w:rPr>
              <w:t xml:space="preserve"> et al., 2011</w:t>
            </w:r>
          </w:p>
        </w:tc>
      </w:tr>
      <w:tr w:rsidR="008C3378" w:rsidRPr="006E1463" w14:paraId="513E4D0F" w14:textId="77777777" w:rsidTr="00D57163">
        <w:trPr>
          <w:gridAfter w:val="1"/>
          <w:wAfter w:w="8" w:type="dxa"/>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4F13E500" w14:textId="77777777" w:rsidR="008C3378" w:rsidRPr="006E1463" w:rsidRDefault="008C3378" w:rsidP="00D57163">
            <w:pPr>
              <w:spacing w:after="0" w:line="240" w:lineRule="auto"/>
              <w:rPr>
                <w:rFonts w:ascii="Times New Roman" w:hAnsi="Times New Roman"/>
                <w:color w:val="000000"/>
                <w:sz w:val="20"/>
                <w:szCs w:val="20"/>
                <w:lang w:bidi="ar-SA"/>
              </w:rPr>
            </w:pPr>
            <w:r>
              <w:rPr>
                <w:rFonts w:ascii="Times New Roman" w:hAnsi="Times New Roman"/>
                <w:color w:val="000000"/>
                <w:sz w:val="20"/>
                <w:szCs w:val="20"/>
                <w:lang w:bidi="ar-SA"/>
              </w:rPr>
              <w:t>E Pacific</w:t>
            </w:r>
            <w:r w:rsidRPr="006E1463">
              <w:rPr>
                <w:rFonts w:ascii="Times New Roman" w:hAnsi="Times New Roman"/>
                <w:color w:val="000000"/>
                <w:sz w:val="20"/>
                <w:szCs w:val="20"/>
                <w:lang w:bidi="ar-SA"/>
              </w:rPr>
              <w:t>; Santa Barbara channel (glass plate)</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51C72"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50 ± 10</w:t>
            </w: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7B612D62"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0.21 – 0.83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16FEFD"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0.11 – 0.637</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3F410973" w14:textId="77777777" w:rsidR="008C3378" w:rsidRPr="006E1463" w:rsidRDefault="008C3378" w:rsidP="00D57163">
            <w:pPr>
              <w:spacing w:after="0" w:line="240" w:lineRule="auto"/>
              <w:rPr>
                <w:rFonts w:ascii="Times New Roman" w:hAnsi="Times New Roman"/>
                <w:color w:val="000000"/>
                <w:sz w:val="20"/>
                <w:szCs w:val="20"/>
                <w:lang w:bidi="ar-SA"/>
              </w:rPr>
            </w:pPr>
            <w:r w:rsidRPr="006E1463">
              <w:rPr>
                <w:rFonts w:ascii="Times New Roman" w:hAnsi="Times New Roman"/>
                <w:color w:val="000000"/>
                <w:sz w:val="20"/>
                <w:szCs w:val="20"/>
                <w:lang w:bidi="ar-SA"/>
              </w:rPr>
              <w:t>3.6 – 3.9</w:t>
            </w:r>
          </w:p>
        </w:tc>
        <w:tc>
          <w:tcPr>
            <w:tcW w:w="1513" w:type="dxa"/>
            <w:tcBorders>
              <w:top w:val="single" w:sz="4" w:space="0" w:color="auto"/>
              <w:left w:val="nil"/>
              <w:bottom w:val="single" w:sz="4" w:space="0" w:color="auto"/>
              <w:right w:val="single" w:sz="4" w:space="0" w:color="auto"/>
            </w:tcBorders>
            <w:shd w:val="clear" w:color="auto" w:fill="auto"/>
            <w:noWrap/>
            <w:vAlign w:val="center"/>
          </w:tcPr>
          <w:p w14:paraId="3D145CF1" w14:textId="77777777" w:rsidR="008C3378" w:rsidRPr="006E1463" w:rsidRDefault="008C3378" w:rsidP="00D57163">
            <w:pPr>
              <w:spacing w:after="0" w:line="240" w:lineRule="auto"/>
              <w:rPr>
                <w:rFonts w:ascii="Times New Roman" w:hAnsi="Times New Roman"/>
                <w:color w:val="000000"/>
                <w:sz w:val="20"/>
                <w:szCs w:val="20"/>
                <w:lang w:bidi="ar-SA"/>
              </w:rPr>
            </w:pPr>
            <w:r>
              <w:rPr>
                <w:rFonts w:ascii="Times New Roman" w:hAnsi="Times New Roman"/>
                <w:noProof/>
                <w:color w:val="000000"/>
                <w:sz w:val="20"/>
                <w:szCs w:val="20"/>
                <w:lang w:bidi="ar-SA"/>
              </w:rPr>
              <w:t>Wurl et al., 2009</w:t>
            </w:r>
          </w:p>
        </w:tc>
      </w:tr>
      <w:tr w:rsidR="006C3A0B" w:rsidRPr="006E1463" w14:paraId="0F59EFD3" w14:textId="77777777" w:rsidTr="006C3A0B">
        <w:trPr>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5E1F2B8A" w14:textId="77777777" w:rsidR="006C3A0B" w:rsidRDefault="006C3A0B" w:rsidP="006C3A0B">
            <w:pPr>
              <w:spacing w:after="0" w:line="240" w:lineRule="auto"/>
              <w:rPr>
                <w:rFonts w:ascii="Times New Roman" w:hAnsi="Times New Roman"/>
                <w:color w:val="000000"/>
                <w:sz w:val="20"/>
                <w:szCs w:val="20"/>
                <w:lang w:bidi="ar-SA"/>
              </w:rPr>
            </w:pPr>
            <w:r>
              <w:rPr>
                <w:rFonts w:ascii="Times New Roman" w:hAnsi="Times New Roman"/>
                <w:color w:val="000000"/>
                <w:sz w:val="20"/>
                <w:szCs w:val="20"/>
                <w:lang w:bidi="ar-SA"/>
              </w:rPr>
              <w:t>Atlantic transect 2014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D626F8" w14:textId="77777777" w:rsidR="006C3A0B" w:rsidRPr="006E1463" w:rsidRDefault="006C3A0B" w:rsidP="006C3A0B">
            <w:pPr>
              <w:spacing w:after="0" w:line="240" w:lineRule="auto"/>
              <w:rPr>
                <w:rFonts w:ascii="Times New Roman" w:hAnsi="Times New Roman"/>
                <w:color w:val="000000"/>
                <w:sz w:val="20"/>
                <w:szCs w:val="20"/>
                <w:lang w:bidi="ar-SA"/>
              </w:rPr>
            </w:pP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6EA1F020" w14:textId="77777777" w:rsidR="006C3A0B" w:rsidRPr="006E1463"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0.12</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w:t>
            </w:r>
            <w:r w:rsidRPr="0017410E">
              <w:rPr>
                <w:rFonts w:ascii="Times New Roman" w:hAnsi="Times New Roman"/>
                <w:color w:val="000000"/>
                <w:sz w:val="20"/>
                <w:szCs w:val="20"/>
                <w:lang w:bidi="ar-SA"/>
              </w:rPr>
              <w:t>1.00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585FB87" w14:textId="77777777" w:rsidR="006C3A0B" w:rsidRPr="006E1463"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0.10</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w:t>
            </w:r>
            <w:r w:rsidRPr="0017410E">
              <w:rPr>
                <w:rFonts w:ascii="Times New Roman" w:hAnsi="Times New Roman"/>
                <w:color w:val="000000"/>
                <w:sz w:val="20"/>
                <w:szCs w:val="20"/>
                <w:lang w:bidi="ar-SA"/>
              </w:rPr>
              <w:t>0.36</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100F4648" w14:textId="77777777" w:rsidR="006C3A0B" w:rsidRPr="006E1463"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0.95</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w:t>
            </w:r>
            <w:r w:rsidRPr="0017410E">
              <w:rPr>
                <w:rFonts w:ascii="Times New Roman" w:hAnsi="Times New Roman"/>
                <w:color w:val="000000"/>
                <w:sz w:val="20"/>
                <w:szCs w:val="20"/>
                <w:lang w:bidi="ar-SA"/>
              </w:rPr>
              <w:t>4.52</w:t>
            </w:r>
          </w:p>
        </w:tc>
        <w:tc>
          <w:tcPr>
            <w:tcW w:w="1521" w:type="dxa"/>
            <w:gridSpan w:val="2"/>
            <w:tcBorders>
              <w:top w:val="single" w:sz="4" w:space="0" w:color="auto"/>
              <w:left w:val="nil"/>
              <w:bottom w:val="single" w:sz="4" w:space="0" w:color="auto"/>
              <w:right w:val="single" w:sz="4" w:space="0" w:color="auto"/>
            </w:tcBorders>
            <w:shd w:val="clear" w:color="auto" w:fill="auto"/>
            <w:noWrap/>
            <w:vAlign w:val="center"/>
          </w:tcPr>
          <w:p w14:paraId="350802A3" w14:textId="77777777" w:rsidR="006C3A0B" w:rsidRDefault="006C3A0B" w:rsidP="006C3A0B">
            <w:pPr>
              <w:spacing w:after="0" w:line="240" w:lineRule="auto"/>
              <w:rPr>
                <w:rFonts w:ascii="Times New Roman" w:hAnsi="Times New Roman"/>
                <w:noProof/>
                <w:color w:val="000000"/>
                <w:sz w:val="20"/>
                <w:szCs w:val="20"/>
                <w:lang w:bidi="ar-SA"/>
              </w:rPr>
            </w:pPr>
            <w:r w:rsidRPr="0017410E">
              <w:rPr>
                <w:rFonts w:ascii="Times New Roman" w:hAnsi="Times New Roman"/>
                <w:noProof/>
                <w:color w:val="000000"/>
                <w:sz w:val="20"/>
                <w:szCs w:val="20"/>
                <w:lang w:bidi="ar-SA"/>
              </w:rPr>
              <w:t>Sabbaghzadeh</w:t>
            </w:r>
            <w:r>
              <w:rPr>
                <w:rFonts w:ascii="Times New Roman" w:hAnsi="Times New Roman"/>
                <w:noProof/>
                <w:color w:val="000000"/>
                <w:sz w:val="20"/>
                <w:szCs w:val="20"/>
                <w:lang w:bidi="ar-SA"/>
              </w:rPr>
              <w:t xml:space="preserve"> et al., </w:t>
            </w:r>
            <w:r w:rsidRPr="0017410E">
              <w:rPr>
                <w:rFonts w:ascii="Times New Roman" w:hAnsi="Times New Roman"/>
                <w:noProof/>
                <w:color w:val="000000"/>
                <w:sz w:val="20"/>
                <w:szCs w:val="20"/>
                <w:lang w:bidi="ar-SA"/>
              </w:rPr>
              <w:t>2017</w:t>
            </w:r>
          </w:p>
        </w:tc>
      </w:tr>
      <w:tr w:rsidR="006C3A0B" w:rsidRPr="006E1463" w14:paraId="3790393E" w14:textId="77777777" w:rsidTr="006C3A0B">
        <w:trPr>
          <w:trHeight w:val="300"/>
        </w:trPr>
        <w:tc>
          <w:tcPr>
            <w:tcW w:w="2127" w:type="dxa"/>
            <w:tcBorders>
              <w:top w:val="single" w:sz="4" w:space="0" w:color="auto"/>
              <w:left w:val="single" w:sz="4" w:space="0" w:color="auto"/>
              <w:bottom w:val="single" w:sz="4" w:space="0" w:color="auto"/>
              <w:right w:val="nil"/>
            </w:tcBorders>
            <w:shd w:val="clear" w:color="auto" w:fill="auto"/>
            <w:noWrap/>
            <w:vAlign w:val="center"/>
          </w:tcPr>
          <w:p w14:paraId="08522582" w14:textId="77777777" w:rsidR="006C3A0B" w:rsidRDefault="006C3A0B" w:rsidP="006C3A0B">
            <w:pPr>
              <w:spacing w:after="0" w:line="240" w:lineRule="auto"/>
              <w:rPr>
                <w:rFonts w:ascii="Times New Roman" w:hAnsi="Times New Roman"/>
                <w:color w:val="000000"/>
                <w:sz w:val="20"/>
                <w:szCs w:val="20"/>
                <w:lang w:bidi="ar-SA"/>
              </w:rPr>
            </w:pPr>
            <w:r>
              <w:rPr>
                <w:rFonts w:ascii="Times New Roman" w:hAnsi="Times New Roman"/>
                <w:color w:val="000000"/>
                <w:sz w:val="20"/>
                <w:szCs w:val="20"/>
                <w:lang w:bidi="ar-SA"/>
              </w:rPr>
              <w:t>Atlantic transect 2015 (metal screen)</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59403" w14:textId="77777777" w:rsidR="006C3A0B" w:rsidRPr="006E1463" w:rsidRDefault="006C3A0B" w:rsidP="006C3A0B">
            <w:pPr>
              <w:spacing w:after="0" w:line="240" w:lineRule="auto"/>
              <w:rPr>
                <w:rFonts w:ascii="Times New Roman" w:hAnsi="Times New Roman"/>
                <w:color w:val="000000"/>
                <w:sz w:val="20"/>
                <w:szCs w:val="20"/>
                <w:lang w:bidi="ar-SA"/>
              </w:rPr>
            </w:pPr>
          </w:p>
        </w:tc>
        <w:tc>
          <w:tcPr>
            <w:tcW w:w="1283" w:type="dxa"/>
            <w:tcBorders>
              <w:top w:val="single" w:sz="4" w:space="0" w:color="auto"/>
              <w:left w:val="nil"/>
              <w:bottom w:val="single" w:sz="4" w:space="0" w:color="auto"/>
              <w:right w:val="single" w:sz="4" w:space="0" w:color="auto"/>
            </w:tcBorders>
            <w:shd w:val="clear" w:color="auto" w:fill="auto"/>
            <w:noWrap/>
            <w:vAlign w:val="center"/>
          </w:tcPr>
          <w:p w14:paraId="03BC223E" w14:textId="77777777" w:rsidR="006C3A0B" w:rsidRPr="0017410E"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0.12</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w:t>
            </w:r>
            <w:r w:rsidRPr="0017410E">
              <w:rPr>
                <w:rFonts w:ascii="Times New Roman" w:hAnsi="Times New Roman"/>
                <w:color w:val="000000"/>
                <w:sz w:val="20"/>
                <w:szCs w:val="20"/>
                <w:lang w:bidi="ar-SA"/>
              </w:rPr>
              <w:t>1.76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7A4E42" w14:textId="77777777" w:rsidR="006C3A0B" w:rsidRPr="0017410E"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0.08</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0.91</w:t>
            </w:r>
          </w:p>
        </w:tc>
        <w:tc>
          <w:tcPr>
            <w:tcW w:w="1268" w:type="dxa"/>
            <w:tcBorders>
              <w:top w:val="single" w:sz="4" w:space="0" w:color="auto"/>
              <w:left w:val="nil"/>
              <w:bottom w:val="single" w:sz="4" w:space="0" w:color="auto"/>
              <w:right w:val="single" w:sz="4" w:space="0" w:color="auto"/>
            </w:tcBorders>
            <w:shd w:val="clear" w:color="auto" w:fill="auto"/>
            <w:noWrap/>
            <w:vAlign w:val="center"/>
          </w:tcPr>
          <w:p w14:paraId="66191A7B" w14:textId="77777777" w:rsidR="006C3A0B" w:rsidRPr="0017410E" w:rsidRDefault="006C3A0B" w:rsidP="006C3A0B">
            <w:pPr>
              <w:spacing w:after="0" w:line="240" w:lineRule="auto"/>
              <w:rPr>
                <w:rFonts w:ascii="Times New Roman" w:hAnsi="Times New Roman"/>
                <w:color w:val="000000"/>
                <w:sz w:val="20"/>
                <w:szCs w:val="20"/>
                <w:lang w:bidi="ar-SA"/>
              </w:rPr>
            </w:pPr>
            <w:r w:rsidRPr="0017410E">
              <w:rPr>
                <w:rFonts w:ascii="Times New Roman" w:hAnsi="Times New Roman"/>
                <w:color w:val="000000"/>
                <w:sz w:val="20"/>
                <w:szCs w:val="20"/>
                <w:lang w:bidi="ar-SA"/>
              </w:rPr>
              <w:t>0.97</w:t>
            </w:r>
            <w:r>
              <w:rPr>
                <w:rFonts w:ascii="Times New Roman" w:hAnsi="Times New Roman"/>
                <w:color w:val="000000"/>
                <w:sz w:val="20"/>
                <w:szCs w:val="20"/>
                <w:lang w:bidi="ar-SA"/>
              </w:rPr>
              <w:t xml:space="preserve"> </w:t>
            </w:r>
            <w:r w:rsidRPr="006E1463">
              <w:rPr>
                <w:rFonts w:ascii="Times New Roman" w:hAnsi="Times New Roman"/>
                <w:color w:val="000000"/>
                <w:sz w:val="20"/>
                <w:szCs w:val="20"/>
                <w:lang w:bidi="ar-SA"/>
              </w:rPr>
              <w:t>–</w:t>
            </w:r>
            <w:r>
              <w:rPr>
                <w:rFonts w:ascii="Times New Roman" w:hAnsi="Times New Roman"/>
                <w:color w:val="000000"/>
                <w:sz w:val="20"/>
                <w:szCs w:val="20"/>
                <w:lang w:bidi="ar-SA"/>
              </w:rPr>
              <w:t xml:space="preserve"> </w:t>
            </w:r>
            <w:r w:rsidRPr="0017410E">
              <w:rPr>
                <w:rFonts w:ascii="Times New Roman" w:hAnsi="Times New Roman"/>
                <w:color w:val="000000"/>
                <w:sz w:val="20"/>
                <w:szCs w:val="20"/>
                <w:lang w:bidi="ar-SA"/>
              </w:rPr>
              <w:t>3.47</w:t>
            </w:r>
          </w:p>
        </w:tc>
        <w:tc>
          <w:tcPr>
            <w:tcW w:w="1521" w:type="dxa"/>
            <w:gridSpan w:val="2"/>
            <w:tcBorders>
              <w:top w:val="single" w:sz="4" w:space="0" w:color="auto"/>
              <w:left w:val="nil"/>
              <w:bottom w:val="single" w:sz="4" w:space="0" w:color="auto"/>
              <w:right w:val="single" w:sz="4" w:space="0" w:color="auto"/>
            </w:tcBorders>
            <w:shd w:val="clear" w:color="auto" w:fill="auto"/>
            <w:noWrap/>
            <w:vAlign w:val="center"/>
          </w:tcPr>
          <w:p w14:paraId="6C19DF16" w14:textId="77777777" w:rsidR="006C3A0B" w:rsidRDefault="006C3A0B" w:rsidP="006C3A0B">
            <w:pPr>
              <w:spacing w:after="0" w:line="240" w:lineRule="auto"/>
              <w:rPr>
                <w:rFonts w:ascii="Times New Roman" w:hAnsi="Times New Roman"/>
                <w:noProof/>
                <w:color w:val="000000"/>
                <w:sz w:val="20"/>
                <w:szCs w:val="20"/>
                <w:lang w:bidi="ar-SA"/>
              </w:rPr>
            </w:pPr>
            <w:r w:rsidRPr="0017410E">
              <w:rPr>
                <w:rFonts w:ascii="Times New Roman" w:hAnsi="Times New Roman"/>
                <w:noProof/>
                <w:color w:val="000000"/>
                <w:sz w:val="20"/>
                <w:szCs w:val="20"/>
                <w:lang w:bidi="ar-SA"/>
              </w:rPr>
              <w:t>Sabbaghzadeh</w:t>
            </w:r>
            <w:r>
              <w:rPr>
                <w:rFonts w:ascii="Times New Roman" w:hAnsi="Times New Roman"/>
                <w:noProof/>
                <w:color w:val="000000"/>
                <w:sz w:val="20"/>
                <w:szCs w:val="20"/>
                <w:lang w:bidi="ar-SA"/>
              </w:rPr>
              <w:t xml:space="preserve"> et al., </w:t>
            </w:r>
            <w:r w:rsidRPr="0017410E">
              <w:rPr>
                <w:rFonts w:ascii="Times New Roman" w:hAnsi="Times New Roman"/>
                <w:noProof/>
                <w:color w:val="000000"/>
                <w:sz w:val="20"/>
                <w:szCs w:val="20"/>
                <w:lang w:bidi="ar-SA"/>
              </w:rPr>
              <w:t>2017</w:t>
            </w:r>
          </w:p>
        </w:tc>
      </w:tr>
    </w:tbl>
    <w:p w14:paraId="32F0C8E1" w14:textId="77777777" w:rsidR="008C3378" w:rsidRDefault="008C3378" w:rsidP="00CB5173">
      <w:pPr>
        <w:pStyle w:val="NoSpacing"/>
        <w:spacing w:line="360" w:lineRule="auto"/>
        <w:rPr>
          <w:rFonts w:ascii="Times New Roman" w:hAnsi="Times New Roman"/>
          <w:color w:val="000000"/>
          <w:lang w:val="en-US"/>
        </w:rPr>
      </w:pPr>
    </w:p>
    <w:p w14:paraId="5A5732E8" w14:textId="77777777" w:rsidR="008C3378" w:rsidRDefault="008C3378">
      <w:pPr>
        <w:pStyle w:val="NoSpacing"/>
        <w:spacing w:line="360" w:lineRule="auto"/>
        <w:rPr>
          <w:lang w:val="en-GB" w:bidi="en-US"/>
        </w:rPr>
      </w:pPr>
    </w:p>
    <w:p w14:paraId="5E48DFF2" w14:textId="7EA7656D" w:rsidR="00FA240F" w:rsidRPr="004A6D35" w:rsidRDefault="00FA240F" w:rsidP="00DC65AD">
      <w:pPr>
        <w:pStyle w:val="Heading4"/>
        <w:spacing w:before="0" w:line="360" w:lineRule="auto"/>
        <w:rPr>
          <w:rFonts w:ascii="Times New Roman" w:hAnsi="Times New Roman"/>
          <w:i w:val="0"/>
          <w:iCs w:val="0"/>
          <w:color w:val="000000"/>
          <w:lang w:val="en-GB"/>
        </w:rPr>
      </w:pPr>
      <w:r w:rsidRPr="004A6D35">
        <w:rPr>
          <w:rFonts w:ascii="Times New Roman" w:hAnsi="Times New Roman"/>
          <w:i w:val="0"/>
          <w:iCs w:val="0"/>
          <w:color w:val="000000"/>
          <w:lang w:val="en-GB"/>
        </w:rPr>
        <w:t>4.2.</w:t>
      </w:r>
      <w:r w:rsidR="00DC65AD" w:rsidRPr="004A6D35">
        <w:rPr>
          <w:rFonts w:ascii="Times New Roman" w:hAnsi="Times New Roman"/>
          <w:i w:val="0"/>
          <w:iCs w:val="0"/>
          <w:color w:val="000000"/>
          <w:lang w:val="en-GB"/>
        </w:rPr>
        <w:t>3</w:t>
      </w:r>
      <w:r w:rsidRPr="004A6D35">
        <w:rPr>
          <w:rFonts w:ascii="Times New Roman" w:hAnsi="Times New Roman"/>
          <w:i w:val="0"/>
          <w:iCs w:val="0"/>
          <w:color w:val="000000"/>
          <w:lang w:val="en-GB"/>
        </w:rPr>
        <w:t xml:space="preserve">. Lipids, biomarkers of the trophic conditions </w:t>
      </w:r>
    </w:p>
    <w:p w14:paraId="2CC435CF" w14:textId="77777777" w:rsidR="00FA240F" w:rsidRDefault="00FA240F" w:rsidP="00FA240F">
      <w:pPr>
        <w:spacing w:after="0" w:line="360" w:lineRule="auto"/>
        <w:rPr>
          <w:rFonts w:ascii="Times New Roman" w:hAnsi="Times New Roman"/>
          <w:color w:val="000000"/>
          <w:lang w:val="en-GB"/>
        </w:rPr>
      </w:pPr>
    </w:p>
    <w:p w14:paraId="7E511971" w14:textId="273C7905" w:rsidR="00FA240F" w:rsidRDefault="00FA240F" w:rsidP="00FA240F">
      <w:pPr>
        <w:spacing w:after="0" w:line="360" w:lineRule="auto"/>
        <w:rPr>
          <w:rFonts w:ascii="Times New Roman" w:hAnsi="Times New Roman"/>
          <w:color w:val="000000"/>
          <w:lang w:val="en-GB"/>
        </w:rPr>
      </w:pPr>
      <w:r>
        <w:rPr>
          <w:rFonts w:ascii="Times New Roman" w:hAnsi="Times New Roman"/>
          <w:color w:val="000000"/>
          <w:lang w:val="en-GB"/>
        </w:rPr>
        <w:t xml:space="preserve">Determined concentrations of </w:t>
      </w:r>
      <w:r w:rsidRPr="000D2403">
        <w:rPr>
          <w:rFonts w:ascii="Times New Roman" w:hAnsi="Times New Roman"/>
          <w:color w:val="000000"/>
          <w:lang w:val="en-GB"/>
        </w:rPr>
        <w:t>particulate lipids in ULW</w:t>
      </w:r>
      <w:r>
        <w:rPr>
          <w:rFonts w:ascii="Times New Roman" w:hAnsi="Times New Roman"/>
          <w:color w:val="000000"/>
          <w:lang w:val="en-GB"/>
        </w:rPr>
        <w:t xml:space="preserve"> </w:t>
      </w:r>
      <w:r w:rsidR="006B3531">
        <w:rPr>
          <w:rFonts w:ascii="Times New Roman" w:hAnsi="Times New Roman"/>
          <w:color w:val="000000"/>
          <w:lang w:val="en-GB"/>
        </w:rPr>
        <w:t xml:space="preserve">(21.5-30.6 </w:t>
      </w:r>
      <w:r w:rsidR="006B3531" w:rsidRPr="00FA240F">
        <w:rPr>
          <w:rFonts w:ascii="Times New Roman" w:hAnsi="Times New Roman"/>
          <w:color w:val="000000"/>
          <w:lang w:val="en-GB"/>
        </w:rPr>
        <w:t>µ</w:t>
      </w:r>
      <w:r w:rsidR="006B3531" w:rsidRPr="00BB0A34">
        <w:rPr>
          <w:rFonts w:ascii="Times New Roman" w:hAnsi="Times New Roman"/>
          <w:color w:val="000000"/>
          <w:lang w:val="en-GB"/>
        </w:rPr>
        <w:t>g L</w:t>
      </w:r>
      <w:r w:rsidR="006B3531" w:rsidRPr="00FA240F">
        <w:rPr>
          <w:rFonts w:ascii="Times New Roman" w:hAnsi="Times New Roman"/>
          <w:color w:val="000000"/>
          <w:vertAlign w:val="superscript"/>
          <w:lang w:val="en-GB"/>
        </w:rPr>
        <w:t>-1</w:t>
      </w:r>
      <w:r w:rsidR="006B3531">
        <w:rPr>
          <w:rFonts w:ascii="Times New Roman" w:hAnsi="Times New Roman"/>
          <w:color w:val="000000"/>
          <w:lang w:val="en-GB"/>
        </w:rPr>
        <w:t xml:space="preserve">) and SML (27.8-37.3 </w:t>
      </w:r>
      <w:r w:rsidR="006B3531" w:rsidRPr="00FA240F">
        <w:rPr>
          <w:rFonts w:ascii="Times New Roman" w:hAnsi="Times New Roman"/>
          <w:color w:val="000000"/>
          <w:lang w:val="en-GB"/>
        </w:rPr>
        <w:t>µ</w:t>
      </w:r>
      <w:r w:rsidR="006B3531" w:rsidRPr="00BB0A34">
        <w:rPr>
          <w:rFonts w:ascii="Times New Roman" w:hAnsi="Times New Roman"/>
          <w:color w:val="000000"/>
          <w:lang w:val="en-GB"/>
        </w:rPr>
        <w:t>g L</w:t>
      </w:r>
      <w:r w:rsidR="006B3531" w:rsidRPr="00FA240F">
        <w:rPr>
          <w:rFonts w:ascii="Times New Roman" w:hAnsi="Times New Roman"/>
          <w:color w:val="000000"/>
          <w:vertAlign w:val="superscript"/>
          <w:lang w:val="en-GB"/>
        </w:rPr>
        <w:t>-1</w:t>
      </w:r>
      <w:r w:rsidR="006B3531">
        <w:rPr>
          <w:rFonts w:ascii="Times New Roman" w:hAnsi="Times New Roman"/>
          <w:color w:val="000000"/>
          <w:lang w:val="en-GB"/>
        </w:rPr>
        <w:t>)</w:t>
      </w:r>
      <w:r w:rsidR="00251633">
        <w:rPr>
          <w:rFonts w:ascii="Times New Roman" w:hAnsi="Times New Roman"/>
          <w:color w:val="000000"/>
          <w:lang w:val="en-GB"/>
        </w:rPr>
        <w:t xml:space="preserve"> </w:t>
      </w:r>
      <w:r>
        <w:rPr>
          <w:rFonts w:ascii="Times New Roman" w:hAnsi="Times New Roman"/>
          <w:color w:val="000000"/>
          <w:lang w:val="en-GB"/>
        </w:rPr>
        <w:t>are generally lower compared to other studies of mostly more oligotrophic areas (</w:t>
      </w:r>
      <w:r w:rsidR="000D2403">
        <w:rPr>
          <w:rFonts w:ascii="Times New Roman" w:hAnsi="Times New Roman"/>
          <w:color w:val="000000"/>
          <w:lang w:val="en-GB"/>
        </w:rPr>
        <w:t xml:space="preserve">e.g., </w:t>
      </w:r>
      <w:r w:rsidRPr="00BB0A34">
        <w:rPr>
          <w:rFonts w:ascii="Times New Roman" w:hAnsi="Times New Roman"/>
          <w:color w:val="000000"/>
          <w:lang w:val="en-GB"/>
        </w:rPr>
        <w:t xml:space="preserve">Penezić et al., 2010 (47.9 </w:t>
      </w:r>
      <w:r w:rsidRPr="00FA240F">
        <w:rPr>
          <w:rFonts w:ascii="Times New Roman" w:hAnsi="Times New Roman"/>
          <w:color w:val="000000"/>
          <w:lang w:val="en-GB"/>
        </w:rPr>
        <w:t>µ</w:t>
      </w:r>
      <w:r w:rsidRPr="00BB0A34">
        <w:rPr>
          <w:rFonts w:ascii="Times New Roman" w:hAnsi="Times New Roman"/>
          <w:color w:val="000000"/>
          <w:lang w:val="en-GB"/>
        </w:rPr>
        <w:t>g L</w:t>
      </w:r>
      <w:r w:rsidRPr="00FA240F">
        <w:rPr>
          <w:rFonts w:ascii="Times New Roman" w:hAnsi="Times New Roman"/>
          <w:color w:val="000000"/>
          <w:vertAlign w:val="superscript"/>
          <w:lang w:val="en-GB"/>
        </w:rPr>
        <w:t>-1</w:t>
      </w:r>
      <w:r w:rsidRPr="00BB0A34">
        <w:rPr>
          <w:rFonts w:ascii="Times New Roman" w:hAnsi="Times New Roman"/>
          <w:color w:val="000000"/>
          <w:lang w:val="en-GB"/>
        </w:rPr>
        <w:t xml:space="preserve"> particulate lipids in SML and 46.4 </w:t>
      </w:r>
      <w:r w:rsidRPr="00FA240F">
        <w:rPr>
          <w:rFonts w:ascii="Times New Roman" w:hAnsi="Times New Roman"/>
          <w:color w:val="000000"/>
          <w:lang w:val="en-GB"/>
        </w:rPr>
        <w:t>µ</w:t>
      </w:r>
      <w:r w:rsidRPr="00BB0A34">
        <w:rPr>
          <w:rFonts w:ascii="Times New Roman" w:hAnsi="Times New Roman"/>
          <w:color w:val="000000"/>
          <w:lang w:val="en-GB"/>
        </w:rPr>
        <w:t>g L</w:t>
      </w:r>
      <w:r w:rsidRPr="00BB0A34">
        <w:rPr>
          <w:rFonts w:ascii="Times New Roman" w:hAnsi="Times New Roman"/>
          <w:color w:val="000000"/>
          <w:vertAlign w:val="superscript"/>
          <w:lang w:val="en-GB"/>
        </w:rPr>
        <w:t>-1</w:t>
      </w:r>
      <w:r w:rsidRPr="00BB0A34">
        <w:rPr>
          <w:rFonts w:ascii="Times New Roman" w:hAnsi="Times New Roman"/>
          <w:color w:val="000000"/>
          <w:lang w:val="en-GB"/>
        </w:rPr>
        <w:t xml:space="preserve"> in UL</w:t>
      </w:r>
      <w:r>
        <w:rPr>
          <w:rFonts w:ascii="Times New Roman" w:hAnsi="Times New Roman"/>
          <w:color w:val="000000"/>
          <w:lang w:val="en-GB"/>
        </w:rPr>
        <w:t>W); Triesch et al., 202</w:t>
      </w:r>
      <w:r w:rsidR="00DA3BA7">
        <w:rPr>
          <w:rFonts w:ascii="Times New Roman" w:hAnsi="Times New Roman"/>
          <w:color w:val="000000"/>
          <w:lang w:val="en-GB"/>
        </w:rPr>
        <w:t>1</w:t>
      </w:r>
      <w:r>
        <w:rPr>
          <w:rFonts w:ascii="Times New Roman" w:hAnsi="Times New Roman"/>
          <w:color w:val="000000"/>
          <w:lang w:val="en-GB"/>
        </w:rPr>
        <w:t xml:space="preserve"> (concentrations of particulate lipids: </w:t>
      </w:r>
      <w:r w:rsidRPr="006B3531">
        <w:rPr>
          <w:rFonts w:ascii="Times New Roman" w:hAnsi="Times New Roman"/>
        </w:rPr>
        <w:t>36.4 - 93.5 µg L</w:t>
      </w:r>
      <w:r w:rsidRPr="006B3531">
        <w:rPr>
          <w:rFonts w:ascii="Times New Roman" w:hAnsi="Times New Roman"/>
          <w:vertAlign w:val="superscript"/>
        </w:rPr>
        <w:t>−1</w:t>
      </w:r>
      <w:r w:rsidRPr="006B3531">
        <w:rPr>
          <w:rFonts w:ascii="Times New Roman" w:hAnsi="Times New Roman"/>
        </w:rPr>
        <w:t xml:space="preserve"> in SML and 61.0 - 118.1 µg </w:t>
      </w:r>
      <w:r w:rsidRPr="006B3531">
        <w:rPr>
          <w:rFonts w:ascii="Times New Roman" w:hAnsi="Times New Roman"/>
          <w:vertAlign w:val="superscript"/>
        </w:rPr>
        <w:t>L−1</w:t>
      </w:r>
      <w:r w:rsidRPr="006B3531">
        <w:rPr>
          <w:rFonts w:ascii="Times New Roman" w:hAnsi="Times New Roman"/>
        </w:rPr>
        <w:t xml:space="preserve"> in ULW</w:t>
      </w:r>
      <w:r w:rsidR="00251633" w:rsidRPr="006B3531">
        <w:rPr>
          <w:rFonts w:ascii="Times New Roman" w:hAnsi="Times New Roman"/>
        </w:rPr>
        <w:t>)</w:t>
      </w:r>
      <w:r>
        <w:rPr>
          <w:rFonts w:ascii="Times New Roman" w:hAnsi="Times New Roman"/>
          <w:color w:val="000000"/>
          <w:lang w:val="en-GB"/>
        </w:rPr>
        <w:t xml:space="preserve">). However, lipid enrichments were observed at all stations (Figure 6E). </w:t>
      </w:r>
    </w:p>
    <w:p w14:paraId="10237C80" w14:textId="1D63F14D" w:rsidR="006B3531" w:rsidRPr="008A0640" w:rsidRDefault="00FA240F" w:rsidP="006B3531">
      <w:pPr>
        <w:spacing w:after="0" w:line="360" w:lineRule="auto"/>
        <w:ind w:firstLine="708"/>
        <w:rPr>
          <w:rFonts w:ascii="Times New Roman" w:hAnsi="Times New Roman"/>
          <w:iCs/>
          <w:color w:val="000000"/>
          <w:lang w:val="en-GB"/>
        </w:rPr>
      </w:pPr>
      <w:r>
        <w:rPr>
          <w:rFonts w:ascii="Times New Roman" w:hAnsi="Times New Roman"/>
          <w:color w:val="000000"/>
          <w:lang w:val="en-GB"/>
        </w:rPr>
        <w:t>Significantly h</w:t>
      </w:r>
      <w:r w:rsidRPr="006E1463">
        <w:rPr>
          <w:rFonts w:ascii="Times New Roman" w:hAnsi="Times New Roman"/>
          <w:color w:val="000000"/>
          <w:lang w:val="en-GB"/>
        </w:rPr>
        <w:t>igher concentrations of total lipids</w:t>
      </w:r>
      <w:r>
        <w:rPr>
          <w:rFonts w:ascii="Times New Roman" w:hAnsi="Times New Roman"/>
          <w:color w:val="000000"/>
          <w:lang w:val="en-GB"/>
        </w:rPr>
        <w:t>, reserve lipids, and degradation indices</w:t>
      </w:r>
      <w:r w:rsidRPr="006E1463">
        <w:rPr>
          <w:rFonts w:ascii="Times New Roman" w:hAnsi="Times New Roman"/>
          <w:color w:val="000000"/>
          <w:lang w:val="en-GB"/>
        </w:rPr>
        <w:t xml:space="preserve"> in SML compared to ULW (Figures 6 and 7, Table </w:t>
      </w:r>
      <w:r>
        <w:rPr>
          <w:rFonts w:ascii="Times New Roman" w:hAnsi="Times New Roman"/>
          <w:color w:val="000000"/>
          <w:lang w:val="en-GB"/>
        </w:rPr>
        <w:t>1</w:t>
      </w:r>
      <w:r w:rsidRPr="006E1463">
        <w:rPr>
          <w:rFonts w:ascii="Times New Roman" w:hAnsi="Times New Roman"/>
          <w:color w:val="000000"/>
          <w:lang w:val="en-GB"/>
        </w:rPr>
        <w:t xml:space="preserve">) indicated </w:t>
      </w:r>
      <w:r w:rsidRPr="008E5D49">
        <w:rPr>
          <w:rFonts w:ascii="Times New Roman" w:hAnsi="Times New Roman"/>
          <w:color w:val="000000"/>
          <w:lang w:val="en-GB"/>
        </w:rPr>
        <w:t>a richer plankton community</w:t>
      </w:r>
      <w:r w:rsidRPr="006E1463">
        <w:rPr>
          <w:rFonts w:ascii="Times New Roman" w:hAnsi="Times New Roman"/>
          <w:color w:val="000000"/>
          <w:lang w:val="en-GB"/>
        </w:rPr>
        <w:t xml:space="preserve"> in the SML than in the ULW, </w:t>
      </w:r>
      <w:r w:rsidR="006B3531" w:rsidRPr="006E1463">
        <w:rPr>
          <w:rFonts w:ascii="Times New Roman" w:hAnsi="Times New Roman"/>
          <w:color w:val="000000"/>
          <w:lang w:val="en-GB"/>
        </w:rPr>
        <w:t xml:space="preserve">although non-living </w:t>
      </w:r>
      <w:r w:rsidRPr="006E1463">
        <w:rPr>
          <w:rFonts w:ascii="Times New Roman" w:hAnsi="Times New Roman"/>
          <w:color w:val="000000"/>
          <w:lang w:val="en-GB"/>
        </w:rPr>
        <w:t>OM m</w:t>
      </w:r>
      <w:r>
        <w:rPr>
          <w:rFonts w:ascii="Times New Roman" w:hAnsi="Times New Roman"/>
          <w:color w:val="000000"/>
          <w:lang w:val="en-GB"/>
        </w:rPr>
        <w:t>ay have</w:t>
      </w:r>
      <w:r w:rsidRPr="006E1463">
        <w:rPr>
          <w:rFonts w:ascii="Times New Roman" w:hAnsi="Times New Roman"/>
          <w:color w:val="000000"/>
          <w:lang w:val="en-GB"/>
        </w:rPr>
        <w:t xml:space="preserve"> contributed to both POC and lipid pools</w:t>
      </w:r>
      <w:r w:rsidR="006B3531" w:rsidRPr="006E1463">
        <w:rPr>
          <w:rFonts w:ascii="Times New Roman" w:hAnsi="Times New Roman"/>
          <w:color w:val="000000"/>
          <w:lang w:val="en-GB"/>
        </w:rPr>
        <w:t xml:space="preserve">. </w:t>
      </w:r>
      <w:r w:rsidR="006B3531">
        <w:rPr>
          <w:rFonts w:ascii="Times New Roman" w:hAnsi="Times New Roman"/>
          <w:color w:val="000000"/>
          <w:lang w:val="en-GB"/>
        </w:rPr>
        <w:t xml:space="preserve">This suggest SML as the layer of more favourable trophic conditions for plankton development. </w:t>
      </w:r>
      <w:r w:rsidR="006B3531">
        <w:rPr>
          <w:rFonts w:ascii="Times New Roman" w:hAnsi="Times New Roman"/>
          <w:iCs/>
          <w:color w:val="000000"/>
          <w:lang w:val="en-GB"/>
        </w:rPr>
        <w:t xml:space="preserve"> </w:t>
      </w:r>
      <w:r>
        <w:rPr>
          <w:rFonts w:ascii="Times New Roman" w:hAnsi="Times New Roman"/>
          <w:color w:val="000000"/>
          <w:lang w:val="en-GB"/>
        </w:rPr>
        <w:t>T</w:t>
      </w:r>
      <w:r w:rsidRPr="006E1463">
        <w:rPr>
          <w:rFonts w:ascii="Times New Roman" w:hAnsi="Times New Roman"/>
          <w:color w:val="000000"/>
          <w:lang w:val="en-GB"/>
        </w:rPr>
        <w:t>he</w:t>
      </w:r>
      <w:r>
        <w:rPr>
          <w:rFonts w:ascii="Times New Roman" w:hAnsi="Times New Roman"/>
          <w:color w:val="000000"/>
          <w:lang w:val="en-GB"/>
        </w:rPr>
        <w:t xml:space="preserve"> SML</w:t>
      </w:r>
      <w:r w:rsidRPr="006E1463">
        <w:rPr>
          <w:rFonts w:ascii="Times New Roman" w:hAnsi="Times New Roman"/>
          <w:color w:val="000000"/>
          <w:lang w:val="en-GB"/>
        </w:rPr>
        <w:t xml:space="preserve"> enrichm</w:t>
      </w:r>
      <w:r w:rsidR="007A0936">
        <w:rPr>
          <w:rFonts w:ascii="Times New Roman" w:hAnsi="Times New Roman"/>
          <w:color w:val="000000"/>
          <w:lang w:val="en-GB"/>
        </w:rPr>
        <w:t>ent of reserve lipids (Figure 7B</w:t>
      </w:r>
      <w:r w:rsidRPr="006E1463">
        <w:rPr>
          <w:rFonts w:ascii="Times New Roman" w:hAnsi="Times New Roman"/>
          <w:color w:val="000000"/>
          <w:lang w:val="en-GB"/>
        </w:rPr>
        <w:t xml:space="preserve">) </w:t>
      </w:r>
      <w:r w:rsidRPr="00F21091">
        <w:rPr>
          <w:rFonts w:ascii="Times New Roman" w:hAnsi="Times New Roman"/>
          <w:color w:val="000000"/>
          <w:lang w:val="en-GB"/>
        </w:rPr>
        <w:t>suggests that the p</w:t>
      </w:r>
      <w:r w:rsidRPr="008E5D49">
        <w:rPr>
          <w:rFonts w:ascii="Times New Roman" w:hAnsi="Times New Roman"/>
          <w:color w:val="000000"/>
          <w:lang w:val="en-GB"/>
        </w:rPr>
        <w:t>lankton in the SML grew under more stressful conditions</w:t>
      </w:r>
      <w:r w:rsidRPr="006E1463">
        <w:rPr>
          <w:rFonts w:ascii="Times New Roman" w:hAnsi="Times New Roman"/>
          <w:color w:val="000000"/>
          <w:lang w:val="en-GB"/>
        </w:rPr>
        <w:t xml:space="preserve"> compared to the ULW</w:t>
      </w:r>
      <w:r>
        <w:rPr>
          <w:rFonts w:ascii="Times New Roman" w:hAnsi="Times New Roman"/>
          <w:color w:val="000000"/>
          <w:lang w:val="en-GB"/>
        </w:rPr>
        <w:t xml:space="preserve">, because these lipids </w:t>
      </w:r>
      <w:r w:rsidRPr="006E1463">
        <w:rPr>
          <w:rFonts w:ascii="Times New Roman" w:hAnsi="Times New Roman"/>
          <w:color w:val="000000"/>
          <w:lang w:val="en-GB"/>
        </w:rPr>
        <w:t xml:space="preserve">are known to accumulate in phytoplankton under </w:t>
      </w:r>
      <w:r>
        <w:rPr>
          <w:rFonts w:ascii="Times New Roman" w:hAnsi="Times New Roman"/>
          <w:color w:val="000000"/>
          <w:lang w:val="en-GB"/>
        </w:rPr>
        <w:t xml:space="preserve">adverse environmental </w:t>
      </w:r>
      <w:r w:rsidRPr="006E1463">
        <w:rPr>
          <w:rFonts w:ascii="Times New Roman" w:hAnsi="Times New Roman"/>
          <w:color w:val="000000"/>
          <w:lang w:val="en-GB"/>
        </w:rPr>
        <w:t>conditions, wh</w:t>
      </w:r>
      <w:r>
        <w:rPr>
          <w:rFonts w:ascii="Times New Roman" w:hAnsi="Times New Roman"/>
          <w:color w:val="000000"/>
          <w:lang w:val="en-GB"/>
        </w:rPr>
        <w:t>ereas</w:t>
      </w:r>
      <w:r w:rsidRPr="006E1463">
        <w:rPr>
          <w:rFonts w:ascii="Times New Roman" w:hAnsi="Times New Roman"/>
          <w:color w:val="000000"/>
          <w:lang w:val="en-GB"/>
        </w:rPr>
        <w:t xml:space="preserve"> optimal phytoplankton growth usually results in low</w:t>
      </w:r>
      <w:r>
        <w:rPr>
          <w:rFonts w:ascii="Times New Roman" w:hAnsi="Times New Roman"/>
          <w:color w:val="000000"/>
          <w:lang w:val="en-GB"/>
        </w:rPr>
        <w:t>er</w:t>
      </w:r>
      <w:r w:rsidRPr="006E1463">
        <w:rPr>
          <w:rFonts w:ascii="Times New Roman" w:hAnsi="Times New Roman"/>
          <w:color w:val="000000"/>
          <w:lang w:val="en-GB"/>
        </w:rPr>
        <w:t xml:space="preserve"> lipid cell content</w:t>
      </w:r>
      <w:r>
        <w:rPr>
          <w:rFonts w:ascii="Times New Roman" w:hAnsi="Times New Roman"/>
          <w:color w:val="000000"/>
          <w:lang w:val="en-GB"/>
        </w:rPr>
        <w:t xml:space="preserve"> </w:t>
      </w:r>
      <w:r w:rsidRPr="006E1463">
        <w:rPr>
          <w:rFonts w:ascii="Times New Roman" w:hAnsi="Times New Roman"/>
          <w:noProof/>
          <w:color w:val="000000"/>
          <w:lang w:val="en-GB"/>
        </w:rPr>
        <w:t>(</w:t>
      </w:r>
      <w:r w:rsidRPr="00EC4961">
        <w:rPr>
          <w:rFonts w:ascii="Times New Roman" w:hAnsi="Times New Roman"/>
          <w:noProof/>
          <w:color w:val="000000"/>
          <w:lang w:val="en-GB"/>
        </w:rPr>
        <w:t>Bourguet et al.</w:t>
      </w:r>
      <w:r>
        <w:rPr>
          <w:rFonts w:ascii="Times New Roman" w:hAnsi="Times New Roman"/>
          <w:noProof/>
          <w:color w:val="000000"/>
          <w:lang w:val="en-GB"/>
        </w:rPr>
        <w:t xml:space="preserve">, </w:t>
      </w:r>
      <w:r w:rsidRPr="00EC4961">
        <w:rPr>
          <w:rFonts w:ascii="Times New Roman" w:hAnsi="Times New Roman"/>
          <w:noProof/>
          <w:color w:val="000000"/>
          <w:lang w:val="en-GB"/>
        </w:rPr>
        <w:t>2009</w:t>
      </w:r>
      <w:r>
        <w:rPr>
          <w:rFonts w:ascii="Times New Roman" w:hAnsi="Times New Roman"/>
          <w:noProof/>
          <w:color w:val="000000"/>
          <w:lang w:val="en-GB"/>
        </w:rPr>
        <w:t xml:space="preserve">; </w:t>
      </w:r>
      <w:r w:rsidRPr="006E1463">
        <w:rPr>
          <w:rFonts w:ascii="Times New Roman" w:hAnsi="Times New Roman"/>
          <w:noProof/>
          <w:color w:val="000000"/>
          <w:lang w:val="en-GB"/>
        </w:rPr>
        <w:t>Novak et al., 2019; Sharma et al., 2012)</w:t>
      </w:r>
      <w:r w:rsidRPr="006E1463">
        <w:rPr>
          <w:rFonts w:ascii="Times New Roman" w:hAnsi="Times New Roman"/>
          <w:color w:val="000000"/>
          <w:lang w:val="en-GB"/>
        </w:rPr>
        <w:t xml:space="preserve">. </w:t>
      </w:r>
      <w:r>
        <w:rPr>
          <w:rFonts w:ascii="Times New Roman" w:hAnsi="Times New Roman"/>
          <w:color w:val="000000"/>
          <w:lang w:val="en-GB"/>
        </w:rPr>
        <w:t>In particular, conditions such as</w:t>
      </w:r>
      <w:r w:rsidRPr="006E1463">
        <w:rPr>
          <w:rFonts w:ascii="Times New Roman" w:hAnsi="Times New Roman"/>
          <w:color w:val="000000"/>
          <w:lang w:val="en-GB"/>
        </w:rPr>
        <w:t xml:space="preserve"> </w:t>
      </w:r>
      <w:r>
        <w:rPr>
          <w:rFonts w:ascii="Times New Roman" w:hAnsi="Times New Roman"/>
          <w:color w:val="000000"/>
          <w:lang w:val="en-GB"/>
        </w:rPr>
        <w:t>lack</w:t>
      </w:r>
      <w:r w:rsidRPr="006E1463">
        <w:rPr>
          <w:rFonts w:ascii="Times New Roman" w:hAnsi="Times New Roman"/>
          <w:color w:val="000000"/>
          <w:lang w:val="en-GB"/>
        </w:rPr>
        <w:t xml:space="preserve"> of nutrients, as well as an increase in temperature can influence lipid composition </w:t>
      </w:r>
      <w:r>
        <w:rPr>
          <w:rFonts w:ascii="Times New Roman" w:hAnsi="Times New Roman"/>
          <w:color w:val="000000"/>
          <w:lang w:val="en-GB"/>
        </w:rPr>
        <w:t>and</w:t>
      </w:r>
      <w:r w:rsidRPr="006E1463">
        <w:rPr>
          <w:rFonts w:ascii="Times New Roman" w:hAnsi="Times New Roman"/>
          <w:color w:val="000000"/>
          <w:lang w:val="en-GB"/>
        </w:rPr>
        <w:t xml:space="preserve"> production, </w:t>
      </w:r>
      <w:r>
        <w:rPr>
          <w:rFonts w:ascii="Times New Roman" w:hAnsi="Times New Roman"/>
          <w:color w:val="000000"/>
          <w:lang w:val="en-GB"/>
        </w:rPr>
        <w:t xml:space="preserve">which </w:t>
      </w:r>
      <w:r w:rsidRPr="006E1463">
        <w:rPr>
          <w:rFonts w:ascii="Times New Roman" w:hAnsi="Times New Roman"/>
          <w:color w:val="000000"/>
          <w:lang w:val="en-GB"/>
        </w:rPr>
        <w:t>usually lead</w:t>
      </w:r>
      <w:r>
        <w:rPr>
          <w:rFonts w:ascii="Times New Roman" w:hAnsi="Times New Roman"/>
          <w:color w:val="000000"/>
          <w:lang w:val="en-GB"/>
        </w:rPr>
        <w:t>s</w:t>
      </w:r>
      <w:r w:rsidRPr="006E1463">
        <w:rPr>
          <w:rFonts w:ascii="Times New Roman" w:hAnsi="Times New Roman"/>
          <w:color w:val="000000"/>
          <w:lang w:val="en-GB"/>
        </w:rPr>
        <w:t xml:space="preserve"> to </w:t>
      </w:r>
      <w:r>
        <w:rPr>
          <w:rFonts w:ascii="Times New Roman" w:hAnsi="Times New Roman"/>
          <w:color w:val="000000"/>
          <w:lang w:val="en-GB"/>
        </w:rPr>
        <w:t xml:space="preserve">an </w:t>
      </w:r>
      <w:r w:rsidRPr="006E1463">
        <w:rPr>
          <w:rFonts w:ascii="Times New Roman" w:hAnsi="Times New Roman"/>
          <w:color w:val="000000"/>
          <w:lang w:val="en-GB"/>
        </w:rPr>
        <w:t xml:space="preserve">accumulation </w:t>
      </w:r>
      <w:r>
        <w:rPr>
          <w:rFonts w:ascii="Times New Roman" w:hAnsi="Times New Roman"/>
          <w:color w:val="000000"/>
          <w:lang w:val="en-GB"/>
        </w:rPr>
        <w:t xml:space="preserve">of lipids </w:t>
      </w:r>
      <w:r w:rsidRPr="006E1463">
        <w:rPr>
          <w:rFonts w:ascii="Times New Roman" w:hAnsi="Times New Roman"/>
          <w:noProof/>
          <w:color w:val="000000"/>
          <w:lang w:val="en-GB"/>
        </w:rPr>
        <w:t>(Novak et al., 2018; Sharma et al., 2012)</w:t>
      </w:r>
      <w:r w:rsidRPr="006E1463">
        <w:rPr>
          <w:rFonts w:ascii="Times New Roman" w:hAnsi="Times New Roman"/>
          <w:color w:val="000000"/>
          <w:lang w:val="en-GB"/>
        </w:rPr>
        <w:t xml:space="preserve">. </w:t>
      </w:r>
      <w:r>
        <w:rPr>
          <w:rFonts w:ascii="Times New Roman" w:hAnsi="Times New Roman"/>
          <w:color w:val="000000"/>
          <w:lang w:val="en-GB"/>
        </w:rPr>
        <w:t xml:space="preserve">The observed increase in </w:t>
      </w:r>
      <w:r w:rsidRPr="008E5D49">
        <w:rPr>
          <w:rFonts w:ascii="Times New Roman" w:hAnsi="Times New Roman"/>
          <w:color w:val="000000"/>
          <w:lang w:val="en-GB"/>
        </w:rPr>
        <w:t>GL concentration</w:t>
      </w:r>
      <w:r>
        <w:rPr>
          <w:rFonts w:ascii="Times New Roman" w:hAnsi="Times New Roman"/>
          <w:color w:val="000000"/>
          <w:lang w:val="en-GB"/>
        </w:rPr>
        <w:t xml:space="preserve"> with increasing distance from the river mouth, especially evident in the ULW, can be related to the expected decrease in nutrient concentration </w:t>
      </w:r>
      <w:r w:rsidRPr="00844B85">
        <w:rPr>
          <w:rFonts w:ascii="Times New Roman" w:hAnsi="Times New Roman"/>
          <w:color w:val="000000"/>
          <w:lang w:val="en-GB"/>
        </w:rPr>
        <w:t>at greater distance</w:t>
      </w:r>
      <w:r>
        <w:rPr>
          <w:rFonts w:ascii="Times New Roman" w:hAnsi="Times New Roman"/>
          <w:color w:val="000000"/>
          <w:lang w:val="en-GB"/>
        </w:rPr>
        <w:t xml:space="preserve"> from the Vistula Estuary </w:t>
      </w:r>
      <w:r w:rsidRPr="006E1463">
        <w:rPr>
          <w:rFonts w:ascii="Times New Roman" w:hAnsi="Times New Roman"/>
          <w:noProof/>
          <w:color w:val="000000"/>
          <w:lang w:val="en-GB"/>
        </w:rPr>
        <w:t>(Pastuszak et al., 2012)</w:t>
      </w:r>
      <w:r>
        <w:rPr>
          <w:rFonts w:ascii="Times New Roman" w:hAnsi="Times New Roman"/>
          <w:noProof/>
          <w:color w:val="000000"/>
          <w:lang w:val="en-GB"/>
        </w:rPr>
        <w:t xml:space="preserve"> and</w:t>
      </w:r>
      <w:r>
        <w:rPr>
          <w:rFonts w:ascii="Times New Roman" w:hAnsi="Times New Roman"/>
          <w:color w:val="000000"/>
          <w:lang w:val="en-GB"/>
        </w:rPr>
        <w:t xml:space="preserve"> points to one of the </w:t>
      </w:r>
      <w:r w:rsidRPr="00844B85">
        <w:rPr>
          <w:rFonts w:ascii="Times New Roman" w:hAnsi="Times New Roman"/>
          <w:color w:val="000000"/>
          <w:lang w:val="en-GB"/>
        </w:rPr>
        <w:t>adaptive mechanisms of phytoplankton</w:t>
      </w:r>
      <w:r>
        <w:rPr>
          <w:rFonts w:ascii="Times New Roman" w:hAnsi="Times New Roman"/>
          <w:color w:val="000000"/>
          <w:lang w:val="en-GB"/>
        </w:rPr>
        <w:t xml:space="preserve"> to low nutrient conditions, </w:t>
      </w:r>
      <w:r w:rsidR="006B3531">
        <w:rPr>
          <w:rFonts w:ascii="Times New Roman" w:hAnsi="Times New Roman"/>
          <w:color w:val="000000"/>
          <w:lang w:val="en-GB"/>
        </w:rPr>
        <w:t xml:space="preserve">namely intensified </w:t>
      </w:r>
      <w:r>
        <w:rPr>
          <w:rFonts w:ascii="Times New Roman" w:hAnsi="Times New Roman"/>
          <w:color w:val="000000"/>
          <w:lang w:val="en-GB"/>
        </w:rPr>
        <w:t>synthesis of phosphorus- and nitrogen-free molecules such are glycolipids MGDG, SQDG, and DGDG (</w:t>
      </w:r>
      <w:r>
        <w:rPr>
          <w:rFonts w:ascii="Times New Roman" w:hAnsi="Times New Roman"/>
          <w:noProof/>
          <w:color w:val="000000"/>
          <w:lang w:val="en-GB"/>
        </w:rPr>
        <w:t>Frka et al., 2011)</w:t>
      </w:r>
      <w:r>
        <w:rPr>
          <w:rFonts w:ascii="Times New Roman" w:hAnsi="Times New Roman"/>
          <w:color w:val="000000"/>
          <w:lang w:val="en-GB"/>
        </w:rPr>
        <w:t xml:space="preserve">. </w:t>
      </w:r>
      <w:r w:rsidR="006B3531">
        <w:rPr>
          <w:rFonts w:ascii="Times New Roman" w:hAnsi="Times New Roman"/>
          <w:color w:val="000000"/>
          <w:lang w:val="en-GB"/>
        </w:rPr>
        <w:t xml:space="preserve">On the other hand, </w:t>
      </w:r>
      <w:r w:rsidR="006B3531" w:rsidRPr="009A542A">
        <w:rPr>
          <w:rFonts w:ascii="Times New Roman" w:hAnsi="Times New Roman"/>
          <w:color w:val="000000"/>
          <w:lang w:val="en-GB"/>
        </w:rPr>
        <w:t>the decreasing concentrations of PL with increasing distance from the river mouth indicate a lower availability of phosphorus, since the synthesis of phospholipids depends on P availability.</w:t>
      </w:r>
    </w:p>
    <w:p w14:paraId="196FB080" w14:textId="77777777" w:rsidR="00FA240F" w:rsidRPr="00FA240F" w:rsidRDefault="00FA240F" w:rsidP="00FA240F">
      <w:pPr>
        <w:spacing w:after="0" w:line="360" w:lineRule="auto"/>
        <w:ind w:firstLine="708"/>
        <w:rPr>
          <w:rFonts w:ascii="Times New Roman" w:hAnsi="Times New Roman"/>
          <w:color w:val="000000"/>
          <w:lang w:val="en-GB"/>
        </w:rPr>
      </w:pPr>
      <w:r>
        <w:rPr>
          <w:rFonts w:ascii="Times New Roman" w:hAnsi="Times New Roman"/>
          <w:color w:val="000000"/>
          <w:lang w:val="en-GB"/>
        </w:rPr>
        <w:lastRenderedPageBreak/>
        <w:t xml:space="preserve">The trophic conditions of a system can also be </w:t>
      </w:r>
      <w:r w:rsidRPr="00C45F0B">
        <w:rPr>
          <w:rFonts w:ascii="Times New Roman" w:hAnsi="Times New Roman"/>
          <w:color w:val="000000"/>
          <w:lang w:val="en-GB"/>
        </w:rPr>
        <w:t>indicated by</w:t>
      </w:r>
      <w:r>
        <w:rPr>
          <w:rFonts w:ascii="Times New Roman" w:hAnsi="Times New Roman"/>
          <w:color w:val="000000"/>
          <w:lang w:val="en-GB"/>
        </w:rPr>
        <w:t xml:space="preserve"> the contribution of particulate lipids to POC, which can exceed 30% in oligotrophic conditions (Frka et al., 2011; Marić et al., 2013; Gašparović et al., 2014). The </w:t>
      </w:r>
      <w:r w:rsidRPr="006E1463">
        <w:rPr>
          <w:rFonts w:ascii="Times New Roman" w:hAnsi="Times New Roman"/>
          <w:color w:val="000000"/>
          <w:lang w:val="en-GB"/>
        </w:rPr>
        <w:t xml:space="preserve">low contribution of lipids to POC found in this study (Figure 6c), as low as 2.8% and </w:t>
      </w:r>
      <w:r w:rsidRPr="00C45F0B">
        <w:rPr>
          <w:rFonts w:ascii="Times New Roman" w:hAnsi="Times New Roman"/>
          <w:color w:val="000000"/>
          <w:lang w:val="en-GB"/>
        </w:rPr>
        <w:t>predominantly less than</w:t>
      </w:r>
      <w:r>
        <w:rPr>
          <w:rFonts w:ascii="Times New Roman" w:hAnsi="Times New Roman"/>
          <w:color w:val="000000"/>
          <w:lang w:val="en-GB"/>
        </w:rPr>
        <w:t xml:space="preserve"> </w:t>
      </w:r>
      <w:r w:rsidRPr="006E1463">
        <w:rPr>
          <w:rFonts w:ascii="Times New Roman" w:hAnsi="Times New Roman"/>
          <w:color w:val="000000"/>
          <w:lang w:val="en-GB"/>
        </w:rPr>
        <w:t xml:space="preserve">10%, is </w:t>
      </w:r>
      <w:r>
        <w:rPr>
          <w:rFonts w:ascii="Times New Roman" w:hAnsi="Times New Roman"/>
          <w:color w:val="000000"/>
          <w:lang w:val="en-GB"/>
        </w:rPr>
        <w:t xml:space="preserve">more </w:t>
      </w:r>
      <w:r w:rsidRPr="006E1463">
        <w:rPr>
          <w:rFonts w:ascii="Times New Roman" w:hAnsi="Times New Roman"/>
          <w:color w:val="000000"/>
          <w:lang w:val="en-GB"/>
        </w:rPr>
        <w:t xml:space="preserve">characteristic </w:t>
      </w:r>
      <w:r>
        <w:rPr>
          <w:rFonts w:ascii="Times New Roman" w:hAnsi="Times New Roman"/>
          <w:color w:val="000000"/>
          <w:lang w:val="en-GB"/>
        </w:rPr>
        <w:t>for</w:t>
      </w:r>
      <w:r w:rsidRPr="006E1463">
        <w:rPr>
          <w:rFonts w:ascii="Times New Roman" w:hAnsi="Times New Roman"/>
          <w:color w:val="000000"/>
          <w:lang w:val="en-GB"/>
        </w:rPr>
        <w:t xml:space="preserve"> eutrophic </w:t>
      </w:r>
      <w:r>
        <w:rPr>
          <w:rFonts w:ascii="Times New Roman" w:hAnsi="Times New Roman"/>
          <w:color w:val="000000"/>
          <w:lang w:val="en-GB"/>
        </w:rPr>
        <w:t xml:space="preserve">areas. The change in trophic conditions along the transect was observed by an </w:t>
      </w:r>
      <w:r w:rsidRPr="006E1463">
        <w:rPr>
          <w:rFonts w:ascii="Times New Roman" w:hAnsi="Times New Roman"/>
          <w:color w:val="000000"/>
          <w:lang w:val="en-GB"/>
        </w:rPr>
        <w:t>increasing</w:t>
      </w:r>
      <w:r w:rsidRPr="00274F55">
        <w:rPr>
          <w:rFonts w:ascii="Times New Roman" w:hAnsi="Times New Roman"/>
          <w:color w:val="000000"/>
          <w:lang w:val="en-GB"/>
        </w:rPr>
        <w:t xml:space="preserve"> </w:t>
      </w:r>
      <w:r>
        <w:rPr>
          <w:rFonts w:ascii="Times New Roman" w:hAnsi="Times New Roman"/>
          <w:color w:val="000000"/>
          <w:lang w:val="en-GB"/>
        </w:rPr>
        <w:t>contribu</w:t>
      </w:r>
      <w:r w:rsidRPr="006E1463">
        <w:rPr>
          <w:rFonts w:ascii="Times New Roman" w:hAnsi="Times New Roman"/>
          <w:color w:val="000000"/>
          <w:lang w:val="en-GB"/>
        </w:rPr>
        <w:t xml:space="preserve">tion of lipids in the POC </w:t>
      </w:r>
      <w:r>
        <w:rPr>
          <w:rFonts w:ascii="Times New Roman" w:hAnsi="Times New Roman"/>
          <w:color w:val="000000"/>
          <w:lang w:val="en-GB"/>
        </w:rPr>
        <w:t xml:space="preserve">with increasing distance from the river mouth observed in the ULW. There the contribution of lipid to POC was generally higher than in the SML, especially at stations W3 to W9. </w:t>
      </w:r>
      <w:r w:rsidRPr="006E1463">
        <w:rPr>
          <w:rFonts w:ascii="Times New Roman" w:hAnsi="Times New Roman"/>
          <w:color w:val="000000"/>
          <w:lang w:val="en-GB"/>
        </w:rPr>
        <w:t>The lower contribution</w:t>
      </w:r>
      <w:r>
        <w:rPr>
          <w:rFonts w:ascii="Times New Roman" w:hAnsi="Times New Roman"/>
          <w:color w:val="000000"/>
          <w:lang w:val="en-GB"/>
        </w:rPr>
        <w:t xml:space="preserve"> of lipids to POC</w:t>
      </w:r>
      <w:r w:rsidRPr="006E1463">
        <w:rPr>
          <w:rFonts w:ascii="Times New Roman" w:hAnsi="Times New Roman"/>
          <w:color w:val="000000"/>
          <w:lang w:val="en-GB"/>
        </w:rPr>
        <w:t xml:space="preserve"> </w:t>
      </w:r>
      <w:r>
        <w:rPr>
          <w:rFonts w:ascii="Times New Roman" w:hAnsi="Times New Roman"/>
          <w:color w:val="000000"/>
          <w:lang w:val="en-GB"/>
        </w:rPr>
        <w:t>observed</w:t>
      </w:r>
      <w:r w:rsidRPr="006E1463">
        <w:rPr>
          <w:rFonts w:ascii="Times New Roman" w:hAnsi="Times New Roman"/>
          <w:color w:val="000000"/>
          <w:lang w:val="en-GB"/>
        </w:rPr>
        <w:t xml:space="preserve"> in SML suggest</w:t>
      </w:r>
      <w:r>
        <w:rPr>
          <w:rFonts w:ascii="Times New Roman" w:hAnsi="Times New Roman"/>
          <w:color w:val="000000"/>
          <w:lang w:val="en-GB"/>
        </w:rPr>
        <w:t>s</w:t>
      </w:r>
      <w:r w:rsidRPr="006E1463">
        <w:rPr>
          <w:rFonts w:ascii="Times New Roman" w:hAnsi="Times New Roman"/>
          <w:color w:val="000000"/>
          <w:lang w:val="en-GB"/>
        </w:rPr>
        <w:t xml:space="preserve"> </w:t>
      </w:r>
      <w:r>
        <w:rPr>
          <w:rFonts w:ascii="Times New Roman" w:hAnsi="Times New Roman"/>
          <w:color w:val="000000"/>
          <w:lang w:val="en-GB"/>
        </w:rPr>
        <w:t xml:space="preserve">that </w:t>
      </w:r>
      <w:r w:rsidRPr="00B510A8">
        <w:rPr>
          <w:rFonts w:ascii="Times New Roman" w:hAnsi="Times New Roman"/>
          <w:color w:val="000000"/>
          <w:lang w:val="en-GB"/>
        </w:rPr>
        <w:t xml:space="preserve">nutrients were more available to phytoplankton in </w:t>
      </w:r>
      <w:r>
        <w:rPr>
          <w:rFonts w:ascii="Times New Roman" w:hAnsi="Times New Roman"/>
          <w:color w:val="000000"/>
          <w:lang w:val="en-GB"/>
        </w:rPr>
        <w:t xml:space="preserve">the </w:t>
      </w:r>
      <w:r w:rsidRPr="00B510A8">
        <w:rPr>
          <w:rFonts w:ascii="Times New Roman" w:hAnsi="Times New Roman"/>
          <w:color w:val="000000"/>
          <w:lang w:val="en-GB"/>
        </w:rPr>
        <w:t xml:space="preserve">SML </w:t>
      </w:r>
      <w:r>
        <w:rPr>
          <w:rFonts w:ascii="Times New Roman" w:hAnsi="Times New Roman"/>
          <w:color w:val="000000"/>
          <w:lang w:val="en-GB"/>
        </w:rPr>
        <w:t xml:space="preserve">than in the ULW, </w:t>
      </w:r>
      <w:r w:rsidRPr="00B510A8">
        <w:rPr>
          <w:rFonts w:ascii="Times New Roman" w:hAnsi="Times New Roman"/>
          <w:color w:val="000000"/>
          <w:lang w:val="en-GB"/>
        </w:rPr>
        <w:t>except at stations</w:t>
      </w:r>
      <w:r>
        <w:rPr>
          <w:rFonts w:ascii="Times New Roman" w:hAnsi="Times New Roman"/>
          <w:color w:val="000000"/>
          <w:lang w:val="en-GB"/>
        </w:rPr>
        <w:t xml:space="preserve"> close to the river mouth (W1 and W2). </w:t>
      </w:r>
      <w:r w:rsidRPr="006E1463">
        <w:rPr>
          <w:rFonts w:ascii="Times New Roman" w:hAnsi="Times New Roman"/>
          <w:color w:val="000000"/>
          <w:lang w:val="en-GB"/>
        </w:rPr>
        <w:t xml:space="preserve">This is plausible considering that OM </w:t>
      </w:r>
      <w:r>
        <w:rPr>
          <w:rFonts w:ascii="Times New Roman" w:hAnsi="Times New Roman"/>
          <w:color w:val="000000"/>
          <w:lang w:val="en-GB"/>
        </w:rPr>
        <w:t xml:space="preserve">degradation and </w:t>
      </w:r>
      <w:r w:rsidRPr="006E1463">
        <w:rPr>
          <w:rFonts w:ascii="Times New Roman" w:hAnsi="Times New Roman"/>
          <w:color w:val="000000"/>
          <w:lang w:val="en-GB"/>
        </w:rPr>
        <w:t xml:space="preserve">remineralization </w:t>
      </w:r>
      <w:r>
        <w:rPr>
          <w:rFonts w:ascii="Times New Roman" w:hAnsi="Times New Roman"/>
          <w:color w:val="000000"/>
          <w:lang w:val="en-GB"/>
        </w:rPr>
        <w:t>are</w:t>
      </w:r>
      <w:r w:rsidRPr="006E1463">
        <w:rPr>
          <w:rFonts w:ascii="Times New Roman" w:hAnsi="Times New Roman"/>
          <w:color w:val="000000"/>
          <w:lang w:val="en-GB"/>
        </w:rPr>
        <w:t xml:space="preserve"> faster in SML due to biotic (bacteria)</w:t>
      </w:r>
      <w:r>
        <w:rPr>
          <w:rFonts w:ascii="Times New Roman" w:hAnsi="Times New Roman"/>
          <w:color w:val="000000"/>
          <w:lang w:val="en-GB"/>
        </w:rPr>
        <w:t xml:space="preserve"> (Tank et al., 2011, Zhang et al., 2013b)</w:t>
      </w:r>
      <w:r w:rsidRPr="006E1463">
        <w:rPr>
          <w:rFonts w:ascii="Times New Roman" w:hAnsi="Times New Roman"/>
          <w:color w:val="000000"/>
          <w:lang w:val="en-GB"/>
        </w:rPr>
        <w:t xml:space="preserve"> and especially abiotic (photooxidation and autoxidation by free radical-mediated oxidation </w:t>
      </w:r>
      <w:r w:rsidRPr="006E1463">
        <w:rPr>
          <w:rFonts w:ascii="Times New Roman" w:hAnsi="Times New Roman"/>
          <w:noProof/>
          <w:color w:val="000000"/>
          <w:lang w:val="en-GB"/>
        </w:rPr>
        <w:t>(Rontani and Belt, 2020)</w:t>
      </w:r>
      <w:r w:rsidRPr="006E1463">
        <w:rPr>
          <w:rFonts w:ascii="Times New Roman" w:hAnsi="Times New Roman"/>
          <w:color w:val="000000"/>
          <w:lang w:val="en-GB"/>
        </w:rPr>
        <w:t xml:space="preserve">) </w:t>
      </w:r>
      <w:r>
        <w:rPr>
          <w:rFonts w:ascii="Times New Roman" w:hAnsi="Times New Roman"/>
          <w:color w:val="000000"/>
          <w:lang w:val="en-GB"/>
        </w:rPr>
        <w:t>processes</w:t>
      </w:r>
      <w:r w:rsidRPr="006E1463">
        <w:rPr>
          <w:rFonts w:ascii="Times New Roman" w:hAnsi="Times New Roman"/>
          <w:color w:val="000000"/>
          <w:lang w:val="en-GB"/>
        </w:rPr>
        <w:t xml:space="preserve">. </w:t>
      </w:r>
      <w:r>
        <w:rPr>
          <w:rFonts w:ascii="Times New Roman" w:hAnsi="Times New Roman"/>
          <w:color w:val="000000"/>
          <w:lang w:val="en-GB"/>
        </w:rPr>
        <w:t>H</w:t>
      </w:r>
      <w:r w:rsidRPr="006E1463">
        <w:rPr>
          <w:rFonts w:ascii="Times New Roman" w:hAnsi="Times New Roman"/>
          <w:color w:val="000000"/>
          <w:lang w:val="en-GB"/>
        </w:rPr>
        <w:t xml:space="preserve">igher concentrations of lipid </w:t>
      </w:r>
      <w:r w:rsidRPr="00582FDA">
        <w:rPr>
          <w:rFonts w:ascii="Times New Roman" w:hAnsi="Times New Roman"/>
          <w:color w:val="000000"/>
          <w:lang w:val="en-GB"/>
        </w:rPr>
        <w:t xml:space="preserve">degradation indices in SML (Figure 7c) confirm higher OM degradation and remineralization in this layer, while the presence, but not enrichment, of bacterial biomarker PE in SML confirm the importance of </w:t>
      </w:r>
      <w:r w:rsidRPr="00FA240F">
        <w:rPr>
          <w:rFonts w:ascii="Times New Roman" w:hAnsi="Times New Roman"/>
        </w:rPr>
        <w:t>the simultaneous</w:t>
      </w:r>
      <w:r w:rsidRPr="00582FDA">
        <w:rPr>
          <w:rFonts w:ascii="Times New Roman" w:hAnsi="Times New Roman"/>
          <w:color w:val="000000"/>
          <w:lang w:val="en-GB"/>
        </w:rPr>
        <w:t xml:space="preserve"> effects of abiotic OM </w:t>
      </w:r>
      <w:r w:rsidRPr="008E5D49">
        <w:rPr>
          <w:rFonts w:ascii="Times New Roman" w:hAnsi="Times New Roman"/>
          <w:color w:val="000000"/>
          <w:lang w:val="en-GB"/>
        </w:rPr>
        <w:t>processing in the SML (Table 2). In a</w:t>
      </w:r>
      <w:r w:rsidRPr="001B6003">
        <w:rPr>
          <w:rFonts w:ascii="Times New Roman" w:hAnsi="Times New Roman"/>
          <w:color w:val="000000"/>
          <w:lang w:val="en-GB"/>
        </w:rPr>
        <w:t>ddition, according to Reinthaler et al. (2008), bacterial growth in the SML is low and bacterioneuston only</w:t>
      </w:r>
      <w:r w:rsidRPr="001B6003" w:rsidDel="00892C96">
        <w:rPr>
          <w:rFonts w:ascii="Times New Roman" w:hAnsi="Times New Roman"/>
          <w:color w:val="000000"/>
          <w:lang w:val="en-GB"/>
        </w:rPr>
        <w:t xml:space="preserve"> </w:t>
      </w:r>
      <w:r w:rsidRPr="001B6003">
        <w:rPr>
          <w:rFonts w:ascii="Times New Roman" w:hAnsi="Times New Roman"/>
          <w:color w:val="000000"/>
          <w:lang w:val="en-GB"/>
        </w:rPr>
        <w:t>maintains</w:t>
      </w:r>
      <w:r>
        <w:rPr>
          <w:rFonts w:ascii="Times New Roman" w:hAnsi="Times New Roman"/>
          <w:color w:val="000000"/>
          <w:lang w:val="en-GB"/>
        </w:rPr>
        <w:t xml:space="preserve"> its</w:t>
      </w:r>
      <w:r w:rsidRPr="001B6003">
        <w:rPr>
          <w:rFonts w:ascii="Times New Roman" w:hAnsi="Times New Roman"/>
          <w:color w:val="000000"/>
          <w:lang w:val="en-GB"/>
        </w:rPr>
        <w:t xml:space="preserve"> cellular mass, while Stolle et al. (2010) found that the productivity of the bacterioneuston is not</w:t>
      </w:r>
      <w:r>
        <w:rPr>
          <w:rFonts w:ascii="Times New Roman" w:hAnsi="Times New Roman"/>
          <w:color w:val="000000"/>
          <w:lang w:val="en-GB"/>
        </w:rPr>
        <w:t>,</w:t>
      </w:r>
      <w:r w:rsidRPr="001B6003">
        <w:rPr>
          <w:rFonts w:ascii="Times New Roman" w:hAnsi="Times New Roman"/>
          <w:color w:val="000000"/>
          <w:lang w:val="en-GB"/>
        </w:rPr>
        <w:t xml:space="preserve"> or only weakly</w:t>
      </w:r>
      <w:r w:rsidR="008777CA">
        <w:rPr>
          <w:rFonts w:ascii="Times New Roman" w:hAnsi="Times New Roman"/>
          <w:color w:val="000000"/>
          <w:lang w:val="en-GB"/>
        </w:rPr>
        <w:t>,</w:t>
      </w:r>
      <w:r w:rsidRPr="001B6003">
        <w:rPr>
          <w:rFonts w:ascii="Times New Roman" w:hAnsi="Times New Roman"/>
          <w:color w:val="000000"/>
          <w:lang w:val="en-GB"/>
        </w:rPr>
        <w:t xml:space="preserve"> associated with the change in the amount of OM in SML.</w:t>
      </w:r>
    </w:p>
    <w:p w14:paraId="6CD2D9B1" w14:textId="77777777" w:rsidR="001B6003" w:rsidRPr="008E5D49" w:rsidRDefault="001B6003" w:rsidP="008E5D49">
      <w:pPr>
        <w:pStyle w:val="NoSpacing"/>
        <w:spacing w:line="360" w:lineRule="auto"/>
        <w:rPr>
          <w:rFonts w:ascii="Times New Roman" w:hAnsi="Times New Roman"/>
          <w:lang w:val="en-GB" w:bidi="en-US"/>
        </w:rPr>
      </w:pPr>
    </w:p>
    <w:p w14:paraId="6FF6482B" w14:textId="1C1569D0" w:rsidR="009A3A8B" w:rsidRPr="004A6D35" w:rsidRDefault="009A3A8B" w:rsidP="00DC65AD">
      <w:pPr>
        <w:pStyle w:val="Heading4"/>
        <w:spacing w:before="0" w:line="360" w:lineRule="auto"/>
        <w:rPr>
          <w:rFonts w:ascii="Times New Roman" w:hAnsi="Times New Roman"/>
          <w:i w:val="0"/>
          <w:iCs w:val="0"/>
          <w:color w:val="000000"/>
          <w:lang w:val="en-GB"/>
        </w:rPr>
      </w:pPr>
      <w:r w:rsidRPr="004A6D35">
        <w:rPr>
          <w:rFonts w:ascii="Times New Roman" w:hAnsi="Times New Roman"/>
          <w:i w:val="0"/>
          <w:iCs w:val="0"/>
          <w:color w:val="000000"/>
          <w:lang w:val="en-GB"/>
        </w:rPr>
        <w:t>4.</w:t>
      </w:r>
      <w:r w:rsidR="00DC65AD" w:rsidRPr="004A6D35">
        <w:rPr>
          <w:rFonts w:ascii="Times New Roman" w:hAnsi="Times New Roman"/>
          <w:i w:val="0"/>
          <w:iCs w:val="0"/>
          <w:color w:val="000000"/>
          <w:lang w:val="en-GB"/>
        </w:rPr>
        <w:t>2.4</w:t>
      </w:r>
      <w:r w:rsidRPr="004A6D35">
        <w:rPr>
          <w:rFonts w:ascii="Times New Roman" w:hAnsi="Times New Roman"/>
          <w:i w:val="0"/>
          <w:iCs w:val="0"/>
          <w:color w:val="000000"/>
          <w:lang w:val="en-GB"/>
        </w:rPr>
        <w:t xml:space="preserve">. OM origin </w:t>
      </w:r>
    </w:p>
    <w:p w14:paraId="563B96FA" w14:textId="77777777" w:rsidR="009A3A8B" w:rsidRPr="008E5D49" w:rsidRDefault="009A3A8B" w:rsidP="009A3A8B">
      <w:pPr>
        <w:spacing w:after="0" w:line="360" w:lineRule="auto"/>
        <w:rPr>
          <w:rFonts w:ascii="Times New Roman" w:hAnsi="Times New Roman"/>
          <w:color w:val="000000"/>
          <w:lang w:val="en-GB"/>
        </w:rPr>
      </w:pPr>
    </w:p>
    <w:p w14:paraId="471BCA50" w14:textId="53DA5BA5" w:rsidR="00C6551A" w:rsidRDefault="006B3531" w:rsidP="00C6551A">
      <w:pPr>
        <w:spacing w:after="0" w:line="360" w:lineRule="auto"/>
        <w:rPr>
          <w:rFonts w:ascii="Times New Roman" w:hAnsi="Times New Roman"/>
          <w:color w:val="000000"/>
          <w:lang w:val="en-GB"/>
        </w:rPr>
      </w:pPr>
      <w:r>
        <w:rPr>
          <w:rFonts w:ascii="Times New Roman" w:hAnsi="Times New Roman"/>
          <w:color w:val="000000"/>
          <w:lang w:val="en-GB"/>
        </w:rPr>
        <w:t xml:space="preserve">Statistically significant correlations between the concentrations of lipids PIG, DGDG, SQDG, and PE </w:t>
      </w:r>
      <w:r w:rsidRPr="006E1463">
        <w:rPr>
          <w:rFonts w:ascii="Times New Roman" w:hAnsi="Times New Roman"/>
          <w:iCs/>
          <w:color w:val="000000"/>
          <w:lang w:val="en-GB"/>
        </w:rPr>
        <w:t>suggest</w:t>
      </w:r>
      <w:r>
        <w:rPr>
          <w:rFonts w:ascii="Times New Roman" w:hAnsi="Times New Roman"/>
          <w:iCs/>
          <w:color w:val="000000"/>
          <w:lang w:val="en-GB"/>
        </w:rPr>
        <w:t>s</w:t>
      </w:r>
      <w:r w:rsidRPr="006E1463">
        <w:rPr>
          <w:rFonts w:ascii="Times New Roman" w:hAnsi="Times New Roman"/>
          <w:iCs/>
          <w:color w:val="000000"/>
          <w:lang w:val="en-GB"/>
        </w:rPr>
        <w:t xml:space="preserve"> that the </w:t>
      </w:r>
      <w:r w:rsidRPr="008E5D49">
        <w:rPr>
          <w:rFonts w:ascii="Times New Roman" w:hAnsi="Times New Roman"/>
          <w:iCs/>
          <w:color w:val="000000"/>
          <w:lang w:val="en-GB"/>
        </w:rPr>
        <w:t>ULW was the origin of plankton lipids in the SML</w:t>
      </w:r>
      <w:r>
        <w:rPr>
          <w:rFonts w:ascii="Times New Roman" w:hAnsi="Times New Roman"/>
          <w:iCs/>
          <w:color w:val="000000"/>
          <w:lang w:val="en-GB"/>
        </w:rPr>
        <w:t>,</w:t>
      </w:r>
      <w:r w:rsidRPr="006E1463">
        <w:rPr>
          <w:rFonts w:ascii="Times New Roman" w:hAnsi="Times New Roman"/>
          <w:iCs/>
          <w:color w:val="000000"/>
          <w:lang w:val="en-GB"/>
        </w:rPr>
        <w:t xml:space="preserve"> rather than </w:t>
      </w:r>
      <w:r>
        <w:rPr>
          <w:rFonts w:ascii="Times New Roman" w:hAnsi="Times New Roman"/>
          <w:iCs/>
          <w:color w:val="000000"/>
          <w:lang w:val="en-GB"/>
        </w:rPr>
        <w:t xml:space="preserve">the </w:t>
      </w:r>
      <w:r w:rsidRPr="006E1463">
        <w:rPr>
          <w:rFonts w:ascii="Times New Roman" w:hAnsi="Times New Roman"/>
          <w:iCs/>
          <w:color w:val="000000"/>
          <w:lang w:val="en-GB"/>
        </w:rPr>
        <w:t>presence of independent plankton populations in the two layers.</w:t>
      </w:r>
      <w:r>
        <w:rPr>
          <w:rFonts w:ascii="Times New Roman" w:hAnsi="Times New Roman"/>
          <w:iCs/>
          <w:color w:val="000000"/>
          <w:lang w:val="en-GB"/>
        </w:rPr>
        <w:t xml:space="preserve"> </w:t>
      </w:r>
      <w:r w:rsidRPr="006E1463">
        <w:rPr>
          <w:rFonts w:ascii="Times New Roman" w:hAnsi="Times New Roman"/>
          <w:color w:val="000000"/>
          <w:lang w:val="en-GB"/>
        </w:rPr>
        <w:t>The enrichment of membrane lipids (Figure 7</w:t>
      </w:r>
      <w:r>
        <w:rPr>
          <w:rFonts w:ascii="Times New Roman" w:hAnsi="Times New Roman"/>
          <w:color w:val="000000"/>
          <w:lang w:val="en-GB"/>
        </w:rPr>
        <w:t>A</w:t>
      </w:r>
      <w:r w:rsidRPr="006E1463">
        <w:rPr>
          <w:rFonts w:ascii="Times New Roman" w:hAnsi="Times New Roman"/>
          <w:color w:val="000000"/>
          <w:lang w:val="en-GB"/>
        </w:rPr>
        <w:t xml:space="preserve">) confirms the </w:t>
      </w:r>
      <w:r w:rsidRPr="008E5D49">
        <w:rPr>
          <w:rFonts w:ascii="Times New Roman" w:hAnsi="Times New Roman"/>
          <w:color w:val="000000"/>
          <w:lang w:val="en-GB"/>
        </w:rPr>
        <w:t>enrichment of liv</w:t>
      </w:r>
      <w:r w:rsidR="00947163">
        <w:rPr>
          <w:rFonts w:ascii="Times New Roman" w:hAnsi="Times New Roman"/>
          <w:color w:val="000000"/>
          <w:lang w:val="en-GB"/>
        </w:rPr>
        <w:t>ing</w:t>
      </w:r>
      <w:r w:rsidRPr="008E5D49">
        <w:rPr>
          <w:rFonts w:ascii="Times New Roman" w:hAnsi="Times New Roman"/>
          <w:color w:val="000000"/>
          <w:lang w:val="en-GB"/>
        </w:rPr>
        <w:t xml:space="preserve"> plankton</w:t>
      </w:r>
      <w:r w:rsidRPr="006E1463">
        <w:rPr>
          <w:rFonts w:ascii="Times New Roman" w:hAnsi="Times New Roman"/>
          <w:color w:val="000000"/>
          <w:lang w:val="en-GB"/>
        </w:rPr>
        <w:t xml:space="preserve"> in </w:t>
      </w:r>
      <w:r>
        <w:rPr>
          <w:rFonts w:ascii="Times New Roman" w:hAnsi="Times New Roman"/>
          <w:color w:val="000000"/>
          <w:lang w:val="en-GB"/>
        </w:rPr>
        <w:t xml:space="preserve">the </w:t>
      </w:r>
      <w:r w:rsidRPr="006E1463">
        <w:rPr>
          <w:rFonts w:ascii="Times New Roman" w:hAnsi="Times New Roman"/>
          <w:color w:val="000000"/>
          <w:lang w:val="en-GB"/>
        </w:rPr>
        <w:t xml:space="preserve">SML </w:t>
      </w:r>
      <w:r w:rsidRPr="006E1463">
        <w:rPr>
          <w:rFonts w:ascii="Times New Roman" w:hAnsi="Times New Roman"/>
          <w:noProof/>
          <w:color w:val="000000"/>
          <w:lang w:val="en-GB"/>
        </w:rPr>
        <w:t>(Derieux et al., 1998)</w:t>
      </w:r>
      <w:r>
        <w:rPr>
          <w:rFonts w:ascii="Times New Roman" w:hAnsi="Times New Roman"/>
          <w:color w:val="000000"/>
          <w:lang w:val="en-GB"/>
        </w:rPr>
        <w:t>.</w:t>
      </w:r>
    </w:p>
    <w:p w14:paraId="102D4292" w14:textId="0F0777F8" w:rsidR="009A3A8B" w:rsidRPr="006E1463" w:rsidRDefault="009A3A8B" w:rsidP="006B3531">
      <w:pPr>
        <w:spacing w:after="0" w:line="360" w:lineRule="auto"/>
        <w:ind w:firstLine="708"/>
        <w:rPr>
          <w:rFonts w:ascii="Times New Roman" w:hAnsi="Times New Roman"/>
          <w:color w:val="000000"/>
          <w:lang w:val="en-GB"/>
        </w:rPr>
      </w:pPr>
      <w:r w:rsidRPr="008E5D49">
        <w:rPr>
          <w:rFonts w:ascii="Times New Roman" w:hAnsi="Times New Roman"/>
          <w:color w:val="000000"/>
          <w:lang w:val="en-GB"/>
        </w:rPr>
        <w:t>While PE are the most abundant phospholipids in marine bacteria</w:t>
      </w:r>
      <w:r w:rsidRPr="008E5D49">
        <w:rPr>
          <w:rFonts w:ascii="Times New Roman" w:hAnsi="Times New Roman"/>
          <w:noProof/>
          <w:color w:val="000000"/>
          <w:lang w:val="en-GB"/>
        </w:rPr>
        <w:t xml:space="preserve"> (Gerin and Goutx, 1993)</w:t>
      </w:r>
      <w:r w:rsidRPr="008E5D49">
        <w:rPr>
          <w:rFonts w:ascii="Times New Roman" w:hAnsi="Times New Roman"/>
          <w:color w:val="000000"/>
          <w:lang w:val="en-GB"/>
        </w:rPr>
        <w:t xml:space="preserve">, PG are the major phospholipids in microalgae </w:t>
      </w:r>
      <w:r w:rsidRPr="008E5D49">
        <w:rPr>
          <w:rFonts w:ascii="Times New Roman" w:hAnsi="Times New Roman"/>
          <w:noProof/>
          <w:color w:val="000000"/>
          <w:lang w:val="en-GB"/>
        </w:rPr>
        <w:t>(Dembitsky and Rozentsvet, 1990; Harwood, 2006)</w:t>
      </w:r>
      <w:r w:rsidRPr="008E5D49">
        <w:rPr>
          <w:rFonts w:ascii="Times New Roman" w:hAnsi="Times New Roman"/>
          <w:color w:val="000000"/>
          <w:lang w:val="en-GB"/>
        </w:rPr>
        <w:t>. The PE:PG ratio is thus used as an indicator of bacterial or phytoplankton biomass dominance</w:t>
      </w:r>
      <w:r w:rsidRPr="008E5D49">
        <w:rPr>
          <w:rFonts w:ascii="Times New Roman" w:hAnsi="Times New Roman"/>
          <w:noProof/>
          <w:color w:val="000000"/>
          <w:lang w:val="en-GB"/>
        </w:rPr>
        <w:t xml:space="preserve">; </w:t>
      </w:r>
      <w:r w:rsidRPr="008E5D49">
        <w:rPr>
          <w:rFonts w:ascii="Times New Roman" w:hAnsi="Times New Roman"/>
          <w:color w:val="000000"/>
          <w:lang w:val="en-GB"/>
        </w:rPr>
        <w:t>PE:PG ratio</w:t>
      </w:r>
      <w:r w:rsidRPr="001B6003">
        <w:rPr>
          <w:rFonts w:ascii="Times New Roman" w:hAnsi="Times New Roman"/>
          <w:color w:val="000000"/>
          <w:lang w:val="en-GB"/>
        </w:rPr>
        <w:t>s between 0 and 0.3</w:t>
      </w:r>
      <w:r>
        <w:rPr>
          <w:rFonts w:ascii="Times New Roman" w:hAnsi="Times New Roman"/>
          <w:color w:val="000000"/>
          <w:lang w:val="en-GB"/>
        </w:rPr>
        <w:t xml:space="preserve"> indicate</w:t>
      </w:r>
      <w:r w:rsidRPr="001B6003">
        <w:rPr>
          <w:rFonts w:ascii="Times New Roman" w:hAnsi="Times New Roman"/>
          <w:color w:val="000000"/>
          <w:lang w:val="en-GB"/>
        </w:rPr>
        <w:t xml:space="preserve"> phytoplankton dominance</w:t>
      </w:r>
      <w:r>
        <w:rPr>
          <w:rFonts w:ascii="Times New Roman" w:hAnsi="Times New Roman"/>
          <w:color w:val="000000"/>
          <w:lang w:val="en-GB"/>
        </w:rPr>
        <w:t xml:space="preserve">, and </w:t>
      </w:r>
      <w:r w:rsidR="006B3531">
        <w:rPr>
          <w:rFonts w:ascii="Times New Roman" w:hAnsi="Times New Roman"/>
          <w:color w:val="000000"/>
          <w:lang w:val="en-GB"/>
        </w:rPr>
        <w:t>&gt;0.3</w:t>
      </w:r>
      <w:r w:rsidRPr="001B6003">
        <w:rPr>
          <w:rFonts w:ascii="Times New Roman" w:hAnsi="Times New Roman"/>
          <w:color w:val="000000"/>
          <w:lang w:val="en-GB"/>
        </w:rPr>
        <w:t xml:space="preserve"> bacterial dominance</w:t>
      </w:r>
      <w:r w:rsidRPr="001B6003">
        <w:rPr>
          <w:rFonts w:ascii="Times New Roman" w:hAnsi="Times New Roman"/>
          <w:noProof/>
          <w:color w:val="000000"/>
          <w:lang w:val="en-GB"/>
        </w:rPr>
        <w:t xml:space="preserve"> (Gerin and Goutx, 1994)</w:t>
      </w:r>
      <w:r w:rsidRPr="001B6003">
        <w:rPr>
          <w:rFonts w:ascii="Times New Roman" w:hAnsi="Times New Roman"/>
          <w:color w:val="000000"/>
          <w:lang w:val="en-GB"/>
        </w:rPr>
        <w:t>. The values of PE:PG ratio, which were mostly above 0.3 in the transect (Table S2), indicate</w:t>
      </w:r>
      <w:r w:rsidRPr="006E1463">
        <w:rPr>
          <w:rFonts w:ascii="Times New Roman" w:hAnsi="Times New Roman"/>
          <w:color w:val="000000"/>
          <w:lang w:val="en-GB"/>
        </w:rPr>
        <w:t xml:space="preserve"> a significant presence of bacteria in both layers (Table S2)</w:t>
      </w:r>
      <w:r>
        <w:rPr>
          <w:rFonts w:ascii="Times New Roman" w:hAnsi="Times New Roman"/>
          <w:color w:val="000000"/>
          <w:lang w:val="en-GB"/>
        </w:rPr>
        <w:t xml:space="preserve">, while a statistically significant positive correlation between the concentrations of PE in the SML and ULW points to </w:t>
      </w:r>
      <w:r w:rsidRPr="008E5D49">
        <w:rPr>
          <w:rFonts w:ascii="Times New Roman" w:hAnsi="Times New Roman"/>
          <w:color w:val="000000"/>
          <w:lang w:val="en-GB"/>
        </w:rPr>
        <w:t>the interconnection of the two layers</w:t>
      </w:r>
      <w:r w:rsidRPr="006E1463">
        <w:rPr>
          <w:rFonts w:ascii="Times New Roman" w:hAnsi="Times New Roman"/>
          <w:color w:val="000000"/>
          <w:lang w:val="en-GB"/>
        </w:rPr>
        <w:t xml:space="preserve">. The </w:t>
      </w:r>
      <w:r w:rsidR="006B3531" w:rsidRPr="006E1463">
        <w:rPr>
          <w:rFonts w:ascii="Times New Roman" w:hAnsi="Times New Roman"/>
          <w:color w:val="000000"/>
          <w:lang w:val="en-GB"/>
        </w:rPr>
        <w:t xml:space="preserve">highest </w:t>
      </w:r>
      <w:r w:rsidR="006B3531">
        <w:rPr>
          <w:rFonts w:ascii="Times New Roman" w:hAnsi="Times New Roman"/>
          <w:color w:val="000000"/>
          <w:lang w:val="en-GB"/>
        </w:rPr>
        <w:t>ratio</w:t>
      </w:r>
      <w:r w:rsidR="006B3531" w:rsidRPr="006E1463">
        <w:rPr>
          <w:rFonts w:ascii="Times New Roman" w:hAnsi="Times New Roman"/>
          <w:color w:val="000000"/>
          <w:lang w:val="en-GB"/>
        </w:rPr>
        <w:t xml:space="preserve">s </w:t>
      </w:r>
      <w:r w:rsidRPr="006E1463">
        <w:rPr>
          <w:rFonts w:ascii="Times New Roman" w:hAnsi="Times New Roman"/>
          <w:color w:val="000000"/>
          <w:lang w:val="en-GB"/>
        </w:rPr>
        <w:t xml:space="preserve">observed </w:t>
      </w:r>
      <w:r>
        <w:rPr>
          <w:rFonts w:ascii="Times New Roman" w:hAnsi="Times New Roman"/>
          <w:color w:val="000000"/>
          <w:lang w:val="en-GB"/>
        </w:rPr>
        <w:t>for</w:t>
      </w:r>
      <w:r w:rsidRPr="006E1463">
        <w:rPr>
          <w:rFonts w:ascii="Times New Roman" w:hAnsi="Times New Roman"/>
          <w:color w:val="000000"/>
          <w:lang w:val="en-GB"/>
        </w:rPr>
        <w:t xml:space="preserve"> W1 and W2 in both SML and ULW indicate </w:t>
      </w:r>
      <w:r w:rsidRPr="008E5D49">
        <w:rPr>
          <w:rFonts w:ascii="Times New Roman" w:hAnsi="Times New Roman"/>
          <w:color w:val="000000"/>
          <w:lang w:val="en-GB"/>
        </w:rPr>
        <w:t>the highest bacterial biomass probably supported by riverine originated OM</w:t>
      </w:r>
      <w:r>
        <w:rPr>
          <w:rFonts w:ascii="Times New Roman" w:hAnsi="Times New Roman"/>
          <w:color w:val="000000"/>
          <w:lang w:val="en-GB"/>
        </w:rPr>
        <w:t xml:space="preserve"> and nutrients</w:t>
      </w:r>
      <w:r w:rsidRPr="006E1463">
        <w:rPr>
          <w:rFonts w:ascii="Times New Roman" w:hAnsi="Times New Roman"/>
          <w:color w:val="000000"/>
          <w:lang w:val="en-GB"/>
        </w:rPr>
        <w:t xml:space="preserve">. </w:t>
      </w:r>
    </w:p>
    <w:p w14:paraId="335F96E8" w14:textId="724C10EA" w:rsidR="009A3A8B" w:rsidRDefault="009A3A8B" w:rsidP="009A3A8B">
      <w:pPr>
        <w:spacing w:after="0" w:line="360" w:lineRule="auto"/>
        <w:ind w:firstLine="708"/>
        <w:rPr>
          <w:rFonts w:ascii="Times New Roman" w:hAnsi="Times New Roman"/>
          <w:color w:val="000000"/>
          <w:lang w:val="en-GB"/>
        </w:rPr>
      </w:pPr>
      <w:r>
        <w:rPr>
          <w:rFonts w:ascii="Times New Roman" w:hAnsi="Times New Roman"/>
          <w:color w:val="000000"/>
          <w:lang w:val="en-GB"/>
        </w:rPr>
        <w:t>T</w:t>
      </w:r>
      <w:r w:rsidRPr="006E1463">
        <w:rPr>
          <w:rFonts w:ascii="Times New Roman" w:hAnsi="Times New Roman"/>
          <w:color w:val="000000"/>
          <w:lang w:val="en-GB"/>
        </w:rPr>
        <w:t xml:space="preserve">he high PIG concentrations detected </w:t>
      </w:r>
      <w:r>
        <w:rPr>
          <w:rFonts w:ascii="Times New Roman" w:hAnsi="Times New Roman"/>
          <w:color w:val="000000"/>
          <w:lang w:val="en-GB"/>
        </w:rPr>
        <w:t>in</w:t>
      </w:r>
      <w:r w:rsidRPr="006E1463">
        <w:rPr>
          <w:rFonts w:ascii="Times New Roman" w:hAnsi="Times New Roman"/>
          <w:color w:val="000000"/>
          <w:lang w:val="en-GB"/>
        </w:rPr>
        <w:t xml:space="preserve"> both SML and ULW</w:t>
      </w:r>
      <w:r>
        <w:rPr>
          <w:rFonts w:ascii="Times New Roman" w:hAnsi="Times New Roman"/>
          <w:color w:val="000000"/>
          <w:lang w:val="en-GB"/>
        </w:rPr>
        <w:t xml:space="preserve"> samples</w:t>
      </w:r>
      <w:r w:rsidRPr="006E1463">
        <w:rPr>
          <w:rFonts w:ascii="Times New Roman" w:hAnsi="Times New Roman"/>
          <w:color w:val="000000"/>
          <w:lang w:val="en-GB"/>
        </w:rPr>
        <w:t xml:space="preserve"> at 10 km from the river mouth (station W4, Table 2)</w:t>
      </w:r>
      <w:r>
        <w:rPr>
          <w:rFonts w:ascii="Times New Roman" w:hAnsi="Times New Roman"/>
          <w:color w:val="000000"/>
          <w:lang w:val="en-GB"/>
        </w:rPr>
        <w:t>,</w:t>
      </w:r>
      <w:r w:rsidRPr="006E1463">
        <w:rPr>
          <w:rFonts w:ascii="Times New Roman" w:hAnsi="Times New Roman"/>
          <w:color w:val="000000"/>
          <w:lang w:val="en-GB"/>
        </w:rPr>
        <w:t xml:space="preserve"> indicate a rich phytoplankton biomass</w:t>
      </w:r>
      <w:r>
        <w:rPr>
          <w:rFonts w:ascii="Times New Roman" w:hAnsi="Times New Roman"/>
          <w:color w:val="000000"/>
          <w:lang w:val="en-GB"/>
        </w:rPr>
        <w:t>, most likely</w:t>
      </w:r>
      <w:r w:rsidRPr="006E1463">
        <w:rPr>
          <w:rFonts w:ascii="Times New Roman" w:hAnsi="Times New Roman"/>
          <w:color w:val="000000"/>
          <w:lang w:val="en-GB"/>
        </w:rPr>
        <w:t xml:space="preserve"> </w:t>
      </w:r>
      <w:r>
        <w:rPr>
          <w:rFonts w:ascii="Times New Roman" w:hAnsi="Times New Roman"/>
          <w:color w:val="000000"/>
          <w:lang w:val="en-GB"/>
        </w:rPr>
        <w:t>due to</w:t>
      </w:r>
      <w:r w:rsidRPr="006E1463">
        <w:rPr>
          <w:rFonts w:ascii="Times New Roman" w:hAnsi="Times New Roman"/>
          <w:color w:val="000000"/>
          <w:lang w:val="en-GB"/>
        </w:rPr>
        <w:t xml:space="preserve"> good growth </w:t>
      </w:r>
      <w:r w:rsidRPr="006E1463">
        <w:rPr>
          <w:rFonts w:ascii="Times New Roman" w:hAnsi="Times New Roman"/>
          <w:color w:val="000000"/>
          <w:lang w:val="en-GB"/>
        </w:rPr>
        <w:lastRenderedPageBreak/>
        <w:t>conditions</w:t>
      </w:r>
      <w:r>
        <w:rPr>
          <w:rFonts w:ascii="Times New Roman" w:hAnsi="Times New Roman"/>
          <w:color w:val="000000"/>
          <w:lang w:val="en-GB"/>
        </w:rPr>
        <w:t xml:space="preserve">. </w:t>
      </w:r>
      <w:bookmarkStart w:id="21" w:name="_Hlk100060754"/>
      <w:r>
        <w:rPr>
          <w:rFonts w:ascii="Times New Roman" w:hAnsi="Times New Roman"/>
          <w:color w:val="000000"/>
          <w:lang w:val="en-GB"/>
        </w:rPr>
        <w:t xml:space="preserve">The evaluated </w:t>
      </w:r>
      <w:r w:rsidRPr="006E1463">
        <w:rPr>
          <w:rFonts w:ascii="Times New Roman" w:hAnsi="Times New Roman"/>
          <w:color w:val="000000"/>
          <w:lang w:val="en-GB"/>
        </w:rPr>
        <w:t xml:space="preserve">low </w:t>
      </w:r>
      <w:r>
        <w:rPr>
          <w:rFonts w:ascii="Times New Roman" w:hAnsi="Times New Roman"/>
          <w:color w:val="000000"/>
          <w:lang w:val="en-GB"/>
        </w:rPr>
        <w:t>L</w:t>
      </w:r>
      <w:r w:rsidRPr="006E1463">
        <w:rPr>
          <w:rFonts w:ascii="Times New Roman" w:hAnsi="Times New Roman"/>
          <w:color w:val="000000"/>
          <w:lang w:val="en-GB"/>
        </w:rPr>
        <w:t>ipid:PIG ratios</w:t>
      </w:r>
      <w:r>
        <w:rPr>
          <w:rFonts w:ascii="Times New Roman" w:hAnsi="Times New Roman"/>
          <w:color w:val="000000"/>
          <w:lang w:val="en-GB"/>
        </w:rPr>
        <w:t xml:space="preserve"> (</w:t>
      </w:r>
      <w:r w:rsidRPr="006E1463">
        <w:rPr>
          <w:rFonts w:ascii="Times New Roman" w:hAnsi="Times New Roman"/>
          <w:color w:val="000000"/>
          <w:lang w:val="en-GB"/>
        </w:rPr>
        <w:t>Figure 8)</w:t>
      </w:r>
      <w:r>
        <w:rPr>
          <w:rFonts w:ascii="Times New Roman" w:hAnsi="Times New Roman"/>
          <w:color w:val="000000"/>
          <w:lang w:val="en-GB"/>
        </w:rPr>
        <w:t xml:space="preserve"> suggest reduced lipid accumulation expected for plankton growth under optimal environmental conditions (e.g. Novak et al., 2019)</w:t>
      </w:r>
      <w:r w:rsidRPr="006E1463">
        <w:rPr>
          <w:rFonts w:ascii="Times New Roman" w:hAnsi="Times New Roman"/>
          <w:color w:val="000000"/>
          <w:lang w:val="en-GB"/>
        </w:rPr>
        <w:t>.</w:t>
      </w:r>
      <w:bookmarkEnd w:id="21"/>
      <w:r w:rsidRPr="006E1463">
        <w:rPr>
          <w:rFonts w:ascii="Times New Roman" w:hAnsi="Times New Roman"/>
          <w:color w:val="000000"/>
          <w:lang w:val="en-GB"/>
        </w:rPr>
        <w:t xml:space="preserve"> </w:t>
      </w:r>
      <w:bookmarkStart w:id="22" w:name="_Hlk100060995"/>
      <w:r w:rsidRPr="006E1463">
        <w:rPr>
          <w:rFonts w:ascii="Times New Roman" w:hAnsi="Times New Roman"/>
          <w:color w:val="000000"/>
          <w:lang w:val="en-GB"/>
        </w:rPr>
        <w:t>An increase in</w:t>
      </w:r>
      <w:r>
        <w:rPr>
          <w:rFonts w:ascii="Times New Roman" w:hAnsi="Times New Roman"/>
          <w:color w:val="000000"/>
          <w:lang w:val="en-GB"/>
        </w:rPr>
        <w:t xml:space="preserve"> the contribution of</w:t>
      </w:r>
      <w:r w:rsidRPr="006E1463">
        <w:rPr>
          <w:rFonts w:ascii="Times New Roman" w:hAnsi="Times New Roman"/>
          <w:color w:val="000000"/>
          <w:lang w:val="en-GB"/>
        </w:rPr>
        <w:t xml:space="preserve"> the “</w:t>
      </w:r>
      <w:r w:rsidRPr="008E5D49">
        <w:rPr>
          <w:rFonts w:ascii="Times New Roman" w:hAnsi="Times New Roman"/>
          <w:color w:val="000000"/>
          <w:lang w:val="en-GB"/>
        </w:rPr>
        <w:t>T” component in the fluorescence intensities</w:t>
      </w:r>
      <w:r>
        <w:rPr>
          <w:rFonts w:ascii="Times New Roman" w:hAnsi="Times New Roman"/>
          <w:color w:val="000000"/>
          <w:lang w:val="en-GB"/>
        </w:rPr>
        <w:t xml:space="preserve"> at station W4 from an average of 14% to 18%</w:t>
      </w:r>
      <w:r w:rsidRPr="006E1463">
        <w:rPr>
          <w:rFonts w:ascii="Times New Roman" w:hAnsi="Times New Roman"/>
          <w:color w:val="000000"/>
          <w:lang w:val="en-GB"/>
        </w:rPr>
        <w:t xml:space="preserve"> (Figure 4</w:t>
      </w:r>
      <w:r w:rsidR="007A0936">
        <w:rPr>
          <w:rFonts w:ascii="Times New Roman" w:hAnsi="Times New Roman"/>
          <w:color w:val="000000"/>
          <w:lang w:val="en-GB"/>
        </w:rPr>
        <w:t>C</w:t>
      </w:r>
      <w:r w:rsidRPr="006E1463">
        <w:rPr>
          <w:rFonts w:ascii="Times New Roman" w:hAnsi="Times New Roman"/>
          <w:color w:val="000000"/>
          <w:lang w:val="en-GB"/>
        </w:rPr>
        <w:t xml:space="preserve"> and </w:t>
      </w:r>
      <w:r w:rsidR="007A0936">
        <w:rPr>
          <w:rFonts w:ascii="Times New Roman" w:hAnsi="Times New Roman"/>
          <w:color w:val="000000"/>
          <w:lang w:val="en-GB"/>
        </w:rPr>
        <w:t>D</w:t>
      </w:r>
      <w:r w:rsidRPr="006E1463">
        <w:rPr>
          <w:rFonts w:ascii="Times New Roman" w:hAnsi="Times New Roman"/>
          <w:color w:val="000000"/>
          <w:lang w:val="en-GB"/>
        </w:rPr>
        <w:t>) in SML and</w:t>
      </w:r>
      <w:r>
        <w:rPr>
          <w:rFonts w:ascii="Times New Roman" w:hAnsi="Times New Roman"/>
          <w:color w:val="000000"/>
          <w:lang w:val="en-GB"/>
        </w:rPr>
        <w:t xml:space="preserve"> from an average of 15% to 18%</w:t>
      </w:r>
      <w:r w:rsidRPr="006E1463">
        <w:rPr>
          <w:rFonts w:ascii="Times New Roman" w:hAnsi="Times New Roman"/>
          <w:color w:val="000000"/>
          <w:lang w:val="en-GB"/>
        </w:rPr>
        <w:t xml:space="preserve"> </w:t>
      </w:r>
      <w:r>
        <w:rPr>
          <w:rFonts w:ascii="Times New Roman" w:hAnsi="Times New Roman"/>
          <w:color w:val="000000"/>
          <w:lang w:val="en-GB"/>
        </w:rPr>
        <w:t xml:space="preserve">in </w:t>
      </w:r>
      <w:r w:rsidRPr="006E1463">
        <w:rPr>
          <w:rFonts w:ascii="Times New Roman" w:hAnsi="Times New Roman"/>
          <w:color w:val="000000"/>
          <w:lang w:val="en-GB"/>
        </w:rPr>
        <w:t>ULW</w:t>
      </w:r>
      <w:r>
        <w:rPr>
          <w:rFonts w:ascii="Times New Roman" w:hAnsi="Times New Roman"/>
          <w:color w:val="000000"/>
          <w:lang w:val="en-GB"/>
        </w:rPr>
        <w:t>,</w:t>
      </w:r>
      <w:r w:rsidRPr="006E1463">
        <w:rPr>
          <w:rFonts w:ascii="Times New Roman" w:hAnsi="Times New Roman"/>
          <w:color w:val="000000"/>
          <w:lang w:val="en-GB"/>
        </w:rPr>
        <w:t xml:space="preserve"> </w:t>
      </w:r>
      <w:r>
        <w:rPr>
          <w:rFonts w:ascii="Times New Roman" w:hAnsi="Times New Roman"/>
          <w:color w:val="000000"/>
          <w:lang w:val="en-GB"/>
        </w:rPr>
        <w:t xml:space="preserve">indicate </w:t>
      </w:r>
      <w:r w:rsidRPr="006E1463">
        <w:rPr>
          <w:rFonts w:ascii="Times New Roman" w:hAnsi="Times New Roman"/>
          <w:color w:val="000000"/>
          <w:lang w:val="en-GB"/>
        </w:rPr>
        <w:t xml:space="preserve">the presence of </w:t>
      </w:r>
      <w:r w:rsidRPr="008E5D49">
        <w:rPr>
          <w:rFonts w:ascii="Times New Roman" w:hAnsi="Times New Roman"/>
          <w:color w:val="000000"/>
          <w:lang w:val="en-GB"/>
        </w:rPr>
        <w:t>freshly produced proteinaceous material</w:t>
      </w:r>
      <w:r>
        <w:rPr>
          <w:rFonts w:ascii="Times New Roman" w:hAnsi="Times New Roman"/>
          <w:color w:val="000000"/>
          <w:lang w:val="en-GB"/>
        </w:rPr>
        <w:t xml:space="preserve">, further </w:t>
      </w:r>
      <w:r w:rsidRPr="006E1463">
        <w:rPr>
          <w:rFonts w:ascii="Times New Roman" w:hAnsi="Times New Roman"/>
          <w:color w:val="000000"/>
          <w:lang w:val="en-GB"/>
        </w:rPr>
        <w:t>confirm</w:t>
      </w:r>
      <w:r>
        <w:rPr>
          <w:rFonts w:ascii="Times New Roman" w:hAnsi="Times New Roman"/>
          <w:color w:val="000000"/>
          <w:lang w:val="en-GB"/>
        </w:rPr>
        <w:t>ing</w:t>
      </w:r>
      <w:r w:rsidRPr="006E1463">
        <w:rPr>
          <w:rFonts w:ascii="Times New Roman" w:hAnsi="Times New Roman"/>
          <w:color w:val="000000"/>
          <w:lang w:val="en-GB"/>
        </w:rPr>
        <w:t xml:space="preserve"> significant </w:t>
      </w:r>
      <w:r>
        <w:rPr>
          <w:rFonts w:ascii="Times New Roman" w:hAnsi="Times New Roman"/>
          <w:color w:val="000000"/>
          <w:lang w:val="en-GB"/>
        </w:rPr>
        <w:t>plankton</w:t>
      </w:r>
      <w:r w:rsidRPr="006E1463">
        <w:rPr>
          <w:rFonts w:ascii="Times New Roman" w:hAnsi="Times New Roman"/>
          <w:color w:val="000000"/>
          <w:lang w:val="en-GB"/>
        </w:rPr>
        <w:t xml:space="preserve"> activity </w:t>
      </w:r>
      <w:r>
        <w:rPr>
          <w:rFonts w:ascii="Times New Roman" w:hAnsi="Times New Roman"/>
          <w:color w:val="000000"/>
          <w:lang w:val="en-GB"/>
        </w:rPr>
        <w:t>at</w:t>
      </w:r>
      <w:r w:rsidRPr="006E1463">
        <w:rPr>
          <w:rFonts w:ascii="Times New Roman" w:hAnsi="Times New Roman"/>
          <w:color w:val="000000"/>
          <w:lang w:val="en-GB"/>
        </w:rPr>
        <w:t xml:space="preserve"> W4.</w:t>
      </w:r>
      <w:bookmarkEnd w:id="22"/>
      <w:r w:rsidRPr="006E1463">
        <w:rPr>
          <w:rFonts w:ascii="Times New Roman" w:hAnsi="Times New Roman"/>
          <w:color w:val="000000"/>
          <w:lang w:val="en-GB"/>
        </w:rPr>
        <w:t xml:space="preserve"> Th</w:t>
      </w:r>
      <w:r>
        <w:rPr>
          <w:rFonts w:ascii="Times New Roman" w:hAnsi="Times New Roman"/>
          <w:color w:val="000000"/>
          <w:lang w:val="en-GB"/>
        </w:rPr>
        <w:t>is observation was possible</w:t>
      </w:r>
      <w:r w:rsidRPr="006E1463">
        <w:rPr>
          <w:rFonts w:ascii="Times New Roman" w:hAnsi="Times New Roman"/>
          <w:color w:val="000000"/>
          <w:lang w:val="en-GB"/>
        </w:rPr>
        <w:t xml:space="preserve"> </w:t>
      </w:r>
      <w:r w:rsidRPr="008C0EC6">
        <w:rPr>
          <w:rFonts w:ascii="Times New Roman" w:hAnsi="Times New Roman"/>
          <w:color w:val="000000"/>
          <w:lang w:val="en-GB"/>
        </w:rPr>
        <w:t>because the</w:t>
      </w:r>
      <w:r w:rsidRPr="006E1463">
        <w:rPr>
          <w:rFonts w:ascii="Times New Roman" w:hAnsi="Times New Roman"/>
          <w:color w:val="000000"/>
          <w:lang w:val="en-GB"/>
        </w:rPr>
        <w:t xml:space="preserve"> measurements </w:t>
      </w:r>
      <w:r>
        <w:rPr>
          <w:rFonts w:ascii="Times New Roman" w:hAnsi="Times New Roman"/>
          <w:color w:val="000000"/>
          <w:lang w:val="en-GB"/>
        </w:rPr>
        <w:t>were</w:t>
      </w:r>
      <w:r w:rsidRPr="006E1463">
        <w:rPr>
          <w:rFonts w:ascii="Times New Roman" w:hAnsi="Times New Roman"/>
          <w:color w:val="000000"/>
          <w:lang w:val="en-GB"/>
        </w:rPr>
        <w:t xml:space="preserve"> performed in unfiltered samples, which allowed detection of </w:t>
      </w:r>
      <w:r>
        <w:rPr>
          <w:rFonts w:ascii="Times New Roman" w:hAnsi="Times New Roman"/>
          <w:color w:val="000000"/>
          <w:lang w:val="en-GB"/>
        </w:rPr>
        <w:t xml:space="preserve">the </w:t>
      </w:r>
      <w:r w:rsidRPr="006E1463">
        <w:rPr>
          <w:rFonts w:ascii="Times New Roman" w:hAnsi="Times New Roman"/>
          <w:color w:val="000000"/>
          <w:lang w:val="en-GB"/>
        </w:rPr>
        <w:t xml:space="preserve">freshly produced proteinaceous material that </w:t>
      </w:r>
      <w:r>
        <w:rPr>
          <w:rFonts w:ascii="Times New Roman" w:hAnsi="Times New Roman"/>
          <w:color w:val="000000"/>
          <w:lang w:val="en-GB"/>
        </w:rPr>
        <w:t>tends</w:t>
      </w:r>
      <w:r w:rsidRPr="006E1463">
        <w:rPr>
          <w:rFonts w:ascii="Times New Roman" w:hAnsi="Times New Roman"/>
          <w:color w:val="000000"/>
          <w:lang w:val="en-GB"/>
        </w:rPr>
        <w:t xml:space="preserve"> to form gel-like structures and </w:t>
      </w:r>
      <w:r>
        <w:rPr>
          <w:rFonts w:ascii="Times New Roman" w:hAnsi="Times New Roman"/>
          <w:color w:val="000000"/>
          <w:lang w:val="en-GB"/>
        </w:rPr>
        <w:t>would otherwise have been retained</w:t>
      </w:r>
      <w:r w:rsidRPr="006E1463">
        <w:rPr>
          <w:rFonts w:ascii="Times New Roman" w:hAnsi="Times New Roman"/>
          <w:color w:val="000000"/>
          <w:lang w:val="en-GB"/>
        </w:rPr>
        <w:t xml:space="preserve"> on the filter </w:t>
      </w:r>
      <w:r w:rsidRPr="006E1463">
        <w:rPr>
          <w:rFonts w:ascii="Times New Roman" w:hAnsi="Times New Roman"/>
          <w:noProof/>
          <w:color w:val="000000"/>
          <w:lang w:val="en-GB"/>
        </w:rPr>
        <w:t>(Drozdowska et al., 2018)</w:t>
      </w:r>
      <w:r w:rsidRPr="006E1463">
        <w:rPr>
          <w:rFonts w:ascii="Times New Roman" w:hAnsi="Times New Roman"/>
          <w:color w:val="000000"/>
          <w:lang w:val="en-GB"/>
        </w:rPr>
        <w:t xml:space="preserve">. </w:t>
      </w:r>
      <w:r>
        <w:rPr>
          <w:rFonts w:ascii="Times New Roman" w:hAnsi="Times New Roman"/>
          <w:color w:val="000000"/>
          <w:lang w:val="en-GB"/>
        </w:rPr>
        <w:t>The highest v</w:t>
      </w:r>
      <w:r w:rsidRPr="006E1463">
        <w:rPr>
          <w:rFonts w:ascii="Times New Roman" w:hAnsi="Times New Roman"/>
          <w:color w:val="000000"/>
          <w:lang w:val="en-GB"/>
        </w:rPr>
        <w:t>alues of the (M+T):(A+C)</w:t>
      </w:r>
      <w:r>
        <w:rPr>
          <w:rFonts w:ascii="Times New Roman" w:hAnsi="Times New Roman"/>
          <w:color w:val="000000"/>
          <w:lang w:val="en-GB"/>
        </w:rPr>
        <w:t xml:space="preserve"> ratio (Table S2) observed at station</w:t>
      </w:r>
      <w:r w:rsidRPr="006E1463">
        <w:rPr>
          <w:rFonts w:ascii="Times New Roman" w:hAnsi="Times New Roman"/>
          <w:color w:val="000000"/>
          <w:lang w:val="en-GB"/>
        </w:rPr>
        <w:t xml:space="preserve"> W4 </w:t>
      </w:r>
      <w:r>
        <w:rPr>
          <w:rFonts w:ascii="Times New Roman" w:hAnsi="Times New Roman"/>
          <w:color w:val="000000"/>
          <w:lang w:val="en-GB"/>
        </w:rPr>
        <w:t>also</w:t>
      </w:r>
      <w:r w:rsidRPr="006E1463">
        <w:rPr>
          <w:rFonts w:ascii="Times New Roman" w:hAnsi="Times New Roman"/>
          <w:color w:val="000000"/>
          <w:lang w:val="en-GB"/>
        </w:rPr>
        <w:t xml:space="preserve"> indicat</w:t>
      </w:r>
      <w:r>
        <w:rPr>
          <w:rFonts w:ascii="Times New Roman" w:hAnsi="Times New Roman"/>
          <w:color w:val="000000"/>
          <w:lang w:val="en-GB"/>
        </w:rPr>
        <w:t>e</w:t>
      </w:r>
      <w:r w:rsidRPr="006E1463">
        <w:rPr>
          <w:rFonts w:ascii="Times New Roman" w:hAnsi="Times New Roman"/>
          <w:color w:val="000000"/>
          <w:lang w:val="en-GB"/>
        </w:rPr>
        <w:t xml:space="preserve"> </w:t>
      </w:r>
      <w:r>
        <w:rPr>
          <w:rFonts w:ascii="Times New Roman" w:hAnsi="Times New Roman"/>
          <w:color w:val="000000"/>
          <w:lang w:val="en-GB"/>
        </w:rPr>
        <w:t>a slightly higher</w:t>
      </w:r>
      <w:r w:rsidRPr="006E1463">
        <w:rPr>
          <w:rFonts w:ascii="Times New Roman" w:hAnsi="Times New Roman"/>
          <w:color w:val="000000"/>
          <w:lang w:val="en-GB"/>
        </w:rPr>
        <w:t xml:space="preserve"> contribution of </w:t>
      </w:r>
      <w:r w:rsidRPr="008E5D49">
        <w:rPr>
          <w:rFonts w:ascii="Times New Roman" w:hAnsi="Times New Roman"/>
          <w:color w:val="000000"/>
          <w:lang w:val="en-GB"/>
        </w:rPr>
        <w:t>OM of marine origin at this station</w:t>
      </w:r>
      <w:r>
        <w:rPr>
          <w:rFonts w:ascii="Times New Roman" w:hAnsi="Times New Roman"/>
          <w:color w:val="000000"/>
          <w:lang w:val="en-GB"/>
        </w:rPr>
        <w:t xml:space="preserve">, compared to the other stations, likely due to the assumed increase in primary production. </w:t>
      </w:r>
    </w:p>
    <w:p w14:paraId="752D2123" w14:textId="12399AFF" w:rsidR="009A3A8B" w:rsidRDefault="009A3A8B" w:rsidP="009A3A8B">
      <w:pPr>
        <w:spacing w:after="0" w:line="360" w:lineRule="auto"/>
        <w:ind w:firstLine="708"/>
        <w:rPr>
          <w:rFonts w:ascii="Times New Roman" w:hAnsi="Times New Roman"/>
          <w:color w:val="000000"/>
          <w:lang w:val="en-GB"/>
        </w:rPr>
      </w:pPr>
      <w:r w:rsidRPr="006E1463">
        <w:rPr>
          <w:rFonts w:ascii="Times New Roman" w:hAnsi="Times New Roman"/>
          <w:color w:val="000000"/>
          <w:lang w:val="en-GB"/>
        </w:rPr>
        <w:t xml:space="preserve">In addition to indicating </w:t>
      </w:r>
      <w:r>
        <w:rPr>
          <w:rFonts w:ascii="Times New Roman" w:hAnsi="Times New Roman"/>
          <w:color w:val="000000"/>
          <w:lang w:val="en-GB"/>
        </w:rPr>
        <w:t xml:space="preserve">the </w:t>
      </w:r>
      <w:r w:rsidRPr="006E1463">
        <w:rPr>
          <w:rFonts w:ascii="Times New Roman" w:hAnsi="Times New Roman"/>
          <w:color w:val="000000"/>
          <w:lang w:val="en-GB"/>
        </w:rPr>
        <w:t>photochemical</w:t>
      </w:r>
      <w:r>
        <w:rPr>
          <w:rFonts w:ascii="Times New Roman" w:hAnsi="Times New Roman"/>
          <w:color w:val="000000"/>
          <w:lang w:val="en-GB"/>
        </w:rPr>
        <w:t>ly induced shift in molecular weight (Helms et al., 2008)</w:t>
      </w:r>
      <w:r w:rsidRPr="006E1463">
        <w:rPr>
          <w:rFonts w:ascii="Times New Roman" w:hAnsi="Times New Roman"/>
          <w:color w:val="000000"/>
          <w:lang w:val="en-GB"/>
        </w:rPr>
        <w:t>,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w:t>
      </w:r>
      <w:r>
        <w:rPr>
          <w:rFonts w:ascii="Times New Roman" w:hAnsi="Times New Roman"/>
          <w:color w:val="000000"/>
          <w:lang w:val="en-GB"/>
        </w:rPr>
        <w:t xml:space="preserve">can also be used as an </w:t>
      </w:r>
      <w:r w:rsidRPr="006E1463">
        <w:rPr>
          <w:rFonts w:ascii="Times New Roman" w:hAnsi="Times New Roman"/>
          <w:color w:val="000000"/>
          <w:lang w:val="en-GB"/>
        </w:rPr>
        <w:t>indicat</w:t>
      </w:r>
      <w:r>
        <w:rPr>
          <w:rFonts w:ascii="Times New Roman" w:hAnsi="Times New Roman"/>
          <w:color w:val="000000"/>
          <w:lang w:val="en-GB"/>
        </w:rPr>
        <w:t>or of phytoplankton</w:t>
      </w:r>
      <w:r w:rsidRPr="006E1463">
        <w:rPr>
          <w:rFonts w:ascii="Times New Roman" w:hAnsi="Times New Roman"/>
          <w:color w:val="000000"/>
          <w:lang w:val="en-GB"/>
        </w:rPr>
        <w:t xml:space="preserve"> biomass, </w:t>
      </w:r>
      <w:r>
        <w:rPr>
          <w:rFonts w:ascii="Times New Roman" w:hAnsi="Times New Roman"/>
          <w:color w:val="000000"/>
          <w:lang w:val="en-GB"/>
        </w:rPr>
        <w:t>leading to</w:t>
      </w:r>
      <w:r w:rsidRPr="006E1463">
        <w:rPr>
          <w:rFonts w:ascii="Times New Roman" w:hAnsi="Times New Roman"/>
          <w:color w:val="000000"/>
          <w:lang w:val="en-GB"/>
        </w:rPr>
        <w:t xml:space="preserve"> increas</w:t>
      </w:r>
      <w:r>
        <w:rPr>
          <w:rFonts w:ascii="Times New Roman" w:hAnsi="Times New Roman"/>
          <w:color w:val="000000"/>
          <w:lang w:val="en-GB"/>
        </w:rPr>
        <w:t>e in</w:t>
      </w:r>
      <w:r w:rsidRPr="006E1463">
        <w:rPr>
          <w:rFonts w:ascii="Times New Roman" w:hAnsi="Times New Roman"/>
          <w:color w:val="000000"/>
          <w:lang w:val="en-GB"/>
        </w:rPr>
        <w:t xml:space="preserve"> autochthonous OM </w:t>
      </w:r>
      <w:r>
        <w:rPr>
          <w:rFonts w:ascii="Times New Roman" w:hAnsi="Times New Roman"/>
          <w:color w:val="000000"/>
          <w:lang w:val="en-GB"/>
        </w:rPr>
        <w:t>that</w:t>
      </w:r>
      <w:r w:rsidRPr="006E1463">
        <w:rPr>
          <w:rFonts w:ascii="Times New Roman" w:hAnsi="Times New Roman"/>
          <w:color w:val="000000"/>
          <w:lang w:val="en-GB"/>
        </w:rPr>
        <w:t xml:space="preserve"> contain</w:t>
      </w:r>
      <w:r>
        <w:rPr>
          <w:rFonts w:ascii="Times New Roman" w:hAnsi="Times New Roman"/>
          <w:color w:val="000000"/>
          <w:lang w:val="en-GB"/>
        </w:rPr>
        <w:t>s</w:t>
      </w:r>
      <w:r w:rsidRPr="006E1463">
        <w:rPr>
          <w:rFonts w:ascii="Times New Roman" w:hAnsi="Times New Roman"/>
          <w:color w:val="000000"/>
          <w:lang w:val="en-GB"/>
        </w:rPr>
        <w:t xml:space="preserve"> a higher proportion of low molecular weight compounds </w:t>
      </w:r>
      <w:r w:rsidRPr="006E1463">
        <w:rPr>
          <w:rFonts w:ascii="Times New Roman" w:hAnsi="Times New Roman"/>
          <w:noProof/>
          <w:color w:val="000000"/>
          <w:lang w:val="en-GB"/>
        </w:rPr>
        <w:t>(Santos-Echeandía et al., 2012; Zhang et al., 2013b)</w:t>
      </w:r>
      <w:r w:rsidRPr="006E1463">
        <w:rPr>
          <w:rFonts w:ascii="Times New Roman" w:hAnsi="Times New Roman"/>
          <w:color w:val="000000"/>
          <w:lang w:val="en-GB"/>
        </w:rPr>
        <w:t>. A significant increase in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at stations W3 and W4 (Figure 3</w:t>
      </w:r>
      <w:r w:rsidR="007A0936">
        <w:rPr>
          <w:rFonts w:ascii="Times New Roman" w:hAnsi="Times New Roman"/>
          <w:color w:val="000000"/>
          <w:lang w:val="en-GB"/>
        </w:rPr>
        <w:t>B</w:t>
      </w:r>
      <w:r w:rsidRPr="006E1463">
        <w:rPr>
          <w:rFonts w:ascii="Times New Roman" w:hAnsi="Times New Roman"/>
          <w:color w:val="000000"/>
          <w:lang w:val="en-GB"/>
        </w:rPr>
        <w:t xml:space="preserve">) </w:t>
      </w:r>
      <w:r>
        <w:rPr>
          <w:rFonts w:ascii="Times New Roman" w:hAnsi="Times New Roman"/>
          <w:color w:val="000000"/>
          <w:lang w:val="en-GB"/>
        </w:rPr>
        <w:t>also suggests</w:t>
      </w:r>
      <w:r w:rsidRPr="006E1463">
        <w:rPr>
          <w:rFonts w:ascii="Times New Roman" w:hAnsi="Times New Roman"/>
          <w:color w:val="000000"/>
          <w:lang w:val="en-GB"/>
        </w:rPr>
        <w:t xml:space="preserve"> </w:t>
      </w:r>
      <w:r>
        <w:rPr>
          <w:rFonts w:ascii="Times New Roman" w:hAnsi="Times New Roman"/>
          <w:color w:val="000000"/>
          <w:lang w:val="en-GB"/>
        </w:rPr>
        <w:t xml:space="preserve">an increase in </w:t>
      </w:r>
      <w:r w:rsidRPr="006E1463">
        <w:rPr>
          <w:rFonts w:ascii="Times New Roman" w:hAnsi="Times New Roman"/>
          <w:color w:val="000000"/>
          <w:lang w:val="en-GB"/>
        </w:rPr>
        <w:t>phytoplankton primar</w:t>
      </w:r>
      <w:r>
        <w:rPr>
          <w:rFonts w:ascii="Times New Roman" w:hAnsi="Times New Roman"/>
          <w:color w:val="000000"/>
          <w:lang w:val="en-GB"/>
        </w:rPr>
        <w:t>y production</w:t>
      </w:r>
      <w:r w:rsidRPr="006E1463">
        <w:rPr>
          <w:rFonts w:ascii="Times New Roman" w:hAnsi="Times New Roman"/>
          <w:color w:val="000000"/>
          <w:lang w:val="en-GB"/>
        </w:rPr>
        <w:t xml:space="preserve">. </w:t>
      </w:r>
      <w:r>
        <w:rPr>
          <w:rFonts w:ascii="Times New Roman" w:hAnsi="Times New Roman"/>
          <w:color w:val="000000"/>
          <w:lang w:val="en-GB"/>
        </w:rPr>
        <w:t>T</w:t>
      </w:r>
      <w:r w:rsidRPr="006E1463">
        <w:rPr>
          <w:rFonts w:ascii="Times New Roman" w:hAnsi="Times New Roman"/>
          <w:color w:val="000000"/>
          <w:lang w:val="en-GB"/>
        </w:rPr>
        <w:t>he statistically significant negative correlation between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and the </w:t>
      </w:r>
      <w:r>
        <w:rPr>
          <w:rFonts w:ascii="Times New Roman" w:hAnsi="Times New Roman"/>
          <w:color w:val="000000"/>
          <w:lang w:val="en-GB"/>
        </w:rPr>
        <w:t>L</w:t>
      </w:r>
      <w:r w:rsidRPr="006E1463">
        <w:rPr>
          <w:rFonts w:ascii="Times New Roman" w:hAnsi="Times New Roman"/>
          <w:color w:val="000000"/>
          <w:lang w:val="en-GB"/>
        </w:rPr>
        <w:t>ipi</w:t>
      </w:r>
      <w:r>
        <w:rPr>
          <w:rFonts w:ascii="Times New Roman" w:hAnsi="Times New Roman"/>
          <w:color w:val="000000"/>
          <w:lang w:val="en-GB"/>
        </w:rPr>
        <w:t xml:space="preserve">d:PIG ratio (Figure 9) underlines that primary production was directed toward the production of lower molecular weight </w:t>
      </w:r>
      <w:r w:rsidRPr="006E1463">
        <w:rPr>
          <w:rFonts w:ascii="Times New Roman" w:hAnsi="Times New Roman"/>
          <w:color w:val="000000"/>
          <w:lang w:val="en-GB"/>
        </w:rPr>
        <w:t>OM</w:t>
      </w:r>
      <w:r>
        <w:rPr>
          <w:rFonts w:ascii="Times New Roman" w:hAnsi="Times New Roman"/>
          <w:color w:val="000000"/>
          <w:lang w:val="en-GB"/>
        </w:rPr>
        <w:t xml:space="preserve"> by phytoplankton</w:t>
      </w:r>
      <w:r w:rsidRPr="006E1463">
        <w:rPr>
          <w:rFonts w:ascii="Times New Roman" w:hAnsi="Times New Roman"/>
          <w:color w:val="000000"/>
          <w:lang w:val="en-GB"/>
        </w:rPr>
        <w:t xml:space="preserve"> grow</w:t>
      </w:r>
      <w:r>
        <w:rPr>
          <w:rFonts w:ascii="Times New Roman" w:hAnsi="Times New Roman"/>
          <w:color w:val="000000"/>
          <w:lang w:val="en-GB"/>
        </w:rPr>
        <w:t>ing</w:t>
      </w:r>
      <w:r w:rsidRPr="006E1463">
        <w:rPr>
          <w:rFonts w:ascii="Times New Roman" w:hAnsi="Times New Roman"/>
          <w:color w:val="000000"/>
          <w:lang w:val="en-GB"/>
        </w:rPr>
        <w:t xml:space="preserve"> under favourable environmental conditions.  </w:t>
      </w:r>
    </w:p>
    <w:p w14:paraId="5F5D3A44" w14:textId="77777777" w:rsidR="009A3A8B" w:rsidRDefault="009A3A8B" w:rsidP="009A3A8B">
      <w:pPr>
        <w:spacing w:after="0" w:line="360" w:lineRule="auto"/>
        <w:ind w:firstLine="708"/>
        <w:rPr>
          <w:rFonts w:ascii="Times New Roman" w:hAnsi="Times New Roman"/>
          <w:color w:val="000000"/>
          <w:lang w:val="en-GB"/>
        </w:rPr>
      </w:pPr>
      <w:r>
        <w:rPr>
          <w:rFonts w:ascii="Times New Roman" w:hAnsi="Times New Roman"/>
          <w:color w:val="000000"/>
          <w:lang w:val="en-GB"/>
        </w:rPr>
        <w:t xml:space="preserve">The lowest observed </w:t>
      </w:r>
      <w:r w:rsidRPr="006E1463">
        <w:rPr>
          <w:rFonts w:ascii="Times New Roman" w:hAnsi="Times New Roman"/>
          <w:color w:val="000000"/>
          <w:lang w:val="en-GB"/>
        </w:rPr>
        <w:t>(M+T):(A+C)</w:t>
      </w:r>
      <w:r>
        <w:rPr>
          <w:rFonts w:ascii="Times New Roman" w:hAnsi="Times New Roman"/>
          <w:color w:val="000000"/>
          <w:lang w:val="en-GB"/>
        </w:rPr>
        <w:t xml:space="preserve"> ratio that was determined at station W1 in the ULW provide a slight indication of higher contribution of terrestrial humic substances of high molecular weight. However, based on the </w:t>
      </w:r>
      <w:r w:rsidRPr="006E1463">
        <w:rPr>
          <w:rFonts w:ascii="Times New Roman" w:hAnsi="Times New Roman"/>
          <w:color w:val="000000"/>
          <w:lang w:val="en-GB"/>
        </w:rPr>
        <w:t>(M+T):(A+C)</w:t>
      </w:r>
      <w:r>
        <w:rPr>
          <w:rFonts w:ascii="Times New Roman" w:hAnsi="Times New Roman"/>
          <w:color w:val="000000"/>
          <w:lang w:val="en-GB"/>
        </w:rPr>
        <w:t xml:space="preserve"> ratios, which averaged 0.57 in the SML and 0.56 in the ULW, OM can only be classified as being of mixed marine and terrestrial/anthropogenic origin (Drozdowska et al., 2015, Osburn et al., 2014). Another indication of the dominance of </w:t>
      </w:r>
      <w:r w:rsidRPr="008E5D49">
        <w:rPr>
          <w:rFonts w:ascii="Times New Roman" w:hAnsi="Times New Roman"/>
          <w:color w:val="000000"/>
          <w:lang w:val="en-GB"/>
        </w:rPr>
        <w:t>higher molecular weight terrestrial</w:t>
      </w:r>
      <w:r>
        <w:rPr>
          <w:rFonts w:ascii="Times New Roman" w:hAnsi="Times New Roman"/>
          <w:color w:val="000000"/>
          <w:lang w:val="en-GB"/>
        </w:rPr>
        <w:t xml:space="preserve"> OM at stations W1 and W2 was the lowest observed </w:t>
      </w:r>
      <w:r w:rsidRPr="006E1463">
        <w:rPr>
          <w:rFonts w:ascii="Times New Roman" w:hAnsi="Times New Roman"/>
          <w:color w:val="000000"/>
          <w:lang w:val="en-GB"/>
        </w:rPr>
        <w:t>S</w:t>
      </w:r>
      <w:r w:rsidRPr="006E1463">
        <w:rPr>
          <w:rFonts w:ascii="Times New Roman" w:hAnsi="Times New Roman"/>
          <w:color w:val="000000"/>
          <w:vertAlign w:val="subscript"/>
          <w:lang w:val="en-GB"/>
        </w:rPr>
        <w:t>R</w:t>
      </w:r>
      <w:r>
        <w:rPr>
          <w:rFonts w:ascii="Times New Roman" w:hAnsi="Times New Roman"/>
          <w:color w:val="000000"/>
          <w:lang w:val="en-GB"/>
        </w:rPr>
        <w:t xml:space="preserve"> slope ratio determined for the ULW and SML. </w:t>
      </w:r>
    </w:p>
    <w:p w14:paraId="16913AF7" w14:textId="77777777" w:rsidR="009A3A8B" w:rsidRPr="006E1463" w:rsidRDefault="009A3A8B" w:rsidP="009A3A8B">
      <w:pPr>
        <w:spacing w:after="0" w:line="360" w:lineRule="auto"/>
        <w:ind w:firstLine="708"/>
        <w:rPr>
          <w:rFonts w:ascii="Times New Roman" w:hAnsi="Times New Roman"/>
          <w:color w:val="000000"/>
          <w:lang w:val="en-GB"/>
        </w:rPr>
      </w:pPr>
      <w:r w:rsidRPr="006E1463">
        <w:rPr>
          <w:rFonts w:ascii="Times New Roman" w:hAnsi="Times New Roman"/>
          <w:color w:val="000000"/>
          <w:lang w:val="en-GB"/>
        </w:rPr>
        <w:t>Wax esters</w:t>
      </w:r>
      <w:r>
        <w:rPr>
          <w:rFonts w:ascii="Times New Roman" w:hAnsi="Times New Roman"/>
          <w:color w:val="000000"/>
          <w:lang w:val="en-GB"/>
        </w:rPr>
        <w:t>,</w:t>
      </w:r>
      <w:r w:rsidRPr="006E1463">
        <w:rPr>
          <w:rFonts w:ascii="Times New Roman" w:hAnsi="Times New Roman"/>
          <w:color w:val="000000"/>
          <w:lang w:val="en-GB"/>
        </w:rPr>
        <w:t xml:space="preserve"> primarily reserve lipids of zooplankton with amphiphilic properties, may dominate the reserve lipid pool in freshwater zooplankton </w:t>
      </w:r>
      <w:r w:rsidRPr="006E1463">
        <w:rPr>
          <w:rFonts w:ascii="Times New Roman" w:hAnsi="Times New Roman"/>
          <w:noProof/>
          <w:color w:val="000000"/>
          <w:lang w:val="en-GB"/>
        </w:rPr>
        <w:t>(Arts, 1999)</w:t>
      </w:r>
      <w:r w:rsidRPr="006E1463">
        <w:rPr>
          <w:rFonts w:ascii="Times New Roman" w:hAnsi="Times New Roman"/>
          <w:color w:val="000000"/>
          <w:lang w:val="en-GB"/>
        </w:rPr>
        <w:t xml:space="preserve">. The WE detected in our samples </w:t>
      </w:r>
      <w:r>
        <w:rPr>
          <w:rFonts w:ascii="Times New Roman" w:hAnsi="Times New Roman"/>
          <w:color w:val="000000"/>
          <w:lang w:val="en-GB"/>
        </w:rPr>
        <w:t>most likely</w:t>
      </w:r>
      <w:r w:rsidRPr="006E1463">
        <w:rPr>
          <w:rFonts w:ascii="Times New Roman" w:hAnsi="Times New Roman"/>
          <w:color w:val="000000"/>
          <w:lang w:val="en-GB"/>
        </w:rPr>
        <w:t xml:space="preserve"> originate</w:t>
      </w:r>
      <w:r>
        <w:rPr>
          <w:rFonts w:ascii="Times New Roman" w:hAnsi="Times New Roman"/>
          <w:color w:val="000000"/>
          <w:lang w:val="en-GB"/>
        </w:rPr>
        <w:t>d</w:t>
      </w:r>
      <w:r w:rsidRPr="006E1463">
        <w:rPr>
          <w:rFonts w:ascii="Times New Roman" w:hAnsi="Times New Roman"/>
          <w:color w:val="000000"/>
          <w:lang w:val="en-GB"/>
        </w:rPr>
        <w:t xml:space="preserve"> from the microzooplankton</w:t>
      </w:r>
      <w:r>
        <w:rPr>
          <w:rFonts w:ascii="Times New Roman" w:hAnsi="Times New Roman"/>
          <w:color w:val="000000"/>
          <w:lang w:val="en-GB"/>
        </w:rPr>
        <w:t xml:space="preserve">, </w:t>
      </w:r>
      <w:r w:rsidRPr="00C451CA">
        <w:rPr>
          <w:rFonts w:ascii="Times New Roman" w:hAnsi="Times New Roman"/>
          <w:color w:val="000000"/>
          <w:lang w:val="en-GB"/>
        </w:rPr>
        <w:t>since the samples were prefiltered</w:t>
      </w:r>
      <w:r>
        <w:rPr>
          <w:rFonts w:ascii="Times New Roman" w:hAnsi="Times New Roman"/>
          <w:color w:val="000000"/>
          <w:lang w:val="en-GB"/>
        </w:rPr>
        <w:t xml:space="preserve"> </w:t>
      </w:r>
      <w:r w:rsidRPr="006E1463">
        <w:rPr>
          <w:rFonts w:ascii="Times New Roman" w:hAnsi="Times New Roman"/>
          <w:color w:val="000000"/>
          <w:lang w:val="en-GB"/>
        </w:rPr>
        <w:t xml:space="preserve">with a net with a pore size of 200 µm. The active movement of </w:t>
      </w:r>
      <w:r>
        <w:rPr>
          <w:rFonts w:ascii="Times New Roman" w:hAnsi="Times New Roman"/>
          <w:color w:val="000000"/>
          <w:lang w:val="en-GB"/>
        </w:rPr>
        <w:t>micro</w:t>
      </w:r>
      <w:r w:rsidRPr="006E1463">
        <w:rPr>
          <w:rFonts w:ascii="Times New Roman" w:hAnsi="Times New Roman"/>
          <w:color w:val="000000"/>
          <w:lang w:val="en-GB"/>
        </w:rPr>
        <w:t xml:space="preserve">zooplankton toward a richer food source in SML resulted in </w:t>
      </w:r>
      <w:r>
        <w:rPr>
          <w:rFonts w:ascii="Times New Roman" w:hAnsi="Times New Roman"/>
          <w:color w:val="000000"/>
          <w:lang w:val="en-GB"/>
        </w:rPr>
        <w:t xml:space="preserve">WE having one of the highest </w:t>
      </w:r>
      <w:r w:rsidRPr="006E1463">
        <w:rPr>
          <w:rFonts w:ascii="Times New Roman" w:hAnsi="Times New Roman"/>
          <w:color w:val="000000"/>
          <w:lang w:val="en-GB"/>
        </w:rPr>
        <w:t>enrichment</w:t>
      </w:r>
      <w:r>
        <w:rPr>
          <w:rFonts w:ascii="Times New Roman" w:hAnsi="Times New Roman"/>
          <w:color w:val="000000"/>
          <w:lang w:val="en-GB"/>
        </w:rPr>
        <w:t>s in the SML compared to all other lipid classes</w:t>
      </w:r>
      <w:r w:rsidRPr="00C451CA">
        <w:rPr>
          <w:rFonts w:ascii="Times New Roman" w:hAnsi="Times New Roman"/>
          <w:color w:val="000000"/>
          <w:lang w:val="en-GB"/>
        </w:rPr>
        <w:t xml:space="preserve"> </w:t>
      </w:r>
      <w:r>
        <w:rPr>
          <w:rFonts w:ascii="Times New Roman" w:hAnsi="Times New Roman"/>
          <w:color w:val="000000"/>
          <w:lang w:val="en-GB"/>
        </w:rPr>
        <w:t>analysed</w:t>
      </w:r>
      <w:r w:rsidRPr="006E1463">
        <w:rPr>
          <w:rFonts w:ascii="Times New Roman" w:hAnsi="Times New Roman"/>
          <w:color w:val="000000"/>
          <w:lang w:val="en-GB"/>
        </w:rPr>
        <w:t>.</w:t>
      </w:r>
    </w:p>
    <w:p w14:paraId="5C8FDDA9" w14:textId="77777777" w:rsidR="00BD6678" w:rsidRPr="006E1463" w:rsidRDefault="00BD6678" w:rsidP="00D72BE1">
      <w:pPr>
        <w:pStyle w:val="NoSpacing"/>
        <w:spacing w:line="360" w:lineRule="auto"/>
        <w:rPr>
          <w:color w:val="000000"/>
          <w:lang w:val="en-GB" w:bidi="en-US"/>
        </w:rPr>
      </w:pPr>
    </w:p>
    <w:p w14:paraId="1637849F" w14:textId="77777777" w:rsidR="005C7755" w:rsidRPr="006E1463" w:rsidRDefault="0071252C" w:rsidP="00D72BE1">
      <w:pPr>
        <w:pStyle w:val="Heading2"/>
      </w:pPr>
      <w:r w:rsidRPr="006E1463">
        <w:t>5</w:t>
      </w:r>
      <w:r w:rsidR="00AA476D" w:rsidRPr="006E1463">
        <w:t>.</w:t>
      </w:r>
      <w:r w:rsidR="00BD1A1A" w:rsidRPr="006E1463">
        <w:t xml:space="preserve"> </w:t>
      </w:r>
      <w:r w:rsidR="008D138F" w:rsidRPr="006E1463">
        <w:t>Conclusions</w:t>
      </w:r>
    </w:p>
    <w:p w14:paraId="6AE794A3" w14:textId="77777777" w:rsidR="00FB41F4" w:rsidRPr="006E1463" w:rsidRDefault="00FB41F4" w:rsidP="00D72BE1">
      <w:pPr>
        <w:spacing w:after="0" w:line="360" w:lineRule="auto"/>
        <w:rPr>
          <w:rFonts w:ascii="Times New Roman" w:hAnsi="Times New Roman"/>
          <w:color w:val="000000"/>
          <w:lang w:val="en-GB"/>
        </w:rPr>
      </w:pPr>
    </w:p>
    <w:p w14:paraId="513E18FD" w14:textId="77777777" w:rsidR="00387DC2" w:rsidRDefault="000D2403" w:rsidP="000D2403">
      <w:pPr>
        <w:pStyle w:val="NoSpacing"/>
        <w:spacing w:line="360" w:lineRule="auto"/>
        <w:rPr>
          <w:rFonts w:ascii="Times New Roman" w:hAnsi="Times New Roman"/>
          <w:color w:val="000000"/>
          <w:lang w:val="en-GB" w:bidi="en-US"/>
        </w:rPr>
      </w:pPr>
      <w:r>
        <w:rPr>
          <w:rFonts w:ascii="Times New Roman" w:hAnsi="Times New Roman"/>
          <w:color w:val="000000"/>
          <w:lang w:val="en-GB" w:bidi="en-US"/>
        </w:rPr>
        <w:lastRenderedPageBreak/>
        <w:t>C</w:t>
      </w:r>
      <w:r w:rsidRPr="006E1463">
        <w:rPr>
          <w:rFonts w:ascii="Times New Roman" w:hAnsi="Times New Roman"/>
          <w:color w:val="000000"/>
          <w:lang w:val="en-GB" w:bidi="en-US"/>
        </w:rPr>
        <w:t>haracterization</w:t>
      </w:r>
      <w:r>
        <w:rPr>
          <w:rFonts w:ascii="Times New Roman" w:hAnsi="Times New Roman"/>
          <w:color w:val="000000"/>
          <w:lang w:val="en-GB" w:bidi="en-US"/>
        </w:rPr>
        <w:t xml:space="preserve"> of OM along the transect in the eutrophic coastal area of the Gulf of Gdansk, partially encompassing the Vistula River plume, provided insights into the</w:t>
      </w:r>
      <w:r>
        <w:rPr>
          <w:rFonts w:ascii="Times New Roman" w:hAnsi="Times New Roman"/>
          <w:color w:val="000000"/>
          <w:lang w:val="en-GB"/>
        </w:rPr>
        <w:t xml:space="preserve"> biogeochemical processes affecting the OM distribution in the SML and ULW.</w:t>
      </w:r>
      <w:r w:rsidRPr="006E1463">
        <w:rPr>
          <w:rFonts w:ascii="Times New Roman" w:hAnsi="Times New Roman"/>
          <w:color w:val="000000"/>
          <w:lang w:val="en-GB" w:bidi="en-US"/>
        </w:rPr>
        <w:t xml:space="preserve"> </w:t>
      </w:r>
    </w:p>
    <w:p w14:paraId="565191C7" w14:textId="77777777" w:rsidR="000D2403" w:rsidRDefault="000D2403" w:rsidP="000D2403">
      <w:pPr>
        <w:pStyle w:val="NoSpacing"/>
        <w:spacing w:line="360" w:lineRule="auto"/>
        <w:rPr>
          <w:rFonts w:ascii="Times New Roman" w:hAnsi="Times New Roman"/>
          <w:iCs/>
          <w:color w:val="000000"/>
          <w:lang w:val="en-GB"/>
        </w:rPr>
      </w:pPr>
      <w:r>
        <w:rPr>
          <w:rFonts w:ascii="Times New Roman" w:hAnsi="Times New Roman"/>
          <w:color w:val="000000"/>
          <w:lang w:val="en-GB" w:bidi="en-US"/>
        </w:rPr>
        <w:t>The r</w:t>
      </w:r>
      <w:r w:rsidRPr="006E1463">
        <w:rPr>
          <w:rFonts w:ascii="Times New Roman" w:hAnsi="Times New Roman"/>
          <w:color w:val="000000"/>
          <w:lang w:val="en-GB" w:bidi="en-US"/>
        </w:rPr>
        <w:t xml:space="preserve">apid establishment of SML </w:t>
      </w:r>
      <w:r w:rsidRPr="006E1463">
        <w:rPr>
          <w:rFonts w:ascii="Times New Roman" w:hAnsi="Times New Roman"/>
          <w:color w:val="000000"/>
          <w:lang w:val="en-GB"/>
        </w:rPr>
        <w:t xml:space="preserve">in </w:t>
      </w:r>
      <w:r>
        <w:rPr>
          <w:rFonts w:ascii="Times New Roman" w:hAnsi="Times New Roman"/>
          <w:color w:val="000000"/>
          <w:lang w:val="en-GB"/>
        </w:rPr>
        <w:t>strong</w:t>
      </w:r>
      <w:r w:rsidRPr="006E1463">
        <w:rPr>
          <w:rFonts w:ascii="Times New Roman" w:hAnsi="Times New Roman"/>
          <w:color w:val="000000"/>
          <w:lang w:val="en-GB"/>
        </w:rPr>
        <w:t xml:space="preserve"> winds </w:t>
      </w:r>
      <w:r>
        <w:rPr>
          <w:rFonts w:ascii="Times New Roman" w:hAnsi="Times New Roman"/>
          <w:color w:val="000000"/>
          <w:lang w:val="en-GB"/>
        </w:rPr>
        <w:t xml:space="preserve">was confirmed by </w:t>
      </w:r>
      <w:r>
        <w:rPr>
          <w:rFonts w:ascii="Times New Roman" w:hAnsi="Times New Roman"/>
          <w:color w:val="000000"/>
          <w:lang w:val="en-GB" w:bidi="en-US"/>
        </w:rPr>
        <w:t>t</w:t>
      </w:r>
      <w:r w:rsidRPr="006E1463">
        <w:rPr>
          <w:rFonts w:ascii="Times New Roman" w:hAnsi="Times New Roman"/>
          <w:color w:val="000000"/>
          <w:lang w:val="en-GB" w:bidi="en-US"/>
        </w:rPr>
        <w:t xml:space="preserve">he enrichment of SAS </w:t>
      </w:r>
      <w:r w:rsidRPr="000D2403">
        <w:rPr>
          <w:rFonts w:ascii="Times New Roman" w:hAnsi="Times New Roman"/>
          <w:color w:val="000000"/>
          <w:lang w:val="en-GB" w:bidi="en-US"/>
        </w:rPr>
        <w:t>and POC detected</w:t>
      </w:r>
      <w:r w:rsidRPr="006E1463">
        <w:rPr>
          <w:rFonts w:ascii="Times New Roman" w:hAnsi="Times New Roman"/>
          <w:color w:val="000000"/>
          <w:lang w:val="en-GB" w:bidi="en-US"/>
        </w:rPr>
        <w:t xml:space="preserve"> </w:t>
      </w:r>
      <w:r>
        <w:rPr>
          <w:rFonts w:ascii="Times New Roman" w:hAnsi="Times New Roman"/>
          <w:color w:val="000000"/>
          <w:lang w:val="en-GB" w:bidi="en-US"/>
        </w:rPr>
        <w:t>even at the highest wind speeds and throughout the</w:t>
      </w:r>
      <w:r w:rsidRPr="006E1463">
        <w:rPr>
          <w:rFonts w:ascii="Times New Roman" w:hAnsi="Times New Roman"/>
          <w:color w:val="000000"/>
          <w:lang w:val="en-GB" w:bidi="en-US"/>
        </w:rPr>
        <w:t xml:space="preserve"> transect</w:t>
      </w:r>
      <w:r>
        <w:rPr>
          <w:rFonts w:ascii="Times New Roman" w:hAnsi="Times New Roman"/>
          <w:color w:val="000000"/>
          <w:lang w:val="en-GB" w:bidi="en-US"/>
        </w:rPr>
        <w:t xml:space="preserve">, while the highly positive, </w:t>
      </w:r>
      <w:r>
        <w:rPr>
          <w:rFonts w:ascii="Times New Roman" w:hAnsi="Times New Roman"/>
          <w:iCs/>
          <w:color w:val="000000"/>
          <w:lang w:val="en-GB"/>
        </w:rPr>
        <w:t>statistically significant correlation between SAS</w:t>
      </w:r>
      <w:r w:rsidRPr="00024A6B">
        <w:rPr>
          <w:rFonts w:ascii="Times New Roman" w:hAnsi="Times New Roman"/>
          <w:iCs/>
          <w:color w:val="000000"/>
          <w:lang w:val="en-GB"/>
        </w:rPr>
        <w:t xml:space="preserve"> </w:t>
      </w:r>
      <w:r w:rsidRPr="006E1463">
        <w:rPr>
          <w:rFonts w:ascii="Times New Roman" w:hAnsi="Times New Roman"/>
          <w:iCs/>
          <w:color w:val="000000"/>
          <w:lang w:val="en-GB"/>
        </w:rPr>
        <w:t>concentrations in the SML and ULW</w:t>
      </w:r>
      <w:r>
        <w:rPr>
          <w:rFonts w:ascii="Times New Roman" w:hAnsi="Times New Roman"/>
          <w:iCs/>
          <w:color w:val="000000"/>
          <w:lang w:val="en-GB"/>
        </w:rPr>
        <w:t xml:space="preserve"> indicate the rapid resupply of SAS in the SML from the ULW. </w:t>
      </w:r>
    </w:p>
    <w:p w14:paraId="12526067" w14:textId="77777777" w:rsidR="00A06F4C" w:rsidRDefault="000D2403" w:rsidP="000D2403">
      <w:pPr>
        <w:pStyle w:val="NoSpacing"/>
        <w:spacing w:line="360" w:lineRule="auto"/>
        <w:rPr>
          <w:rFonts w:ascii="Times New Roman" w:hAnsi="Times New Roman"/>
          <w:color w:val="000000"/>
          <w:lang w:val="en-GB"/>
        </w:rPr>
      </w:pPr>
      <w:r>
        <w:rPr>
          <w:rFonts w:ascii="Times New Roman" w:hAnsi="Times New Roman"/>
          <w:color w:val="000000"/>
          <w:lang w:val="en-GB" w:bidi="en-US"/>
        </w:rPr>
        <w:t>Due to the wind blowing before and during the campaign, the small influence exerted by the Vistula River within the studied transect was limit</w:t>
      </w:r>
      <w:r w:rsidRPr="006E1463">
        <w:rPr>
          <w:rFonts w:ascii="Times New Roman" w:hAnsi="Times New Roman"/>
          <w:color w:val="000000"/>
          <w:lang w:val="en-GB" w:bidi="en-US"/>
        </w:rPr>
        <w:t xml:space="preserve">ed to a </w:t>
      </w:r>
      <w:r>
        <w:rPr>
          <w:rFonts w:ascii="Times New Roman" w:hAnsi="Times New Roman"/>
          <w:color w:val="000000"/>
          <w:lang w:val="en-GB" w:bidi="en-US"/>
        </w:rPr>
        <w:t xml:space="preserve">few kilometres </w:t>
      </w:r>
      <w:r w:rsidRPr="006E1463">
        <w:rPr>
          <w:rFonts w:ascii="Times New Roman" w:hAnsi="Times New Roman"/>
          <w:color w:val="000000"/>
          <w:lang w:val="en-GB" w:bidi="en-US"/>
        </w:rPr>
        <w:t>nar</w:t>
      </w:r>
      <w:r>
        <w:rPr>
          <w:rFonts w:ascii="Times New Roman" w:hAnsi="Times New Roman"/>
          <w:color w:val="000000"/>
          <w:lang w:val="en-GB" w:bidi="en-US"/>
        </w:rPr>
        <w:t>r</w:t>
      </w:r>
      <w:r w:rsidRPr="006E1463">
        <w:rPr>
          <w:rFonts w:ascii="Times New Roman" w:hAnsi="Times New Roman"/>
          <w:color w:val="000000"/>
          <w:lang w:val="en-GB" w:bidi="en-US"/>
        </w:rPr>
        <w:t xml:space="preserve">ow area </w:t>
      </w:r>
      <w:r>
        <w:rPr>
          <w:rFonts w:ascii="Times New Roman" w:hAnsi="Times New Roman"/>
          <w:color w:val="000000"/>
          <w:lang w:val="en-GB" w:bidi="en-US"/>
        </w:rPr>
        <w:t>near</w:t>
      </w:r>
      <w:r w:rsidRPr="006E1463">
        <w:rPr>
          <w:rFonts w:ascii="Times New Roman" w:hAnsi="Times New Roman"/>
          <w:color w:val="000000"/>
          <w:lang w:val="en-GB" w:bidi="en-US"/>
        </w:rPr>
        <w:t xml:space="preserve"> the river mouth (stations W1 and</w:t>
      </w:r>
      <w:r>
        <w:rPr>
          <w:rFonts w:ascii="Times New Roman" w:hAnsi="Times New Roman"/>
          <w:color w:val="000000"/>
          <w:lang w:val="en-GB" w:bidi="en-US"/>
        </w:rPr>
        <w:t xml:space="preserve"> somewhat</w:t>
      </w:r>
      <w:r w:rsidRPr="006E1463">
        <w:rPr>
          <w:rFonts w:ascii="Times New Roman" w:hAnsi="Times New Roman"/>
          <w:color w:val="000000"/>
          <w:lang w:val="en-GB" w:bidi="en-US"/>
        </w:rPr>
        <w:t xml:space="preserve"> W2)</w:t>
      </w:r>
      <w:r>
        <w:rPr>
          <w:rFonts w:ascii="Times New Roman" w:hAnsi="Times New Roman"/>
          <w:color w:val="000000"/>
          <w:lang w:val="en-GB" w:bidi="en-US"/>
        </w:rPr>
        <w:t>, as shown</w:t>
      </w:r>
      <w:r w:rsidR="00CB6E98">
        <w:rPr>
          <w:rFonts w:ascii="Times New Roman" w:hAnsi="Times New Roman"/>
          <w:color w:val="000000"/>
          <w:lang w:val="en-GB" w:bidi="en-US"/>
        </w:rPr>
        <w:t xml:space="preserve"> mainly</w:t>
      </w:r>
      <w:r>
        <w:rPr>
          <w:rFonts w:ascii="Times New Roman" w:hAnsi="Times New Roman"/>
          <w:color w:val="000000"/>
          <w:lang w:val="en-GB" w:bidi="en-US"/>
        </w:rPr>
        <w:t xml:space="preserve"> by the optical properties of OM. Station W1 was characterized by</w:t>
      </w:r>
      <w:r w:rsidRPr="006E1463">
        <w:rPr>
          <w:rFonts w:ascii="Times New Roman" w:hAnsi="Times New Roman"/>
          <w:color w:val="000000"/>
          <w:lang w:val="en-GB" w:bidi="en-US"/>
        </w:rPr>
        <w:t xml:space="preserve"> </w:t>
      </w:r>
      <w:r>
        <w:rPr>
          <w:rFonts w:ascii="Times New Roman" w:hAnsi="Times New Roman"/>
          <w:color w:val="000000"/>
          <w:lang w:val="en-GB" w:bidi="en-US"/>
        </w:rPr>
        <w:t>t</w:t>
      </w:r>
      <w:r w:rsidRPr="006E1463">
        <w:rPr>
          <w:rFonts w:ascii="Times New Roman" w:hAnsi="Times New Roman"/>
          <w:color w:val="000000"/>
          <w:lang w:val="en-GB" w:bidi="en-US"/>
        </w:rPr>
        <w:t>he</w:t>
      </w:r>
      <w:r w:rsidRPr="006E1463">
        <w:rPr>
          <w:rFonts w:ascii="Times New Roman" w:hAnsi="Times New Roman"/>
          <w:color w:val="000000"/>
          <w:lang w:val="en-GB"/>
        </w:rPr>
        <w:t xml:space="preserve"> highest</w:t>
      </w:r>
      <w:r>
        <w:rPr>
          <w:rFonts w:ascii="Times New Roman" w:hAnsi="Times New Roman"/>
          <w:color w:val="000000"/>
          <w:lang w:val="en-GB"/>
        </w:rPr>
        <w:t xml:space="preserve"> values of the</w:t>
      </w:r>
      <w:r w:rsidRPr="006E1463">
        <w:rPr>
          <w:rFonts w:ascii="Times New Roman" w:hAnsi="Times New Roman"/>
          <w:color w:val="000000"/>
          <w:lang w:val="en-GB"/>
        </w:rPr>
        <w:t xml:space="preserve"> absorption coefficient at 254 nm </w:t>
      </w:r>
      <w:r>
        <w:rPr>
          <w:rFonts w:ascii="Times New Roman" w:hAnsi="Times New Roman"/>
          <w:color w:val="000000"/>
          <w:lang w:val="en-GB"/>
        </w:rPr>
        <w:t>in both</w:t>
      </w:r>
      <w:r w:rsidRPr="006E1463">
        <w:rPr>
          <w:rFonts w:ascii="Times New Roman" w:hAnsi="Times New Roman"/>
          <w:color w:val="000000"/>
          <w:lang w:val="en-GB"/>
        </w:rPr>
        <w:t xml:space="preserve"> SML and ULW, </w:t>
      </w:r>
      <w:r>
        <w:rPr>
          <w:rFonts w:ascii="Times New Roman" w:hAnsi="Times New Roman"/>
          <w:color w:val="000000"/>
          <w:lang w:val="en-GB"/>
        </w:rPr>
        <w:t>together</w:t>
      </w:r>
      <w:r w:rsidRPr="006E1463">
        <w:rPr>
          <w:rFonts w:ascii="Times New Roman" w:hAnsi="Times New Roman"/>
          <w:color w:val="000000"/>
          <w:lang w:val="en-GB"/>
        </w:rPr>
        <w:t xml:space="preserve"> with the lowest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ratio</w:t>
      </w:r>
      <w:r>
        <w:rPr>
          <w:rFonts w:ascii="Times New Roman" w:hAnsi="Times New Roman"/>
          <w:color w:val="000000"/>
          <w:lang w:val="en-GB"/>
        </w:rPr>
        <w:t>s observed at W1 and W2,</w:t>
      </w:r>
      <w:r w:rsidRPr="006E1463">
        <w:rPr>
          <w:rFonts w:ascii="Times New Roman" w:hAnsi="Times New Roman"/>
          <w:color w:val="000000"/>
          <w:lang w:val="en-GB"/>
        </w:rPr>
        <w:t xml:space="preserve"> </w:t>
      </w:r>
      <w:r>
        <w:rPr>
          <w:rFonts w:ascii="Times New Roman" w:hAnsi="Times New Roman"/>
          <w:color w:val="000000"/>
          <w:lang w:val="en-GB"/>
        </w:rPr>
        <w:t>indicating the</w:t>
      </w:r>
      <w:r w:rsidRPr="006E1463">
        <w:rPr>
          <w:rFonts w:ascii="Times New Roman" w:hAnsi="Times New Roman"/>
          <w:color w:val="000000"/>
          <w:lang w:val="en-GB"/>
        </w:rPr>
        <w:t xml:space="preserve"> highest contribution of aromatic and high molecular weight molecules</w:t>
      </w:r>
      <w:r>
        <w:rPr>
          <w:rFonts w:ascii="Times New Roman" w:hAnsi="Times New Roman"/>
          <w:color w:val="000000"/>
          <w:lang w:val="en-GB"/>
        </w:rPr>
        <w:t xml:space="preserve"> as well as </w:t>
      </w:r>
      <w:r w:rsidRPr="006E1463">
        <w:rPr>
          <w:rFonts w:ascii="Times New Roman" w:hAnsi="Times New Roman"/>
          <w:color w:val="000000"/>
          <w:lang w:val="en-GB"/>
        </w:rPr>
        <w:t>terrestrial</w:t>
      </w:r>
      <w:r>
        <w:rPr>
          <w:rFonts w:ascii="Times New Roman" w:hAnsi="Times New Roman"/>
          <w:color w:val="000000"/>
          <w:lang w:val="en-GB"/>
        </w:rPr>
        <w:t xml:space="preserve"> visible</w:t>
      </w:r>
      <w:r w:rsidRPr="006E1463">
        <w:rPr>
          <w:rFonts w:ascii="Times New Roman" w:hAnsi="Times New Roman"/>
          <w:color w:val="000000"/>
          <w:lang w:val="en-GB"/>
        </w:rPr>
        <w:t xml:space="preserve"> humic-like substances</w:t>
      </w:r>
      <w:r>
        <w:rPr>
          <w:rFonts w:ascii="Times New Roman" w:hAnsi="Times New Roman"/>
          <w:color w:val="000000"/>
          <w:lang w:val="en-GB"/>
        </w:rPr>
        <w:t>,</w:t>
      </w:r>
      <w:r w:rsidRPr="006E1463">
        <w:rPr>
          <w:rFonts w:ascii="Times New Roman" w:hAnsi="Times New Roman"/>
          <w:color w:val="000000"/>
          <w:lang w:val="en-GB"/>
        </w:rPr>
        <w:t xml:space="preserve"> </w:t>
      </w:r>
      <w:r w:rsidR="00CB6E98">
        <w:rPr>
          <w:rFonts w:ascii="Times New Roman" w:hAnsi="Times New Roman"/>
          <w:color w:val="000000"/>
          <w:lang w:val="en-GB"/>
        </w:rPr>
        <w:t>implied</w:t>
      </w:r>
      <w:r>
        <w:rPr>
          <w:rFonts w:ascii="Times New Roman" w:hAnsi="Times New Roman"/>
          <w:color w:val="000000"/>
          <w:lang w:val="en-GB"/>
        </w:rPr>
        <w:t xml:space="preserve"> by the highest observed fluorescence intensities</w:t>
      </w:r>
      <w:r w:rsidRPr="00801DCF">
        <w:rPr>
          <w:rFonts w:ascii="Times New Roman" w:hAnsi="Times New Roman"/>
          <w:color w:val="000000"/>
          <w:lang w:val="en-GB"/>
        </w:rPr>
        <w:t xml:space="preserve"> </w:t>
      </w:r>
      <w:r>
        <w:rPr>
          <w:rFonts w:ascii="Times New Roman" w:hAnsi="Times New Roman"/>
          <w:color w:val="000000"/>
          <w:lang w:val="en-GB"/>
        </w:rPr>
        <w:t>at W1 and W2</w:t>
      </w:r>
      <w:r w:rsidRPr="006E1463">
        <w:rPr>
          <w:rFonts w:ascii="Times New Roman" w:hAnsi="Times New Roman"/>
          <w:color w:val="000000"/>
          <w:lang w:val="en-GB"/>
        </w:rPr>
        <w:t>.</w:t>
      </w:r>
      <w:r>
        <w:rPr>
          <w:rFonts w:ascii="Times New Roman" w:hAnsi="Times New Roman"/>
          <w:color w:val="000000"/>
          <w:lang w:val="en-GB"/>
        </w:rPr>
        <w:t xml:space="preserve"> </w:t>
      </w:r>
      <w:r w:rsidR="00E92EF1">
        <w:rPr>
          <w:rFonts w:ascii="Times New Roman" w:hAnsi="Times New Roman"/>
          <w:color w:val="000000"/>
          <w:lang w:val="en-GB"/>
        </w:rPr>
        <w:t>T</w:t>
      </w:r>
      <w:r w:rsidR="00E92EF1" w:rsidRPr="006E1463">
        <w:rPr>
          <w:rFonts w:ascii="Times New Roman" w:hAnsi="Times New Roman"/>
          <w:color w:val="000000"/>
          <w:lang w:val="en-GB"/>
        </w:rPr>
        <w:t>he highest concentrations of total particulate lipids</w:t>
      </w:r>
      <w:r w:rsidR="00E92EF1" w:rsidRPr="00E92EF1">
        <w:rPr>
          <w:rFonts w:ascii="Times New Roman" w:hAnsi="Times New Roman"/>
          <w:color w:val="000000"/>
          <w:lang w:val="en-GB"/>
        </w:rPr>
        <w:t xml:space="preserve"> </w:t>
      </w:r>
      <w:r w:rsidR="00E92EF1" w:rsidRPr="006E1463">
        <w:rPr>
          <w:rFonts w:ascii="Times New Roman" w:hAnsi="Times New Roman"/>
          <w:color w:val="000000"/>
          <w:lang w:val="en-GB"/>
        </w:rPr>
        <w:t xml:space="preserve">in SML, </w:t>
      </w:r>
      <w:r w:rsidR="00EA619E">
        <w:rPr>
          <w:rFonts w:ascii="Times New Roman" w:hAnsi="Times New Roman"/>
          <w:color w:val="000000"/>
          <w:lang w:val="en-GB"/>
        </w:rPr>
        <w:t>especia</w:t>
      </w:r>
      <w:r w:rsidR="00EA619E" w:rsidRPr="006E1463">
        <w:rPr>
          <w:rFonts w:ascii="Times New Roman" w:hAnsi="Times New Roman"/>
          <w:color w:val="000000"/>
          <w:lang w:val="en-GB"/>
        </w:rPr>
        <w:t xml:space="preserve">lly </w:t>
      </w:r>
      <w:r w:rsidR="00E92EF1" w:rsidRPr="006E1463">
        <w:rPr>
          <w:rFonts w:ascii="Times New Roman" w:hAnsi="Times New Roman"/>
          <w:color w:val="000000"/>
          <w:lang w:val="en-GB"/>
        </w:rPr>
        <w:t>groups comprising reserve lipids and degradation indices</w:t>
      </w:r>
      <w:r w:rsidR="00E92EF1">
        <w:rPr>
          <w:rFonts w:ascii="Times New Roman" w:hAnsi="Times New Roman"/>
          <w:color w:val="000000"/>
          <w:lang w:val="en-GB"/>
        </w:rPr>
        <w:t>,</w:t>
      </w:r>
      <w:r w:rsidR="00E92EF1" w:rsidRPr="006E1463">
        <w:rPr>
          <w:rFonts w:ascii="Times New Roman" w:hAnsi="Times New Roman"/>
          <w:color w:val="000000"/>
          <w:lang w:val="en-GB"/>
        </w:rPr>
        <w:t xml:space="preserve"> were detected at </w:t>
      </w:r>
      <w:r w:rsidR="00E92EF1">
        <w:rPr>
          <w:rFonts w:ascii="Times New Roman" w:hAnsi="Times New Roman"/>
          <w:color w:val="000000"/>
          <w:lang w:val="en-GB"/>
        </w:rPr>
        <w:t>W1 and W2</w:t>
      </w:r>
      <w:r w:rsidR="00E92EF1" w:rsidRPr="006E1463">
        <w:rPr>
          <w:rFonts w:ascii="Times New Roman" w:hAnsi="Times New Roman"/>
          <w:color w:val="000000"/>
          <w:lang w:val="en-GB"/>
        </w:rPr>
        <w:t xml:space="preserve">, </w:t>
      </w:r>
      <w:r w:rsidR="00E92EF1">
        <w:rPr>
          <w:rFonts w:ascii="Times New Roman" w:hAnsi="Times New Roman"/>
          <w:color w:val="000000"/>
          <w:lang w:val="en-GB"/>
        </w:rPr>
        <w:t>pointing to</w:t>
      </w:r>
      <w:r w:rsidR="00E92EF1" w:rsidRPr="006E1463">
        <w:rPr>
          <w:rFonts w:ascii="Times New Roman" w:hAnsi="Times New Roman"/>
          <w:color w:val="000000"/>
          <w:lang w:val="en-GB"/>
        </w:rPr>
        <w:t xml:space="preserve"> intense degradation processes</w:t>
      </w:r>
      <w:r w:rsidR="00E92EF1">
        <w:rPr>
          <w:rFonts w:ascii="Times New Roman" w:hAnsi="Times New Roman"/>
          <w:color w:val="000000"/>
          <w:lang w:val="en-GB"/>
        </w:rPr>
        <w:t xml:space="preserve"> in the surface  microlayer</w:t>
      </w:r>
      <w:r w:rsidR="00E92EF1" w:rsidRPr="006E1463">
        <w:rPr>
          <w:rFonts w:ascii="Times New Roman" w:hAnsi="Times New Roman"/>
          <w:color w:val="000000"/>
          <w:lang w:val="en-GB"/>
        </w:rPr>
        <w:t>, which was further confirmed by the highest observed PE:PG ratio</w:t>
      </w:r>
      <w:r w:rsidR="00801DCF">
        <w:rPr>
          <w:rFonts w:ascii="Times New Roman" w:hAnsi="Times New Roman"/>
          <w:color w:val="000000"/>
          <w:lang w:val="en-GB"/>
        </w:rPr>
        <w:t xml:space="preserve">s in </w:t>
      </w:r>
      <w:r w:rsidR="00EA619E">
        <w:rPr>
          <w:rFonts w:ascii="Times New Roman" w:hAnsi="Times New Roman"/>
          <w:color w:val="000000"/>
          <w:lang w:val="en-GB"/>
        </w:rPr>
        <w:t xml:space="preserve">the </w:t>
      </w:r>
      <w:r w:rsidR="00801DCF">
        <w:rPr>
          <w:rFonts w:ascii="Times New Roman" w:hAnsi="Times New Roman"/>
          <w:color w:val="000000"/>
          <w:lang w:val="en-GB"/>
        </w:rPr>
        <w:t>SML and ULW</w:t>
      </w:r>
      <w:r w:rsidR="00E92EF1" w:rsidRPr="006E1463">
        <w:rPr>
          <w:rFonts w:ascii="Times New Roman" w:hAnsi="Times New Roman"/>
          <w:color w:val="000000"/>
          <w:lang w:val="en-GB"/>
        </w:rPr>
        <w:t>,</w:t>
      </w:r>
      <w:r w:rsidR="00E92EF1">
        <w:rPr>
          <w:rFonts w:ascii="Times New Roman" w:hAnsi="Times New Roman"/>
          <w:color w:val="000000"/>
          <w:lang w:val="en-GB"/>
        </w:rPr>
        <w:t xml:space="preserve"> as an indicator of</w:t>
      </w:r>
      <w:r w:rsidR="00E92EF1" w:rsidRPr="006E1463">
        <w:rPr>
          <w:rFonts w:ascii="Times New Roman" w:hAnsi="Times New Roman"/>
          <w:color w:val="000000"/>
          <w:lang w:val="en-GB"/>
        </w:rPr>
        <w:t xml:space="preserve"> high bacterial biomass. </w:t>
      </w:r>
      <w:r w:rsidR="004938FE" w:rsidRPr="006E1463">
        <w:rPr>
          <w:rFonts w:ascii="Times New Roman" w:hAnsi="Times New Roman"/>
          <w:color w:val="000000"/>
          <w:lang w:val="en-GB"/>
        </w:rPr>
        <w:t xml:space="preserve">The enrichment of lipid degradation indices in </w:t>
      </w:r>
      <w:r w:rsidR="00EA619E">
        <w:rPr>
          <w:rFonts w:ascii="Times New Roman" w:hAnsi="Times New Roman"/>
          <w:color w:val="000000"/>
          <w:lang w:val="en-GB"/>
        </w:rPr>
        <w:t xml:space="preserve">the </w:t>
      </w:r>
      <w:r w:rsidR="004938FE" w:rsidRPr="006E1463">
        <w:rPr>
          <w:rFonts w:ascii="Times New Roman" w:hAnsi="Times New Roman"/>
          <w:color w:val="000000"/>
          <w:lang w:val="en-GB"/>
        </w:rPr>
        <w:t>SML</w:t>
      </w:r>
      <w:r w:rsidR="00EA619E">
        <w:rPr>
          <w:rFonts w:ascii="Times New Roman" w:hAnsi="Times New Roman"/>
          <w:color w:val="000000"/>
          <w:lang w:val="en-GB"/>
        </w:rPr>
        <w:t xml:space="preserve"> and the</w:t>
      </w:r>
      <w:r w:rsidR="004938FE" w:rsidRPr="006E1463">
        <w:rPr>
          <w:rFonts w:ascii="Times New Roman" w:hAnsi="Times New Roman"/>
          <w:color w:val="000000"/>
          <w:lang w:val="en-GB"/>
        </w:rPr>
        <w:t xml:space="preserve"> </w:t>
      </w:r>
      <w:r w:rsidR="00801DCF">
        <w:rPr>
          <w:rFonts w:ascii="Times New Roman" w:hAnsi="Times New Roman"/>
          <w:color w:val="000000"/>
          <w:lang w:val="en-GB"/>
        </w:rPr>
        <w:t xml:space="preserve">lack of </w:t>
      </w:r>
      <w:r w:rsidR="00801DCF" w:rsidRPr="006E1463">
        <w:rPr>
          <w:rFonts w:ascii="Times New Roman" w:hAnsi="Times New Roman"/>
          <w:color w:val="000000"/>
          <w:lang w:val="en-GB"/>
        </w:rPr>
        <w:t xml:space="preserve">the bacterial biomarker PE </w:t>
      </w:r>
      <w:r w:rsidR="004938FE" w:rsidRPr="006E1463">
        <w:rPr>
          <w:rFonts w:ascii="Times New Roman" w:hAnsi="Times New Roman"/>
          <w:color w:val="000000"/>
          <w:lang w:val="en-GB"/>
        </w:rPr>
        <w:t xml:space="preserve">enrichment, suggest that OM </w:t>
      </w:r>
      <w:r w:rsidR="00EA619E">
        <w:rPr>
          <w:rFonts w:ascii="Times New Roman" w:hAnsi="Times New Roman"/>
          <w:color w:val="000000"/>
          <w:lang w:val="en-GB"/>
        </w:rPr>
        <w:t>wa</w:t>
      </w:r>
      <w:r w:rsidR="00EA619E" w:rsidRPr="006E1463">
        <w:rPr>
          <w:rFonts w:ascii="Times New Roman" w:hAnsi="Times New Roman"/>
          <w:color w:val="000000"/>
          <w:lang w:val="en-GB"/>
        </w:rPr>
        <w:t xml:space="preserve">s </w:t>
      </w:r>
      <w:r w:rsidR="004938FE" w:rsidRPr="006E1463">
        <w:rPr>
          <w:rFonts w:ascii="Times New Roman" w:hAnsi="Times New Roman"/>
          <w:color w:val="000000"/>
          <w:lang w:val="en-GB"/>
        </w:rPr>
        <w:t>subject</w:t>
      </w:r>
      <w:r w:rsidR="00EA619E">
        <w:rPr>
          <w:rFonts w:ascii="Times New Roman" w:hAnsi="Times New Roman"/>
          <w:color w:val="000000"/>
          <w:lang w:val="en-GB"/>
        </w:rPr>
        <w:t>ed</w:t>
      </w:r>
      <w:r w:rsidR="004938FE" w:rsidRPr="006E1463">
        <w:rPr>
          <w:rFonts w:ascii="Times New Roman" w:hAnsi="Times New Roman"/>
          <w:color w:val="000000"/>
          <w:lang w:val="en-GB"/>
        </w:rPr>
        <w:t xml:space="preserve"> to more abiotic (photooxidation and autoxidation) and/or biotic reworking/remineralization processes in the SML than in the ULW.</w:t>
      </w:r>
      <w:r>
        <w:rPr>
          <w:rFonts w:ascii="Times New Roman" w:hAnsi="Times New Roman"/>
          <w:color w:val="000000"/>
          <w:lang w:val="en-GB"/>
        </w:rPr>
        <w:t xml:space="preserve"> The most intense biological activity was observed at W4, as indicated by the highest PIG concentrations and the lowest Lipid:PIG ratio in the SML and ULW. </w:t>
      </w:r>
      <w:r w:rsidRPr="00EA619E">
        <w:rPr>
          <w:rFonts w:ascii="Times New Roman" w:hAnsi="Times New Roman"/>
          <w:color w:val="000000"/>
          <w:lang w:val="en-GB"/>
        </w:rPr>
        <w:t>Analysis of the distribution</w:t>
      </w:r>
      <w:r>
        <w:rPr>
          <w:rFonts w:ascii="Times New Roman" w:hAnsi="Times New Roman"/>
          <w:color w:val="000000"/>
          <w:lang w:val="en-GB"/>
        </w:rPr>
        <w:t xml:space="preserve"> of the Lipid:PIG ratio led to the observation of a </w:t>
      </w:r>
      <w:r w:rsidRPr="006E1463">
        <w:rPr>
          <w:rFonts w:ascii="Times New Roman" w:hAnsi="Times New Roman"/>
          <w:color w:val="000000"/>
          <w:lang w:val="en-GB"/>
        </w:rPr>
        <w:t>statistically significant negative correlation between the S</w:t>
      </w:r>
      <w:r w:rsidRPr="006E1463">
        <w:rPr>
          <w:rFonts w:ascii="Times New Roman" w:hAnsi="Times New Roman"/>
          <w:color w:val="000000"/>
          <w:vertAlign w:val="subscript"/>
          <w:lang w:val="en-GB"/>
        </w:rPr>
        <w:t>R</w:t>
      </w:r>
      <w:r w:rsidRPr="006E1463">
        <w:rPr>
          <w:rFonts w:ascii="Times New Roman" w:hAnsi="Times New Roman"/>
          <w:color w:val="000000"/>
          <w:lang w:val="en-GB"/>
        </w:rPr>
        <w:t xml:space="preserve"> and the </w:t>
      </w:r>
      <w:r>
        <w:rPr>
          <w:rFonts w:ascii="Times New Roman" w:hAnsi="Times New Roman"/>
          <w:color w:val="000000"/>
          <w:lang w:val="en-GB"/>
        </w:rPr>
        <w:t>L</w:t>
      </w:r>
      <w:r w:rsidRPr="006E1463">
        <w:rPr>
          <w:rFonts w:ascii="Times New Roman" w:hAnsi="Times New Roman"/>
          <w:color w:val="000000"/>
          <w:lang w:val="en-GB"/>
        </w:rPr>
        <w:t>ipi</w:t>
      </w:r>
      <w:r>
        <w:rPr>
          <w:rFonts w:ascii="Times New Roman" w:hAnsi="Times New Roman"/>
          <w:color w:val="000000"/>
          <w:lang w:val="en-GB"/>
        </w:rPr>
        <w:t>d:PIG ratio in both SML and ULW, linking</w:t>
      </w:r>
      <w:r w:rsidRPr="006E1463">
        <w:rPr>
          <w:rFonts w:ascii="Times New Roman" w:hAnsi="Times New Roman"/>
          <w:color w:val="000000"/>
          <w:lang w:val="en-GB"/>
        </w:rPr>
        <w:t xml:space="preserve"> the favourable environmental conditions</w:t>
      </w:r>
      <w:r>
        <w:rPr>
          <w:rFonts w:ascii="Times New Roman" w:hAnsi="Times New Roman"/>
          <w:color w:val="000000"/>
          <w:lang w:val="en-GB"/>
        </w:rPr>
        <w:t xml:space="preserve"> for phytoplankton growth</w:t>
      </w:r>
      <w:r w:rsidRPr="006E1463">
        <w:rPr>
          <w:rFonts w:ascii="Times New Roman" w:hAnsi="Times New Roman"/>
          <w:color w:val="000000"/>
          <w:lang w:val="en-GB"/>
        </w:rPr>
        <w:t xml:space="preserve"> </w:t>
      </w:r>
      <w:r>
        <w:rPr>
          <w:rFonts w:ascii="Times New Roman" w:hAnsi="Times New Roman"/>
          <w:color w:val="000000"/>
          <w:lang w:val="en-GB"/>
        </w:rPr>
        <w:t xml:space="preserve">to the </w:t>
      </w:r>
      <w:r w:rsidRPr="006E1463">
        <w:rPr>
          <w:rFonts w:ascii="Times New Roman" w:hAnsi="Times New Roman"/>
          <w:color w:val="000000"/>
          <w:lang w:val="en-GB"/>
        </w:rPr>
        <w:t>production of lower molecular weight OM</w:t>
      </w:r>
      <w:r>
        <w:rPr>
          <w:rFonts w:ascii="Times New Roman" w:hAnsi="Times New Roman"/>
          <w:color w:val="000000"/>
          <w:lang w:val="en-GB"/>
        </w:rPr>
        <w:t xml:space="preserve">. </w:t>
      </w:r>
      <w:r w:rsidR="00783E94">
        <w:rPr>
          <w:rFonts w:ascii="Times New Roman" w:hAnsi="Times New Roman"/>
          <w:color w:val="000000"/>
          <w:lang w:val="en-GB"/>
        </w:rPr>
        <w:t xml:space="preserve"> </w:t>
      </w:r>
    </w:p>
    <w:p w14:paraId="7D49127A" w14:textId="2AC97697" w:rsidR="00C85740" w:rsidRDefault="003B7E53" w:rsidP="000D2403">
      <w:pPr>
        <w:pStyle w:val="NoSpacing"/>
        <w:spacing w:line="360" w:lineRule="auto"/>
        <w:ind w:firstLine="708"/>
        <w:rPr>
          <w:rFonts w:ascii="Times New Roman" w:hAnsi="Times New Roman"/>
          <w:color w:val="000000"/>
          <w:lang w:val="en-GB"/>
        </w:rPr>
      </w:pPr>
      <w:bookmarkStart w:id="23" w:name="_Hlk99988211"/>
      <w:r>
        <w:rPr>
          <w:rFonts w:ascii="Times New Roman" w:hAnsi="Times New Roman"/>
          <w:color w:val="000000"/>
          <w:lang w:val="en-GB"/>
        </w:rPr>
        <w:t>T</w:t>
      </w:r>
      <w:r w:rsidRPr="00C011A8">
        <w:rPr>
          <w:rFonts w:ascii="Times New Roman" w:hAnsi="Times New Roman"/>
          <w:color w:val="000000"/>
          <w:lang w:val="en-GB"/>
        </w:rPr>
        <w:t>he complexity of physical, chemical, and biochemical factors, including photochemistry, winds</w:t>
      </w:r>
      <w:bookmarkEnd w:id="23"/>
      <w:r w:rsidR="006B3531" w:rsidRPr="00C011A8">
        <w:rPr>
          <w:rFonts w:ascii="Times New Roman" w:hAnsi="Times New Roman"/>
          <w:color w:val="000000"/>
          <w:lang w:val="en-GB"/>
        </w:rPr>
        <w:t>, biological productivity and activity, that determine OM distribution, makes it difficult to</w:t>
      </w:r>
      <w:r w:rsidR="006B3531">
        <w:rPr>
          <w:rFonts w:ascii="Times New Roman" w:hAnsi="Times New Roman"/>
          <w:color w:val="000000"/>
          <w:lang w:val="en-GB"/>
        </w:rPr>
        <w:t xml:space="preserve"> show a clear (de)coupling between SML and ULW. However, our observations </w:t>
      </w:r>
      <w:r w:rsidR="006B3531" w:rsidRPr="004A6D35">
        <w:rPr>
          <w:rFonts w:ascii="Times New Roman" w:hAnsi="Times New Roman"/>
          <w:color w:val="000000"/>
          <w:lang w:val="en-GB"/>
        </w:rPr>
        <w:t xml:space="preserve">with respect to </w:t>
      </w:r>
      <w:r w:rsidR="006B3531" w:rsidRPr="00C011A8">
        <w:rPr>
          <w:rFonts w:ascii="Times New Roman" w:hAnsi="Times New Roman"/>
          <w:color w:val="000000"/>
          <w:lang w:val="en-GB"/>
        </w:rPr>
        <w:t>specific classes and groups of OM</w:t>
      </w:r>
      <w:r w:rsidR="006B3531">
        <w:rPr>
          <w:rFonts w:ascii="Times New Roman" w:hAnsi="Times New Roman"/>
          <w:color w:val="000000"/>
          <w:lang w:val="en-GB"/>
        </w:rPr>
        <w:t xml:space="preserve"> </w:t>
      </w:r>
      <w:r w:rsidR="006B3531" w:rsidRPr="004A6D35">
        <w:rPr>
          <w:rFonts w:ascii="Times New Roman" w:hAnsi="Times New Roman"/>
          <w:color w:val="000000"/>
          <w:lang w:val="en-GB"/>
        </w:rPr>
        <w:t>suggest that</w:t>
      </w:r>
      <w:r w:rsidR="006B3531" w:rsidDel="00AD309F">
        <w:rPr>
          <w:rFonts w:ascii="Times New Roman" w:hAnsi="Times New Roman"/>
          <w:color w:val="000000"/>
          <w:lang w:val="en-GB"/>
        </w:rPr>
        <w:t xml:space="preserve"> </w:t>
      </w:r>
      <w:r w:rsidR="006B3531">
        <w:rPr>
          <w:rFonts w:ascii="Times New Roman" w:hAnsi="Times New Roman"/>
          <w:color w:val="000000"/>
          <w:lang w:val="en-GB"/>
        </w:rPr>
        <w:t>the</w:t>
      </w:r>
      <w:r w:rsidR="006B3531" w:rsidRPr="00CB6E98">
        <w:rPr>
          <w:rFonts w:ascii="Times New Roman" w:hAnsi="Times New Roman"/>
          <w:color w:val="000000"/>
          <w:lang w:val="en-GB"/>
        </w:rPr>
        <w:t xml:space="preserve"> ULW </w:t>
      </w:r>
      <w:r w:rsidR="006B3531">
        <w:rPr>
          <w:rFonts w:ascii="Times New Roman" w:hAnsi="Times New Roman"/>
          <w:color w:val="000000"/>
          <w:lang w:val="en-GB"/>
        </w:rPr>
        <w:t>is</w:t>
      </w:r>
      <w:r w:rsidR="006B3531" w:rsidRPr="00CB6E98">
        <w:rPr>
          <w:rFonts w:ascii="Times New Roman" w:hAnsi="Times New Roman"/>
          <w:color w:val="000000"/>
          <w:lang w:val="en-GB"/>
        </w:rPr>
        <w:t xml:space="preserve"> the ma</w:t>
      </w:r>
      <w:r w:rsidR="006B3531">
        <w:rPr>
          <w:rFonts w:ascii="Times New Roman" w:hAnsi="Times New Roman"/>
          <w:color w:val="000000"/>
          <w:lang w:val="en-GB"/>
        </w:rPr>
        <w:t>jor</w:t>
      </w:r>
      <w:r w:rsidR="006B3531" w:rsidRPr="00CB6E98">
        <w:rPr>
          <w:rFonts w:ascii="Times New Roman" w:hAnsi="Times New Roman"/>
          <w:color w:val="000000"/>
          <w:lang w:val="en-GB"/>
        </w:rPr>
        <w:t xml:space="preserve"> supplier of OM to the SML, </w:t>
      </w:r>
      <w:r w:rsidR="006B3531">
        <w:rPr>
          <w:rFonts w:ascii="Times New Roman" w:hAnsi="Times New Roman"/>
          <w:color w:val="000000"/>
          <w:lang w:val="en-GB"/>
        </w:rPr>
        <w:t>leading to</w:t>
      </w:r>
      <w:r w:rsidR="006B3531" w:rsidRPr="00CB6E98">
        <w:rPr>
          <w:rFonts w:ascii="Times New Roman" w:hAnsi="Times New Roman"/>
          <w:color w:val="000000"/>
          <w:lang w:val="en-GB"/>
        </w:rPr>
        <w:t xml:space="preserve"> </w:t>
      </w:r>
      <w:r w:rsidR="006B3531">
        <w:rPr>
          <w:rFonts w:ascii="Times New Roman" w:hAnsi="Times New Roman"/>
          <w:color w:val="000000"/>
          <w:lang w:val="en-GB"/>
        </w:rPr>
        <w:t xml:space="preserve">its enrichment by </w:t>
      </w:r>
      <w:r w:rsidR="006B3531" w:rsidRPr="00CB6E98">
        <w:rPr>
          <w:rFonts w:ascii="Times New Roman" w:hAnsi="Times New Roman"/>
          <w:color w:val="000000"/>
          <w:lang w:val="en-GB"/>
        </w:rPr>
        <w:t>some OM classes</w:t>
      </w:r>
      <w:r w:rsidR="006B3531">
        <w:rPr>
          <w:rFonts w:ascii="Times New Roman" w:hAnsi="Times New Roman"/>
          <w:color w:val="000000"/>
          <w:lang w:val="en-GB"/>
        </w:rPr>
        <w:t xml:space="preserve">. The </w:t>
      </w:r>
      <w:r w:rsidR="006B3531" w:rsidRPr="00CB6E98">
        <w:rPr>
          <w:rFonts w:ascii="Times New Roman" w:hAnsi="Times New Roman"/>
          <w:color w:val="000000"/>
          <w:lang w:val="en-GB"/>
        </w:rPr>
        <w:t>similar distribution</w:t>
      </w:r>
      <w:r w:rsidR="006B3531">
        <w:rPr>
          <w:rFonts w:ascii="Times New Roman" w:hAnsi="Times New Roman"/>
          <w:color w:val="000000"/>
          <w:lang w:val="en-GB"/>
        </w:rPr>
        <w:t xml:space="preserve"> in SML and ULW and the lack of “enrichment” of</w:t>
      </w:r>
      <w:r w:rsidR="006B3531" w:rsidRPr="00C011A8">
        <w:rPr>
          <w:rFonts w:ascii="Times New Roman" w:hAnsi="Times New Roman"/>
          <w:color w:val="000000"/>
          <w:lang w:val="en-GB"/>
        </w:rPr>
        <w:t xml:space="preserve"> </w:t>
      </w:r>
      <w:r w:rsidR="006B3531" w:rsidRPr="00CB6E98">
        <w:rPr>
          <w:rFonts w:ascii="Times New Roman" w:hAnsi="Times New Roman"/>
          <w:color w:val="000000"/>
          <w:lang w:val="en-GB"/>
        </w:rPr>
        <w:t>optical indices</w:t>
      </w:r>
      <w:r w:rsidR="006B3531">
        <w:rPr>
          <w:rFonts w:ascii="Times New Roman" w:hAnsi="Times New Roman"/>
          <w:color w:val="000000"/>
          <w:lang w:val="en-GB"/>
        </w:rPr>
        <w:t xml:space="preserve"> </w:t>
      </w:r>
      <w:r w:rsidR="006B3531" w:rsidRPr="00CB6E98">
        <w:rPr>
          <w:rFonts w:ascii="Times New Roman" w:hAnsi="Times New Roman"/>
          <w:color w:val="000000"/>
          <w:lang w:val="en-GB"/>
        </w:rPr>
        <w:t>point to similar type of material in both layers</w:t>
      </w:r>
      <w:r w:rsidR="006B3531">
        <w:rPr>
          <w:rFonts w:ascii="Times New Roman" w:hAnsi="Times New Roman"/>
          <w:color w:val="000000"/>
          <w:lang w:val="en-GB"/>
        </w:rPr>
        <w:t>, which potentially lacks significant surface-activity</w:t>
      </w:r>
      <w:r w:rsidR="006B3531" w:rsidRPr="00CB6E98">
        <w:rPr>
          <w:rFonts w:ascii="Times New Roman" w:hAnsi="Times New Roman"/>
          <w:color w:val="000000"/>
          <w:lang w:val="en-GB"/>
        </w:rPr>
        <w:t xml:space="preserve">. </w:t>
      </w:r>
      <w:r w:rsidR="006B3531">
        <w:rPr>
          <w:rFonts w:ascii="Times New Roman" w:hAnsi="Times New Roman"/>
          <w:color w:val="000000"/>
          <w:lang w:val="en-GB"/>
        </w:rPr>
        <w:t xml:space="preserve">Thus, the coupling of SML and ULW is highly dependent on the specific properties of the analysed OM as well as external factors. The </w:t>
      </w:r>
      <w:r w:rsidR="006B3531" w:rsidRPr="00A06F4C">
        <w:rPr>
          <w:rFonts w:ascii="Times New Roman" w:hAnsi="Times New Roman"/>
          <w:color w:val="000000"/>
          <w:lang w:val="en-GB"/>
        </w:rPr>
        <w:t xml:space="preserve">relationships and dependencies </w:t>
      </w:r>
      <w:r w:rsidR="006B3531">
        <w:rPr>
          <w:rFonts w:ascii="Times New Roman" w:hAnsi="Times New Roman"/>
          <w:color w:val="000000"/>
          <w:lang w:val="en-GB"/>
        </w:rPr>
        <w:t>shown here</w:t>
      </w:r>
      <w:r w:rsidR="006B3531" w:rsidRPr="00A06F4C">
        <w:rPr>
          <w:rFonts w:ascii="Times New Roman" w:hAnsi="Times New Roman"/>
          <w:color w:val="000000"/>
          <w:lang w:val="en-GB"/>
        </w:rPr>
        <w:t xml:space="preserve"> </w:t>
      </w:r>
      <w:r w:rsidR="006B3531">
        <w:rPr>
          <w:rFonts w:ascii="Times New Roman" w:hAnsi="Times New Roman"/>
          <w:color w:val="000000"/>
          <w:lang w:val="en-GB"/>
        </w:rPr>
        <w:t>represent</w:t>
      </w:r>
      <w:r w:rsidR="006B3531" w:rsidRPr="00A06F4C">
        <w:rPr>
          <w:rFonts w:ascii="Times New Roman" w:hAnsi="Times New Roman"/>
          <w:color w:val="000000"/>
          <w:lang w:val="en-GB"/>
        </w:rPr>
        <w:t xml:space="preserve"> a valuable step toward better understanding the biogeochemistry of surface coastal waters.</w:t>
      </w:r>
    </w:p>
    <w:p w14:paraId="7756C1F6" w14:textId="77777777" w:rsidR="00AA3B4F" w:rsidRDefault="00AA3B4F" w:rsidP="00CB6E98">
      <w:pPr>
        <w:pStyle w:val="NoSpacing"/>
        <w:spacing w:line="360" w:lineRule="auto"/>
        <w:ind w:firstLine="708"/>
        <w:rPr>
          <w:rFonts w:ascii="Times New Roman" w:hAnsi="Times New Roman"/>
          <w:color w:val="000000"/>
          <w:lang w:val="en-GB"/>
        </w:rPr>
      </w:pPr>
    </w:p>
    <w:p w14:paraId="565BED15" w14:textId="77777777" w:rsidR="00D65433" w:rsidRPr="006E1463" w:rsidRDefault="00D65433" w:rsidP="00D72BE1">
      <w:pPr>
        <w:pStyle w:val="NoSpacing"/>
        <w:spacing w:after="120" w:line="360" w:lineRule="auto"/>
        <w:rPr>
          <w:rFonts w:ascii="Times New Roman" w:hAnsi="Times New Roman"/>
          <w:b/>
          <w:color w:val="000000"/>
          <w:lang w:val="en-GB" w:bidi="en-US"/>
        </w:rPr>
      </w:pPr>
      <w:r w:rsidRPr="006E1463">
        <w:rPr>
          <w:rFonts w:ascii="Times New Roman" w:hAnsi="Times New Roman"/>
          <w:b/>
          <w:color w:val="000000"/>
          <w:lang w:val="en-GB" w:bidi="en-US"/>
        </w:rPr>
        <w:lastRenderedPageBreak/>
        <w:t>Acknowledgements</w:t>
      </w:r>
    </w:p>
    <w:p w14:paraId="1FA31C11" w14:textId="77777777" w:rsidR="00D65433" w:rsidRDefault="00D65433" w:rsidP="00D72BE1">
      <w:pPr>
        <w:pStyle w:val="NoSpacing"/>
        <w:spacing w:line="360" w:lineRule="auto"/>
        <w:rPr>
          <w:rFonts w:ascii="Times New Roman" w:hAnsi="Times New Roman"/>
          <w:color w:val="000000"/>
          <w:lang w:val="en-GB"/>
        </w:rPr>
      </w:pPr>
      <w:r w:rsidRPr="006E1463">
        <w:rPr>
          <w:rFonts w:ascii="Times New Roman" w:eastAsia="Times New Roman" w:hAnsi="Times New Roman"/>
          <w:color w:val="000000"/>
          <w:lang w:val="en-GB"/>
        </w:rPr>
        <w:t xml:space="preserve">We thank the crew of the RV „Oceania“. </w:t>
      </w:r>
      <w:r w:rsidRPr="006E1463">
        <w:rPr>
          <w:rFonts w:ascii="Times New Roman" w:hAnsi="Times New Roman"/>
          <w:color w:val="000000"/>
          <w:lang w:val="en-GB" w:bidi="en-US"/>
        </w:rPr>
        <w:t>This work was funded by a grant from the Croatian Science Foundation under project</w:t>
      </w:r>
      <w:r w:rsidR="009C0032">
        <w:rPr>
          <w:rFonts w:ascii="Times New Roman" w:hAnsi="Times New Roman"/>
          <w:color w:val="000000"/>
          <w:lang w:val="en-GB" w:bidi="en-US"/>
        </w:rPr>
        <w:t>s</w:t>
      </w:r>
      <w:r w:rsidRPr="006E1463">
        <w:rPr>
          <w:rFonts w:ascii="Times New Roman" w:hAnsi="Times New Roman"/>
          <w:color w:val="000000"/>
          <w:lang w:val="en-GB" w:bidi="en-US"/>
        </w:rPr>
        <w:t xml:space="preserve"> IP-11-2013-8607 </w:t>
      </w:r>
      <w:r w:rsidR="009C0032">
        <w:rPr>
          <w:rFonts w:ascii="Times New Roman" w:hAnsi="Times New Roman"/>
          <w:color w:val="000000"/>
          <w:lang w:val="en-GB" w:bidi="en-US"/>
        </w:rPr>
        <w:t xml:space="preserve">and </w:t>
      </w:r>
      <w:r w:rsidR="009C0032" w:rsidRPr="009C0032">
        <w:rPr>
          <w:rFonts w:ascii="Times New Roman" w:hAnsi="Times New Roman"/>
          <w:color w:val="000000"/>
          <w:lang w:val="en-GB" w:bidi="en-US"/>
        </w:rPr>
        <w:t>IP-2018-01-3105</w:t>
      </w:r>
      <w:r w:rsidR="009C0032">
        <w:rPr>
          <w:rFonts w:ascii="Times New Roman" w:hAnsi="Times New Roman"/>
          <w:color w:val="000000"/>
          <w:lang w:val="en-GB" w:bidi="en-US"/>
        </w:rPr>
        <w:t xml:space="preserve">, </w:t>
      </w:r>
      <w:r w:rsidRPr="009C0032">
        <w:rPr>
          <w:rFonts w:ascii="Times New Roman" w:hAnsi="Times New Roman"/>
          <w:color w:val="000000"/>
          <w:lang w:val="en-GB" w:bidi="en-US"/>
        </w:rPr>
        <w:t>a</w:t>
      </w:r>
      <w:r w:rsidRPr="006E1463">
        <w:rPr>
          <w:rFonts w:ascii="Times New Roman" w:hAnsi="Times New Roman"/>
          <w:color w:val="000000"/>
          <w:lang w:val="en-GB" w:bidi="en-US"/>
        </w:rPr>
        <w:t xml:space="preserve">nd by Polish </w:t>
      </w:r>
      <w:r w:rsidRPr="006E1463">
        <w:rPr>
          <w:rFonts w:ascii="Times New Roman" w:hAnsi="Times New Roman"/>
          <w:color w:val="000000"/>
          <w:lang w:val="en-GB"/>
        </w:rPr>
        <w:t>National Science Centre contract No. 2021/41/B/ST10/00946.</w:t>
      </w:r>
      <w:r w:rsidR="00CB01B9">
        <w:rPr>
          <w:rFonts w:ascii="Times New Roman" w:hAnsi="Times New Roman"/>
          <w:color w:val="000000"/>
          <w:lang w:val="en-GB"/>
        </w:rPr>
        <w:t xml:space="preserve"> We would also like to thank the reviewers, whose comments and insights deeply helped</w:t>
      </w:r>
      <w:r w:rsidR="00CB4578">
        <w:rPr>
          <w:rFonts w:ascii="Times New Roman" w:hAnsi="Times New Roman"/>
          <w:color w:val="000000"/>
          <w:lang w:val="en-GB"/>
        </w:rPr>
        <w:t xml:space="preserve"> to </w:t>
      </w:r>
      <w:r w:rsidR="00CB01B9">
        <w:rPr>
          <w:rFonts w:ascii="Times New Roman" w:hAnsi="Times New Roman"/>
          <w:color w:val="000000"/>
          <w:lang w:val="en-GB"/>
        </w:rPr>
        <w:t xml:space="preserve">improve the quality of the manuscript. </w:t>
      </w:r>
    </w:p>
    <w:p w14:paraId="4F787F0F" w14:textId="77777777" w:rsidR="00C56684" w:rsidRPr="006E1463" w:rsidRDefault="00C56684" w:rsidP="00D72BE1">
      <w:pPr>
        <w:pStyle w:val="NoSpacing"/>
        <w:spacing w:line="360" w:lineRule="auto"/>
        <w:rPr>
          <w:rFonts w:ascii="Times New Roman" w:hAnsi="Times New Roman"/>
          <w:color w:val="000000"/>
          <w:lang w:val="en-GB"/>
        </w:rPr>
      </w:pPr>
    </w:p>
    <w:p w14:paraId="5CAF35D8" w14:textId="77777777" w:rsidR="0025755E" w:rsidRPr="006E1463" w:rsidRDefault="003D6E48" w:rsidP="0006227E">
      <w:pPr>
        <w:pStyle w:val="Heading2"/>
      </w:pPr>
      <w:r w:rsidRPr="006E1463">
        <w:t>References</w:t>
      </w:r>
    </w:p>
    <w:p w14:paraId="48B17FAD" w14:textId="727D6822"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Archer, C.L., Jacobson, M.Z., 2005. Evaluation of global wind power. J. Geophys. Res. Atmos. 110, D1110. https://doi.org/10.1029/2004JD005462 </w:t>
      </w:r>
    </w:p>
    <w:p w14:paraId="5C7BF260" w14:textId="1848F838" w:rsidR="0067367B" w:rsidRPr="005A4571" w:rsidRDefault="00A32C3D" w:rsidP="008A79C4">
      <w:pPr>
        <w:pStyle w:val="NoSpacing"/>
        <w:spacing w:after="120"/>
        <w:ind w:left="720" w:hanging="706"/>
        <w:rPr>
          <w:rFonts w:ascii="Times New Roman" w:hAnsi="Times New Roman"/>
          <w:color w:val="000000"/>
          <w:lang w:val="en-GB"/>
        </w:rPr>
      </w:pPr>
      <w:r>
        <w:rPr>
          <w:rFonts w:ascii="Times New Roman" w:hAnsi="Times New Roman"/>
          <w:color w:val="000000"/>
          <w:lang w:val="en-GB"/>
        </w:rPr>
        <w:t xml:space="preserve">Arrigo, K.R., Brown, C.W. </w:t>
      </w:r>
      <w:r w:rsidR="0067367B" w:rsidRPr="005A4571">
        <w:rPr>
          <w:rFonts w:ascii="Times New Roman" w:hAnsi="Times New Roman"/>
          <w:color w:val="000000"/>
          <w:lang w:val="en-GB"/>
        </w:rPr>
        <w:t>1996. Impact of chromophoric dissolved organic matter on UV inhibition of primary productivity in the sea. Mar. Ecol. Prog. Ser. 140, 207–216. https://doi.org/10.3354/meps140207.</w:t>
      </w:r>
    </w:p>
    <w:p w14:paraId="1A0E479C"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Arts, M.T., 1999. Lipids in Freshwater Zooplankton: Selected Ecological and Physiological Aspects</w:t>
      </w:r>
      <w:r w:rsidR="00914BEA" w:rsidRPr="005A4571">
        <w:rPr>
          <w:rFonts w:ascii="Times New Roman" w:hAnsi="Times New Roman"/>
          <w:color w:val="000000"/>
          <w:lang w:val="en-GB"/>
        </w:rPr>
        <w:t>,</w:t>
      </w:r>
      <w:r w:rsidRPr="005A4571">
        <w:rPr>
          <w:rFonts w:ascii="Times New Roman" w:hAnsi="Times New Roman"/>
          <w:color w:val="000000"/>
          <w:lang w:val="en-GB"/>
        </w:rPr>
        <w:t xml:space="preserve"> </w:t>
      </w:r>
      <w:r w:rsidR="00914BEA" w:rsidRPr="005A4571">
        <w:rPr>
          <w:rFonts w:ascii="Times New Roman" w:hAnsi="Times New Roman"/>
          <w:color w:val="000000"/>
          <w:lang w:val="en-GB"/>
        </w:rPr>
        <w:t>i</w:t>
      </w:r>
      <w:r w:rsidRPr="005A4571">
        <w:rPr>
          <w:rFonts w:ascii="Times New Roman" w:hAnsi="Times New Roman"/>
          <w:color w:val="000000"/>
          <w:lang w:val="en-GB"/>
        </w:rPr>
        <w:t>n:</w:t>
      </w:r>
      <w:r w:rsidR="00512517" w:rsidRPr="005A4571">
        <w:rPr>
          <w:rFonts w:ascii="Times New Roman" w:hAnsi="Times New Roman"/>
          <w:color w:val="000000"/>
          <w:lang w:val="en-GB"/>
        </w:rPr>
        <w:t xml:space="preserve"> Arts, M.T., Wainman, B.C. (Eds),</w:t>
      </w:r>
      <w:r w:rsidRPr="005A4571">
        <w:rPr>
          <w:rFonts w:ascii="Times New Roman" w:hAnsi="Times New Roman"/>
          <w:color w:val="000000"/>
          <w:lang w:val="en-GB"/>
        </w:rPr>
        <w:t xml:space="preserve"> Lipids in Freshwater Ecosystems,</w:t>
      </w:r>
      <w:r w:rsidR="00512517" w:rsidRPr="005A4571">
        <w:rPr>
          <w:rFonts w:ascii="Times New Roman" w:hAnsi="Times New Roman"/>
        </w:rPr>
        <w:t xml:space="preserve"> </w:t>
      </w:r>
      <w:r w:rsidR="00512517" w:rsidRPr="005A4571">
        <w:rPr>
          <w:rFonts w:ascii="Times New Roman" w:hAnsi="Times New Roman"/>
          <w:color w:val="000000"/>
          <w:lang w:val="en-GB"/>
        </w:rPr>
        <w:t>Springer, New York, NY,</w:t>
      </w:r>
      <w:r w:rsidRPr="005A4571">
        <w:rPr>
          <w:rFonts w:ascii="Times New Roman" w:hAnsi="Times New Roman"/>
          <w:color w:val="000000"/>
          <w:lang w:val="en-GB"/>
        </w:rPr>
        <w:t xml:space="preserve"> 71–90. https://doi.org/10.1007/978-1-4612-0547-0_5</w:t>
      </w:r>
    </w:p>
    <w:p w14:paraId="30DDF361" w14:textId="0AFC82E0"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Belanger, S., Babin, M., </w:t>
      </w:r>
      <w:r w:rsidR="00A32C3D">
        <w:rPr>
          <w:rFonts w:ascii="Times New Roman" w:hAnsi="Times New Roman"/>
          <w:color w:val="000000"/>
          <w:lang w:val="en-GB"/>
        </w:rPr>
        <w:t xml:space="preserve">Larouche, P. </w:t>
      </w:r>
      <w:r w:rsidRPr="005A4571">
        <w:rPr>
          <w:rFonts w:ascii="Times New Roman" w:hAnsi="Times New Roman"/>
          <w:color w:val="000000"/>
          <w:lang w:val="en-GB"/>
        </w:rPr>
        <w:t>2008. An empirical ocean color algorithm for estimating the contribution of chromophoric dissolved organic matter to total light absorption in optically comple</w:t>
      </w:r>
      <w:r w:rsidR="00193462" w:rsidRPr="005A4571">
        <w:rPr>
          <w:rFonts w:ascii="Times New Roman" w:hAnsi="Times New Roman"/>
          <w:color w:val="000000"/>
          <w:lang w:val="en-GB"/>
        </w:rPr>
        <w:t>x waters. J. Geophys. Res.</w:t>
      </w:r>
      <w:r w:rsidRPr="005A4571">
        <w:rPr>
          <w:rFonts w:ascii="Times New Roman" w:hAnsi="Times New Roman"/>
          <w:color w:val="000000"/>
          <w:lang w:val="en-GB"/>
        </w:rPr>
        <w:t xml:space="preserve"> 113, C04027. https://doi.org/10.1029/2007JC004436</w:t>
      </w:r>
    </w:p>
    <w:p w14:paraId="4DCEA38F" w14:textId="45CB086B"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Bligh, E.G., Dyer, W.J., 1959. A rapid method of total lipid extraction and purification. Can. J. Biochem. Physiol. 37, 911-917. https://doi.org/10.1139/y59-099</w:t>
      </w:r>
    </w:p>
    <w:p w14:paraId="0B657E31"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Bourguet, N., Goutx, M., Ghiglione, J. F, Pujo-Pay M., Mevel, G., Momzikoff, A., Mousseau, L., Guigue, C., Garcia, N., Raimbault, P., Pete, R., Oriol, L., Lefevre, D., 2009. Lipid biomarkers and bacterial lipase activities as indicators of organic matter and bacterial dynamics in contrasted regimes at the DYFAMED site, NW Mediterranean. Deep-Sea Res. Pt II 56, 1454–1469. https://doi.org/10.1016/j.dsr2.2008.11.034</w:t>
      </w:r>
    </w:p>
    <w:p w14:paraId="4FA6DE17"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Broecker, H.-C., Petermann, J., and Siems, W., 1978. The influence of wind on CO2-exchange in a wind-wave tunnel, including the effects of monolayers. J. Mar. Res. 36, 595-610. </w:t>
      </w:r>
    </w:p>
    <w:p w14:paraId="4FA2EC59"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Br</w:t>
      </w:r>
      <w:r w:rsidR="008A79C4" w:rsidRPr="005A4571">
        <w:rPr>
          <w:rFonts w:ascii="Times New Roman" w:hAnsi="Times New Roman"/>
          <w:color w:val="000000"/>
          <w:lang w:val="en-GB"/>
        </w:rPr>
        <w:t>u</w:t>
      </w:r>
      <w:r w:rsidRPr="005A4571">
        <w:rPr>
          <w:rFonts w:ascii="Times New Roman" w:hAnsi="Times New Roman"/>
          <w:color w:val="000000"/>
          <w:lang w:val="en-GB"/>
        </w:rPr>
        <w:t>ggemann, M., Hayeck, N., George, C., 2018. Interfacial photochemistry at the ocean surface is a global source of organic va</w:t>
      </w:r>
      <w:r w:rsidR="003E1452" w:rsidRPr="005A4571">
        <w:rPr>
          <w:rFonts w:ascii="Times New Roman" w:hAnsi="Times New Roman"/>
          <w:color w:val="000000"/>
          <w:lang w:val="en-GB"/>
        </w:rPr>
        <w:t>pors and aerosols. Nat. Commun.</w:t>
      </w:r>
      <w:r w:rsidRPr="005A4571">
        <w:rPr>
          <w:rFonts w:ascii="Times New Roman" w:hAnsi="Times New Roman"/>
          <w:color w:val="000000"/>
          <w:lang w:val="en-GB"/>
        </w:rPr>
        <w:t xml:space="preserve"> 9, 2101. https://doi.org/10.1038/s41467-018-04528-7</w:t>
      </w:r>
    </w:p>
    <w:p w14:paraId="385203ED"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Buszewski, B., Buszewska, T., Chmarzyński, A., Kowalkowski, T., Kowalska, J., Kosobucki, P., Zbytniewski, R., Namieśnik, J., Kot-Wasik, A., Pacyna, J., Panasiuk, D., 2005. The present condition of the </w:t>
      </w:r>
      <w:r w:rsidR="00B15051" w:rsidRPr="005A4571">
        <w:rPr>
          <w:rFonts w:ascii="Times New Roman" w:hAnsi="Times New Roman"/>
          <w:color w:val="000000"/>
          <w:lang w:val="en-GB"/>
        </w:rPr>
        <w:t>Vistula River</w:t>
      </w:r>
      <w:r w:rsidRPr="005A4571">
        <w:rPr>
          <w:rFonts w:ascii="Times New Roman" w:hAnsi="Times New Roman"/>
          <w:color w:val="000000"/>
          <w:lang w:val="en-GB"/>
        </w:rPr>
        <w:t xml:space="preserve"> catchment area and its impact on the Baltic Sea coastal zone. Reg. Environ. Chang. 5, 97–110. https://doi.org/10.1007/s10113-004-0077-8</w:t>
      </w:r>
    </w:p>
    <w:p w14:paraId="3D6D5CA9" w14:textId="03802A24"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Cantarero, S.I., Henríquez-Castillo, C., Dildar, N., Vargas, C.A., von Dassow, P., Cornejo-D’Ottone, M., Sepúlveda, J., 2020. Size-Fractionated Contribution of Microbial Biomass to Suspended Organic Matter in the Eastern Tropical South Pacific Oxygen Minimum Zone. Front. Mar. Sci. 7, 1–20. https://doi.org/10.3389/fmars.2020.540643</w:t>
      </w:r>
    </w:p>
    <w:p w14:paraId="278896C3"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Coble, P.G., 1996. Characterization of marine and terrestrial DOM in seawater using excitation-emission matrix spectroscopy. Mar. Chem. 51, 325-346. https://doi.org/10.1016/0304-4203(95)00062-3</w:t>
      </w:r>
    </w:p>
    <w:p w14:paraId="3E0C88BD"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Coble, P.G., 2007. Marine optical biogeochemistry: The chemistry of ocean color. Chem. Rev. 107, 402-418. https://doi.org/10.1021/cr050350+</w:t>
      </w:r>
    </w:p>
    <w:p w14:paraId="01E68298" w14:textId="77777777" w:rsidR="00B15051" w:rsidRPr="005A4571" w:rsidRDefault="00B15051" w:rsidP="00B15051">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lastRenderedPageBreak/>
        <w:t>Ćosović, B., Vojvodić, V., Pleše, T., 1985. Electrochemical determination and characterization of surface active substances in freshwaters. Water Res. 19, 175–183. https://doi.org/10.1016/0043-1354(85)90196-4</w:t>
      </w:r>
    </w:p>
    <w:p w14:paraId="032CC316" w14:textId="77777777" w:rsidR="00B15051" w:rsidRPr="005A4571" w:rsidRDefault="00B15051" w:rsidP="00B15051">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Ćosović, B., Vojvodić, V., 1998. Voltammetric analysis of surface active substances in natural seawater. Electroanalysis 10, 429–434. https://doi.org/10.1002/(SICI)1521-4109(199805)10:6&lt;429::AID-ELAN429&gt;3.0.CO;2-7</w:t>
      </w:r>
    </w:p>
    <w:p w14:paraId="6744C981"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Ćosović, B., 2005. Surface-Active Properties of the Sea Surface Microlayerand Consequences for Pollution in the Mediterranean Sea. In The Handbook of Environmental Chemistry, Springer. https://doi.org/10.1007/b107150</w:t>
      </w:r>
    </w:p>
    <w:p w14:paraId="54F358A3" w14:textId="77777777"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Cunliffe, M., Engel, A., Frka, S., Gašparović, B.Ž., Guitart, C., Murrell, J.C., Salter, M., Stolle, C., Upstill-Goddard, R., Wurl, O., 2013. Sea surface microlayers: A unified physicochemical and biological perspective of the air-ocean interface. Prog. Oceanogr. 109, 104–116. https://doi.org/10.1016/j.pocean.2012.08.004</w:t>
      </w:r>
    </w:p>
    <w:p w14:paraId="169C444D" w14:textId="4DC50776" w:rsidR="0067367B" w:rsidRPr="005A4571" w:rsidRDefault="0067367B" w:rsidP="008A79C4">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Cyberska</w:t>
      </w:r>
      <w:r w:rsidR="00016395">
        <w:rPr>
          <w:rFonts w:ascii="Times New Roman" w:hAnsi="Times New Roman"/>
          <w:color w:val="000000"/>
          <w:lang w:val="en-GB"/>
        </w:rPr>
        <w:t>,</w:t>
      </w:r>
      <w:r w:rsidRPr="005A4571">
        <w:rPr>
          <w:rFonts w:ascii="Times New Roman" w:hAnsi="Times New Roman"/>
          <w:color w:val="000000"/>
          <w:lang w:val="en-GB"/>
        </w:rPr>
        <w:t xml:space="preserve"> B</w:t>
      </w:r>
      <w:r w:rsidR="00B15051" w:rsidRPr="005A4571">
        <w:rPr>
          <w:rFonts w:ascii="Times New Roman" w:hAnsi="Times New Roman"/>
          <w:color w:val="000000"/>
          <w:lang w:val="en-GB"/>
        </w:rPr>
        <w:t>.</w:t>
      </w:r>
      <w:r w:rsidRPr="005A4571">
        <w:rPr>
          <w:rFonts w:ascii="Times New Roman" w:hAnsi="Times New Roman"/>
          <w:color w:val="000000"/>
          <w:lang w:val="en-GB"/>
        </w:rPr>
        <w:t xml:space="preserve">, Krzymiński W, 1988. Extension of the Vistula River water in the Gulf of Gdansk, 16th Conference of the Baltic Oceanographers, Kiel, proceedings </w:t>
      </w:r>
      <w:r w:rsidR="007F760D" w:rsidRPr="005A4571">
        <w:rPr>
          <w:rFonts w:ascii="Times New Roman" w:hAnsi="Times New Roman"/>
          <w:color w:val="000000"/>
          <w:lang w:val="en-GB"/>
        </w:rPr>
        <w:t>1,</w:t>
      </w:r>
      <w:r w:rsidRPr="005A4571">
        <w:rPr>
          <w:rFonts w:ascii="Times New Roman" w:hAnsi="Times New Roman"/>
          <w:color w:val="000000"/>
          <w:lang w:val="en-GB"/>
        </w:rPr>
        <w:t xml:space="preserve"> 290-304, Institute of Marine Research, Kiel, Germany</w:t>
      </w:r>
    </w:p>
    <w:p w14:paraId="69C25936"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Dembitsky, V.M., Rozentsvet, O.A., 1990. Phospholipid composition of some marine red algae. Phytochemistry 29, 3149–3152. https://doi.org/10.1016/0031-9422(90)80175-G</w:t>
      </w:r>
    </w:p>
    <w:p w14:paraId="5FE5551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Derieux, S., Fillaux, J., Saliot, A., 1998. Lipid class and fatty acid distributions in particulate and dissolved fractions in the north Adriatic </w:t>
      </w:r>
      <w:r w:rsidR="003E1452" w:rsidRPr="005A4571">
        <w:rPr>
          <w:rFonts w:ascii="Times New Roman" w:hAnsi="Times New Roman"/>
          <w:color w:val="000000"/>
          <w:lang w:val="en-GB"/>
        </w:rPr>
        <w:t>S</w:t>
      </w:r>
      <w:r w:rsidRPr="005A4571">
        <w:rPr>
          <w:rFonts w:ascii="Times New Roman" w:hAnsi="Times New Roman"/>
          <w:color w:val="000000"/>
          <w:lang w:val="en-GB"/>
        </w:rPr>
        <w:t>ea. Org. Geochem. 29, 5</w:t>
      </w:r>
      <w:r w:rsidR="00914BEA" w:rsidRPr="005A4571">
        <w:rPr>
          <w:rFonts w:ascii="Times New Roman" w:hAnsi="Times New Roman"/>
          <w:color w:val="000000"/>
          <w:lang w:val="en-GB"/>
        </w:rPr>
        <w:t>–</w:t>
      </w:r>
      <w:r w:rsidRPr="005A4571">
        <w:rPr>
          <w:rFonts w:ascii="Times New Roman" w:hAnsi="Times New Roman"/>
          <w:color w:val="000000"/>
          <w:lang w:val="en-GB"/>
        </w:rPr>
        <w:t>7. https://doi.org/10.1016/S0146-6380(98)00089-8</w:t>
      </w:r>
    </w:p>
    <w:p w14:paraId="7BFD4EF4"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Dragićević, D., Pravdić, V., 1981. Properties of the sea</w:t>
      </w:r>
      <w:r w:rsidR="003E1452" w:rsidRPr="005A4571">
        <w:rPr>
          <w:rFonts w:ascii="Times New Roman" w:hAnsi="Times New Roman"/>
          <w:color w:val="000000"/>
          <w:lang w:val="en-GB"/>
        </w:rPr>
        <w:t xml:space="preserve">water–air interface: </w:t>
      </w:r>
      <w:r w:rsidRPr="005A4571">
        <w:rPr>
          <w:rFonts w:ascii="Times New Roman" w:hAnsi="Times New Roman"/>
          <w:color w:val="000000"/>
          <w:lang w:val="en-GB"/>
        </w:rPr>
        <w:t>Rates of surface</w:t>
      </w:r>
      <w:r w:rsidR="003E1452" w:rsidRPr="005A4571">
        <w:rPr>
          <w:rFonts w:ascii="Times New Roman" w:hAnsi="Times New Roman"/>
          <w:color w:val="000000"/>
          <w:lang w:val="en-GB"/>
        </w:rPr>
        <w:t xml:space="preserve"> </w:t>
      </w:r>
      <w:r w:rsidRPr="005A4571">
        <w:rPr>
          <w:rFonts w:ascii="Times New Roman" w:hAnsi="Times New Roman"/>
          <w:color w:val="000000"/>
          <w:lang w:val="en-GB"/>
        </w:rPr>
        <w:t>film formation under steady state conditions. Limnol. Oceanogr. 26, 492–499. https://doi.org/10.4319/lo.1981.26.3.0492</w:t>
      </w:r>
    </w:p>
    <w:p w14:paraId="3FCAE86B" w14:textId="77777777" w:rsidR="00822EB7" w:rsidRPr="005A4571" w:rsidRDefault="00822EB7"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Babichenko, S., Lisin, A., 2002. Natural water fluorescence characteristics based on lidar investigations of a surface water layer polluted by an oil film; the Baltic cruise - May 2000. Oceanologia 44, 339-354.</w:t>
      </w:r>
    </w:p>
    <w:p w14:paraId="66431B6C"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2007. Seasonal and spatial variability of surface seawater fluorescence properties in the Baltic and Nordic Seas: Results of lidar experiments. Oceanologia 49, 59</w:t>
      </w:r>
      <w:r w:rsidR="00914BEA" w:rsidRPr="005A4571">
        <w:rPr>
          <w:rFonts w:ascii="Times New Roman" w:hAnsi="Times New Roman"/>
          <w:color w:val="000000"/>
          <w:lang w:val="en-GB"/>
        </w:rPr>
        <w:t>–</w:t>
      </w:r>
      <w:r w:rsidRPr="005A4571">
        <w:rPr>
          <w:rFonts w:ascii="Times New Roman" w:hAnsi="Times New Roman"/>
          <w:color w:val="000000"/>
          <w:lang w:val="en-GB"/>
        </w:rPr>
        <w:t>69.</w:t>
      </w:r>
    </w:p>
    <w:p w14:paraId="377FF42C"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Fateyeva, N.L., 2013. Spectrophotometric study of natural Baltic surfactants – results of marine experiment, in: Traczewska, T.M., Hanus-Lorenz, B. (Eds.), Hydrobiology in Environment Protection. Oficyna Wydawnicza Politechniki Wrocławskiej, Wroclaw</w:t>
      </w:r>
      <w:r w:rsidR="00914BEA" w:rsidRPr="005A4571">
        <w:rPr>
          <w:rFonts w:ascii="Times New Roman" w:hAnsi="Times New Roman"/>
          <w:color w:val="000000"/>
          <w:lang w:val="en-GB"/>
        </w:rPr>
        <w:t>,</w:t>
      </w:r>
      <w:r w:rsidRPr="005A4571">
        <w:rPr>
          <w:rFonts w:ascii="Times New Roman" w:hAnsi="Times New Roman"/>
          <w:color w:val="000000"/>
          <w:lang w:val="en-GB"/>
        </w:rPr>
        <w:t xml:space="preserve"> 25–32.</w:t>
      </w:r>
    </w:p>
    <w:p w14:paraId="42C71214"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Józefowicz, M., 2015. Spectrophotometric studies of marine surfactants in the southern Baltic Sea. Oceanologia 57, 159–167. https://doi.org/10.1016/j.oceano.2014.12.002</w:t>
      </w:r>
    </w:p>
    <w:p w14:paraId="6A0D57CA"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Kowalczuk, P., Józefowicz, M., 2015. Spectrofluorometric characteristics of fluorescent dissolved organic matter in a surface microlayer in the Southern Baltic coastal waters. J. Eur. Opt. Soc. 10</w:t>
      </w:r>
      <w:r w:rsidR="009F1B07" w:rsidRPr="005A4571">
        <w:rPr>
          <w:rFonts w:ascii="Times New Roman" w:hAnsi="Times New Roman"/>
          <w:color w:val="000000"/>
          <w:lang w:val="en-GB"/>
        </w:rPr>
        <w:t>, 15050</w:t>
      </w:r>
      <w:r w:rsidRPr="005A4571">
        <w:rPr>
          <w:rFonts w:ascii="Times New Roman" w:hAnsi="Times New Roman"/>
          <w:color w:val="000000"/>
          <w:lang w:val="en-GB"/>
        </w:rPr>
        <w:t>. https://doi.org/10.2971/jeos.2015.15050</w:t>
      </w:r>
    </w:p>
    <w:p w14:paraId="1CEDC803" w14:textId="77777777" w:rsidR="00822EB7" w:rsidRPr="005A4571" w:rsidRDefault="00822EB7" w:rsidP="00822EB7">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Wrobel, I., Markuszewski, P., Makuch, P., Raczkowska, A., Kowalczuk, P., 2017. Study on organic matter fractions in the surface microlayer in the Baltic Sea by spectrophotometric and spectrofluorometric methods. Ocean Sci. 13, 633–647. https://doi.org/10.5194/os-13-633-2017</w:t>
      </w:r>
    </w:p>
    <w:p w14:paraId="691ED695"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Drozdowska, V., Kowalczuk, P., Konik, M., Dzierzbicka-Glowacka, L., 2018. Study on different fractions of organic molecules in the Baltic Sea surface microlayer by spectrophoto- and spectrofluorimetric methods. Front. Mar. Sci. 5, 1–12. https://doi.org/10.3389/fmars.2018.00456</w:t>
      </w:r>
    </w:p>
    <w:p w14:paraId="5F1AF482"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lastRenderedPageBreak/>
        <w:t>Falkowska, L., 1999. Sea surface microlayer: A field evaluation of teflon plate, glass plate and screen sampling techniques. Part 2. Dissolved and suspended matter. Oceanologia 41, 223–240.</w:t>
      </w:r>
    </w:p>
    <w:p w14:paraId="28230C06"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Frew, N.M., Goldman, J.C., Dennett, M.R., Johnson, A.S., 1990. Impact of phytoplankton-generated surfactants on air-sea gas exchange. J. Geophys. Res. 95, 3337. https://doi.org/10.1029/jc095ic03p03337</w:t>
      </w:r>
    </w:p>
    <w:p w14:paraId="63911220"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Frka, S., Kozarac, Z., Ćosović, B., 2009. Characterization and seasonal variations of surface active substances in the natural sea surface micro-layers of the coastal Middle Adriatic stations. Estuar. Coast. Shelf Sci. 85, 555–564. </w:t>
      </w:r>
      <w:r w:rsidR="00822EB7" w:rsidRPr="007A4EAA">
        <w:rPr>
          <w:rFonts w:ascii="Times New Roman" w:hAnsi="Times New Roman"/>
          <w:lang w:val="en-GB"/>
        </w:rPr>
        <w:t>https://doi.org/10.1016/j.ecss.2009.09.023</w:t>
      </w:r>
    </w:p>
    <w:p w14:paraId="4F714E8F" w14:textId="47CC7856" w:rsidR="00822EB7" w:rsidRPr="005A4571" w:rsidRDefault="00EF31AA"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Frka, S., Gašparović, B., Marić, D., Godrijan, J., Djakovac, T., Vojvodić, V., Dautović, J.</w:t>
      </w:r>
      <w:r w:rsidR="00B146DA">
        <w:rPr>
          <w:rFonts w:ascii="Times New Roman" w:hAnsi="Times New Roman"/>
          <w:color w:val="000000"/>
          <w:lang w:val="en-GB"/>
        </w:rPr>
        <w:t>,</w:t>
      </w:r>
      <w:r w:rsidRPr="005A4571">
        <w:rPr>
          <w:rFonts w:ascii="Times New Roman" w:hAnsi="Times New Roman"/>
          <w:color w:val="000000"/>
          <w:lang w:val="en-GB"/>
        </w:rPr>
        <w:t xml:space="preserve"> Kozarac, Z., 2011. Phytoplankton driven distribution of dissolved and particulate lipids in a semi-enclosed temperate sea (Mediterranean): Spring to summer situation. Estuar. Coast. Shelf Sci. 93(4), 290-304. https://doi.org/10.1016/j.ecss.2011.04.017</w:t>
      </w:r>
    </w:p>
    <w:p w14:paraId="48DFA43B" w14:textId="448D6589" w:rsidR="00EF31AA" w:rsidRPr="005A4571" w:rsidRDefault="00EF31AA"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Kozarac, Z., Saliot, A., Ćosović, B., Möbius, D.</w:t>
      </w:r>
      <w:r w:rsidR="00B146DA">
        <w:rPr>
          <w:rFonts w:ascii="Times New Roman" w:hAnsi="Times New Roman"/>
          <w:color w:val="000000"/>
          <w:lang w:val="en-GB"/>
        </w:rPr>
        <w:t>,</w:t>
      </w:r>
      <w:r w:rsidRPr="005A4571">
        <w:rPr>
          <w:rFonts w:ascii="Times New Roman" w:hAnsi="Times New Roman"/>
          <w:color w:val="000000"/>
          <w:lang w:val="en-GB"/>
        </w:rPr>
        <w:t xml:space="preserve"> 1998. Physico-chemical characterization of natural and ex-situ reconstructed sea-surface microlayers. J. Colloid Interface Sci. 208, 191-202. </w:t>
      </w:r>
      <w:r w:rsidRPr="007A4EAA">
        <w:rPr>
          <w:rFonts w:ascii="Times New Roman" w:hAnsi="Times New Roman"/>
          <w:lang w:val="en-GB"/>
        </w:rPr>
        <w:t>https://doi.org/10.1006/jcis.1998.5792</w:t>
      </w:r>
    </w:p>
    <w:p w14:paraId="46AC54EF" w14:textId="5C808DBF" w:rsidR="00EF31AA" w:rsidRPr="005A4571" w:rsidRDefault="00EF31AA"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Plavšić, M., Ćosović, B.</w:t>
      </w:r>
      <w:r w:rsidR="00B146DA">
        <w:rPr>
          <w:rFonts w:ascii="Times New Roman" w:hAnsi="Times New Roman"/>
          <w:color w:val="000000"/>
          <w:lang w:val="en-GB"/>
        </w:rPr>
        <w:t>,</w:t>
      </w:r>
      <w:r w:rsidRPr="005A4571">
        <w:rPr>
          <w:rFonts w:ascii="Times New Roman" w:hAnsi="Times New Roman"/>
          <w:color w:val="000000"/>
          <w:lang w:val="en-GB"/>
        </w:rPr>
        <w:t xml:space="preserve"> Saliot, A., 2007. Organic matter characterization in the sea surface microlayers in the subarctic Norwegian fjords region. Mar. Chem. 105, 1-14. </w:t>
      </w:r>
      <w:r w:rsidRPr="007A4EAA">
        <w:rPr>
          <w:rFonts w:ascii="Times New Roman" w:hAnsi="Times New Roman"/>
          <w:lang w:val="en-GB"/>
        </w:rPr>
        <w:t>https://doi.org/10.1016/j.marchem.2006.12.010</w:t>
      </w:r>
    </w:p>
    <w:p w14:paraId="5C432512"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Djakovac, T., Tepić, N., Degobbis, D., 2011. Relationships between surface-active organic substances, chlorophyll a and nutrients in the northern Adriatic Sea. Cont. Shelf Res. 31, 1149–1160. https://doi.org/10.1016/j.csr.2011.04.010</w:t>
      </w:r>
    </w:p>
    <w:p w14:paraId="16F211FC" w14:textId="2EAA8FA5"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Frka, S., Koch, B.P., Zhu, Z.Y., Bracher, A., Lechtenfeld, O.J., Neogi, S.B., Lara, R.J., Kattner, G.</w:t>
      </w:r>
      <w:r w:rsidR="00B146DA">
        <w:rPr>
          <w:rFonts w:ascii="Times New Roman" w:hAnsi="Times New Roman"/>
          <w:color w:val="000000"/>
          <w:lang w:val="en-GB"/>
        </w:rPr>
        <w:t>,</w:t>
      </w:r>
      <w:r w:rsidRPr="005A4571">
        <w:rPr>
          <w:rFonts w:ascii="Times New Roman" w:hAnsi="Times New Roman"/>
          <w:color w:val="000000"/>
          <w:lang w:val="en-GB"/>
        </w:rPr>
        <w:t xml:space="preserve"> 2014. Factors influencing particulate lipid production in the East Atlantic Ocean. Deep-Sea Res. </w:t>
      </w:r>
      <w:r w:rsidR="00AB0301" w:rsidRPr="005A4571">
        <w:rPr>
          <w:rFonts w:ascii="Times New Roman" w:hAnsi="Times New Roman"/>
          <w:color w:val="000000"/>
          <w:lang w:val="en-GB"/>
        </w:rPr>
        <w:t xml:space="preserve">Pt. </w:t>
      </w:r>
      <w:r w:rsidRPr="005A4571">
        <w:rPr>
          <w:rFonts w:ascii="Times New Roman" w:hAnsi="Times New Roman"/>
          <w:color w:val="000000"/>
          <w:lang w:val="en-GB"/>
        </w:rPr>
        <w:t>I. 89, 56-67. https://doi.org/10.1016/j.dsr.2014.04.005</w:t>
      </w:r>
    </w:p>
    <w:p w14:paraId="5FA8C058"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Kazazić, S.P., Cvitešić, A., Penezić, A., Frka, S., 2015. Improved separation and analysis of glycolipids by Iatroscan thin-layer chromatography-flame ionization detection. J. Chromatogr. A 1409, 259–267. https://doi.org/10.1016/j.chroma.2015.07.047</w:t>
      </w:r>
    </w:p>
    <w:p w14:paraId="67E7DAF7" w14:textId="77777777" w:rsidR="00094A79" w:rsidRPr="005A4571" w:rsidRDefault="00094A79"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Penezić, A., Lampitt, R.S., Sudasinghe, N., Schaub, T., 2016. Free fatty acids, tri-, di- and monoacylglycerol production and depth-related cycling in the Northeast Atlantic. Mar. Chem. 186, 101-109. https://doi.org/10.1016/j.marchem.2016.09.002</w:t>
      </w:r>
    </w:p>
    <w:p w14:paraId="44C81E41" w14:textId="43E68CD6" w:rsidR="0067367B"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Gašparović, B., Kazazić, S.P., Cvitešić, A., Penezić, A., Frka, S., 2017. Corrigendum to “Improved separation and analysis of glycolipids by Iatroscan thin-layer chromatography–flame ionization detection” [J. Chromatogr. A 1409 (2015) 259–267]</w:t>
      </w:r>
      <w:r w:rsidR="00AB0301" w:rsidRPr="005A4571">
        <w:rPr>
          <w:rFonts w:ascii="Times New Roman" w:hAnsi="Times New Roman"/>
          <w:color w:val="000000"/>
          <w:lang w:val="en-GB"/>
        </w:rPr>
        <w:t xml:space="preserve"> </w:t>
      </w:r>
      <w:r w:rsidRPr="005A4571">
        <w:rPr>
          <w:rFonts w:ascii="Times New Roman" w:hAnsi="Times New Roman"/>
          <w:color w:val="000000"/>
          <w:lang w:val="en-GB"/>
        </w:rPr>
        <w:t xml:space="preserve">(S0021967315010158)(10.1016/j.chroma.2015.07.047). J. Chromatogr. A 1521. </w:t>
      </w:r>
      <w:r w:rsidR="001D6ABC" w:rsidRPr="008112D6">
        <w:rPr>
          <w:rFonts w:ascii="Times New Roman" w:hAnsi="Times New Roman"/>
          <w:color w:val="000000"/>
          <w:lang w:val="en-GB"/>
        </w:rPr>
        <w:t>https://doi.org/10.1016/j.chroma.2017.09.038</w:t>
      </w:r>
    </w:p>
    <w:p w14:paraId="79A04FE1" w14:textId="77777777" w:rsidR="001D6ABC" w:rsidRPr="008112D6" w:rsidRDefault="001D6ABC" w:rsidP="008112D6">
      <w:pPr>
        <w:pStyle w:val="NoSpacing"/>
        <w:spacing w:after="120"/>
        <w:ind w:left="720" w:hanging="706"/>
        <w:rPr>
          <w:rFonts w:ascii="Times New Roman" w:hAnsi="Times New Roman"/>
          <w:color w:val="000000"/>
          <w:lang w:val="en-GB"/>
        </w:rPr>
      </w:pPr>
      <w:r w:rsidRPr="008112D6">
        <w:rPr>
          <w:rFonts w:ascii="Times New Roman" w:hAnsi="Times New Roman"/>
          <w:color w:val="000000"/>
          <w:lang w:val="en-GB"/>
        </w:rPr>
        <w:t xml:space="preserve">Gašparović, B., Penezić, A., Frka, S., Kazazić, S., Lampitt, R.S., Holguin, F.O., Sudasinghe, N., Schaub, T., 2018. Particulate sulfur-containing lipids: production and cycling from the epipelagic to the abyssopelagic zones. Deep-Sea Res. I, 134, 12–22. </w:t>
      </w:r>
      <w:hyperlink r:id="rId18" w:history="1">
        <w:r w:rsidRPr="008112D6">
          <w:rPr>
            <w:rFonts w:ascii="Times New Roman" w:hAnsi="Times New Roman"/>
            <w:color w:val="000000"/>
            <w:lang w:val="en-GB"/>
          </w:rPr>
          <w:t>https://doi.org/10.1016/j.dsr.2018.03.007</w:t>
        </w:r>
      </w:hyperlink>
    </w:p>
    <w:p w14:paraId="4C3D8C5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w:t>
      </w:r>
      <w:r w:rsidR="00094A79" w:rsidRPr="005A4571">
        <w:rPr>
          <w:rFonts w:ascii="Times New Roman" w:hAnsi="Times New Roman"/>
          <w:color w:val="000000"/>
          <w:lang w:val="en-GB"/>
        </w:rPr>
        <w:t>er</w:t>
      </w:r>
      <w:r w:rsidRPr="005A4571">
        <w:rPr>
          <w:rFonts w:ascii="Times New Roman" w:hAnsi="Times New Roman"/>
          <w:color w:val="000000"/>
          <w:lang w:val="en-GB"/>
        </w:rPr>
        <w:t>in, C., Goutx, M., 1993. Separation and quantification of phospholipids from marine bacteria with the latroscan mark IV TLC-FID. J. Planar Chromatogr. 6, 307–312.</w:t>
      </w:r>
    </w:p>
    <w:p w14:paraId="703EA313"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w:t>
      </w:r>
      <w:r w:rsidR="00094A79" w:rsidRPr="005A4571">
        <w:rPr>
          <w:rFonts w:ascii="Times New Roman" w:hAnsi="Times New Roman"/>
          <w:color w:val="000000"/>
          <w:lang w:val="en-GB"/>
        </w:rPr>
        <w:t>erin</w:t>
      </w:r>
      <w:r w:rsidRPr="005A4571">
        <w:rPr>
          <w:rFonts w:ascii="Times New Roman" w:hAnsi="Times New Roman"/>
          <w:color w:val="000000"/>
          <w:lang w:val="en-GB"/>
        </w:rPr>
        <w:t>, C., Goutx, M., 1994. Iatroscan-measured particulate and dissolved lipids in the Almeria-Oran frontal system (Almofront-1, May 1991). J. Mar. Sys. 5, 343-360. https://doi.org/10.1016/0924-7963(94)90055-8</w:t>
      </w:r>
    </w:p>
    <w:p w14:paraId="2E030132"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Giani, M., Savelli, F., Berto, D., Zangrando, V., Ćosović, V., Vojvocić, V., 2005. Temporal dynamics of dissolved and particulate organic carbon in the northern Adriatic Sea in relation to the </w:t>
      </w:r>
      <w:r w:rsidRPr="005A4571">
        <w:rPr>
          <w:rFonts w:ascii="Times New Roman" w:hAnsi="Times New Roman"/>
          <w:color w:val="000000"/>
          <w:lang w:val="en-GB"/>
        </w:rPr>
        <w:lastRenderedPageBreak/>
        <w:t>mucilage events. Sci. Total Environ. 353, 126-138. https://doi.org/10.1016/j.scitotenv.2005.09.062</w:t>
      </w:r>
    </w:p>
    <w:p w14:paraId="4451A737"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Glasby, G.P., Szefer, P., 1998. Marine pollution in Gdansk Bay, Puck Bay and the Vistula Lagoon, Poland: An overview. Sci. Total Environ. 212</w:t>
      </w:r>
      <w:r w:rsidR="00070BCC" w:rsidRPr="005A4571">
        <w:rPr>
          <w:rFonts w:ascii="Times New Roman" w:hAnsi="Times New Roman"/>
          <w:color w:val="000000"/>
          <w:lang w:val="en-GB"/>
        </w:rPr>
        <w:t>, 49-57</w:t>
      </w:r>
      <w:r w:rsidRPr="005A4571">
        <w:rPr>
          <w:rFonts w:ascii="Times New Roman" w:hAnsi="Times New Roman"/>
          <w:color w:val="000000"/>
          <w:lang w:val="en-GB"/>
        </w:rPr>
        <w:t>. https://doi.org/10.1016/S0048-9697(97)00333-1</w:t>
      </w:r>
    </w:p>
    <w:p w14:paraId="0B88D0D6"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Goutx, M., Guigue, C., Striby, L., 2003. Triacylglycerol biodegradation experiment in marine environmental conditions: Definition of a new lipolysis index. Org. Geochem. 34, 1465-1473. https://doi.org/10.1016/S0146-6380(03)00119-0</w:t>
      </w:r>
    </w:p>
    <w:p w14:paraId="1AC04BC8"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Grelowski, A., Wojewodzki, T., 1996. The impact of the Vistula river on the hydrological conditions in the Gulf of Gdansk in 1994. Bull. Sea Fish. Inst. </w:t>
      </w:r>
      <w:r w:rsidR="00070BCC" w:rsidRPr="005A4571">
        <w:rPr>
          <w:rFonts w:ascii="Times New Roman" w:hAnsi="Times New Roman"/>
          <w:color w:val="000000"/>
          <w:lang w:val="en-GB"/>
        </w:rPr>
        <w:t xml:space="preserve">137, </w:t>
      </w:r>
      <w:r w:rsidRPr="005A4571">
        <w:rPr>
          <w:rFonts w:ascii="Times New Roman" w:hAnsi="Times New Roman"/>
          <w:color w:val="000000"/>
          <w:lang w:val="en-GB"/>
        </w:rPr>
        <w:t>23–33.</w:t>
      </w:r>
    </w:p>
    <w:p w14:paraId="5E27E74F"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Guschina, I.A., Harwood, J.L., 2009. Algal lipids and effect of the environment on their biochemistry, in: </w:t>
      </w:r>
      <w:r w:rsidR="008A79C4" w:rsidRPr="005A4571">
        <w:rPr>
          <w:rFonts w:ascii="Times New Roman" w:hAnsi="Times New Roman"/>
          <w:color w:val="000000"/>
          <w:lang w:val="en-GB"/>
        </w:rPr>
        <w:t xml:space="preserve">Kainz, M., Brett., M. T., Arts, M. T (Eds.), </w:t>
      </w:r>
      <w:r w:rsidRPr="005A4571">
        <w:rPr>
          <w:rFonts w:ascii="Times New Roman" w:hAnsi="Times New Roman"/>
          <w:color w:val="000000"/>
          <w:lang w:val="en-GB"/>
        </w:rPr>
        <w:t>Lipids in Aquatic Ecosystems</w:t>
      </w:r>
      <w:r w:rsidR="00AB0301" w:rsidRPr="005A4571">
        <w:rPr>
          <w:rFonts w:ascii="Times New Roman" w:hAnsi="Times New Roman"/>
          <w:color w:val="000000"/>
          <w:lang w:val="en-GB"/>
        </w:rPr>
        <w:t xml:space="preserve"> </w:t>
      </w:r>
      <w:r w:rsidR="002E1F2A" w:rsidRPr="005A4571">
        <w:rPr>
          <w:rFonts w:ascii="Times New Roman" w:hAnsi="Times New Roman"/>
          <w:color w:val="000000"/>
          <w:lang w:val="en-GB"/>
        </w:rPr>
        <w:t>Springer, New York</w:t>
      </w:r>
      <w:r w:rsidR="008A79C4" w:rsidRPr="005A4571">
        <w:rPr>
          <w:rFonts w:ascii="Times New Roman" w:hAnsi="Times New Roman"/>
          <w:color w:val="000000"/>
          <w:lang w:val="en-GB"/>
        </w:rPr>
        <w:t>, 1–24.</w:t>
      </w:r>
      <w:r w:rsidRPr="005A4571">
        <w:rPr>
          <w:rFonts w:ascii="Times New Roman" w:hAnsi="Times New Roman"/>
          <w:color w:val="000000"/>
          <w:lang w:val="en-GB"/>
        </w:rPr>
        <w:t xml:space="preserve"> https://doi.org/10.1007/978-0-387-89366-2_1</w:t>
      </w:r>
    </w:p>
    <w:p w14:paraId="5AAE1CE0" w14:textId="76031C4A" w:rsidR="00A32C3D" w:rsidRDefault="00A32C3D" w:rsidP="00EC48C9">
      <w:pPr>
        <w:pStyle w:val="NoSpacing"/>
        <w:spacing w:after="120"/>
        <w:ind w:left="720" w:hanging="706"/>
        <w:rPr>
          <w:rFonts w:ascii="Times New Roman" w:hAnsi="Times New Roman"/>
          <w:color w:val="000000"/>
          <w:lang w:val="en-GB"/>
        </w:rPr>
      </w:pPr>
      <w:r w:rsidRPr="00A32C3D">
        <w:rPr>
          <w:rFonts w:ascii="Times New Roman" w:hAnsi="Times New Roman"/>
          <w:color w:val="000000"/>
          <w:lang w:val="en-GB"/>
        </w:rPr>
        <w:t>Harvey, H.R., Tuttle, J.H., Bell, J., 1995. Kinetics of phytoplankton decay during simulated sedimentation, Changes in biochemical composition and microbial activity under oxic and anoxic conditions. Geochim. Cosmochim. Acta, 59, 367–3377. https://doi.org/10.1016/0016-7037(95)00217-N</w:t>
      </w:r>
    </w:p>
    <w:p w14:paraId="3BE1AF9F" w14:textId="40641609"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Harwood, J.L., 2006. Membrane Lipids in Algae, in:</w:t>
      </w:r>
      <w:r w:rsidR="00914BEA" w:rsidRPr="005A4571">
        <w:rPr>
          <w:rFonts w:ascii="Times New Roman" w:hAnsi="Times New Roman"/>
        </w:rPr>
        <w:t xml:space="preserve"> </w:t>
      </w:r>
      <w:r w:rsidR="00914BEA" w:rsidRPr="005A4571">
        <w:rPr>
          <w:rFonts w:ascii="Times New Roman" w:hAnsi="Times New Roman"/>
          <w:color w:val="000000"/>
          <w:lang w:val="en-GB"/>
        </w:rPr>
        <w:t>Siegenthaler, P.-A., Murata, N. (Eds.),</w:t>
      </w:r>
      <w:r w:rsidRPr="005A4571">
        <w:rPr>
          <w:rFonts w:ascii="Times New Roman" w:hAnsi="Times New Roman"/>
          <w:color w:val="000000"/>
          <w:lang w:val="en-GB"/>
        </w:rPr>
        <w:t xml:space="preserve"> Lipids in Photosynthesis: Structure, Function and Genetics</w:t>
      </w:r>
      <w:r w:rsidR="002E1F2A" w:rsidRPr="005A4571">
        <w:rPr>
          <w:rFonts w:ascii="Times New Roman" w:hAnsi="Times New Roman"/>
          <w:color w:val="000000"/>
          <w:lang w:val="en-GB"/>
        </w:rPr>
        <w:t>.</w:t>
      </w:r>
      <w:r w:rsidR="00AB0301" w:rsidRPr="005A4571">
        <w:rPr>
          <w:rFonts w:ascii="Times New Roman" w:hAnsi="Times New Roman"/>
          <w:color w:val="000000"/>
          <w:lang w:val="en-GB"/>
        </w:rPr>
        <w:t xml:space="preserve"> </w:t>
      </w:r>
      <w:r w:rsidR="002E1F2A" w:rsidRPr="005A4571">
        <w:rPr>
          <w:rFonts w:ascii="Times New Roman" w:hAnsi="Times New Roman"/>
          <w:color w:val="000000"/>
          <w:lang w:val="en-GB"/>
        </w:rPr>
        <w:t>Advances in Photosynthesis and Respiration</w:t>
      </w:r>
      <w:r w:rsidR="003015EF" w:rsidRPr="005A4571">
        <w:rPr>
          <w:rFonts w:ascii="Times New Roman" w:hAnsi="Times New Roman"/>
          <w:color w:val="000000"/>
          <w:lang w:val="en-GB"/>
        </w:rPr>
        <w:t xml:space="preserve">, vol </w:t>
      </w:r>
      <w:r w:rsidR="00914BEA" w:rsidRPr="005A4571">
        <w:rPr>
          <w:rFonts w:ascii="Times New Roman" w:hAnsi="Times New Roman"/>
          <w:color w:val="000000"/>
          <w:lang w:val="en-GB"/>
        </w:rPr>
        <w:t>6</w:t>
      </w:r>
      <w:r w:rsidR="003015EF" w:rsidRPr="005A4571">
        <w:rPr>
          <w:rFonts w:ascii="Times New Roman" w:hAnsi="Times New Roman"/>
          <w:color w:val="000000"/>
          <w:lang w:val="en-GB"/>
        </w:rPr>
        <w:t xml:space="preserve"> </w:t>
      </w:r>
      <w:r w:rsidR="002E1F2A" w:rsidRPr="005A4571">
        <w:rPr>
          <w:rFonts w:ascii="Times New Roman" w:hAnsi="Times New Roman"/>
          <w:color w:val="000000"/>
          <w:lang w:val="en-GB"/>
        </w:rPr>
        <w:t>Springer, Dordrecht</w:t>
      </w:r>
      <w:r w:rsidR="00914BEA" w:rsidRPr="005A4571">
        <w:rPr>
          <w:rFonts w:ascii="Times New Roman" w:hAnsi="Times New Roman"/>
          <w:color w:val="000000"/>
          <w:lang w:val="en-GB"/>
        </w:rPr>
        <w:t>, 53–64</w:t>
      </w:r>
      <w:r w:rsidRPr="005A4571">
        <w:rPr>
          <w:rFonts w:ascii="Times New Roman" w:hAnsi="Times New Roman"/>
          <w:color w:val="000000"/>
          <w:lang w:val="en-GB"/>
        </w:rPr>
        <w:t xml:space="preserve"> https://doi.org/10.1007/0-306-48087-5_3</w:t>
      </w:r>
    </w:p>
    <w:p w14:paraId="5C1B2C25"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HELCOM, 2018. Input of nutrients by the seven biggest rivers in the Baltic Sea region. Balt. Sea Environ. Proc. No. 161 25.</w:t>
      </w:r>
    </w:p>
    <w:p w14:paraId="197968E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Helms, J.R., Stubbins, A., Ritchie, J.D., Minor, E.C., Kieber, D.J., Mopper, K., 2008. Absorption spectral slopes and slope ratios as indicators of molecular weight, source, and photobleaching of chromophoric dissolved organic matter. Limnol. Oceanogr. 53, 955-969. https://doi.org/10.4319/lo.2008.53.3.0955</w:t>
      </w:r>
    </w:p>
    <w:p w14:paraId="61BB0BA3" w14:textId="7A2D3326"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Hunter, K.A. 1997. Chemistry of the sea-surface microlayer. In P. S. Liss &amp; R. A. Duce (Eds.), The sea surface and global change (1st ed., pp. 287-320). Cambridge Univ. Press.</w:t>
      </w:r>
    </w:p>
    <w:p w14:paraId="5FBA4740"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Johannessen, S.C., Miller, W.L., 2001. Quantum yield for the photochemical production of dissolved inorganic carbon </w:t>
      </w:r>
      <w:r w:rsidR="00C07E24" w:rsidRPr="005A4571">
        <w:rPr>
          <w:rFonts w:ascii="Times New Roman" w:hAnsi="Times New Roman"/>
          <w:color w:val="000000"/>
          <w:lang w:val="en-GB"/>
        </w:rPr>
        <w:t>in seawater. Mar. Chem.</w:t>
      </w:r>
      <w:r w:rsidRPr="005A4571">
        <w:rPr>
          <w:rFonts w:ascii="Times New Roman" w:hAnsi="Times New Roman"/>
          <w:color w:val="000000"/>
          <w:lang w:val="en-GB"/>
        </w:rPr>
        <w:t xml:space="preserve"> 76</w:t>
      </w:r>
      <w:r w:rsidR="00AB0301" w:rsidRPr="005A4571">
        <w:rPr>
          <w:rFonts w:ascii="Times New Roman" w:hAnsi="Times New Roman"/>
          <w:color w:val="000000"/>
          <w:lang w:val="en-GB"/>
        </w:rPr>
        <w:t xml:space="preserve">, </w:t>
      </w:r>
      <w:r w:rsidRPr="005A4571">
        <w:rPr>
          <w:rFonts w:ascii="Times New Roman" w:hAnsi="Times New Roman"/>
          <w:color w:val="000000"/>
          <w:lang w:val="en-GB"/>
        </w:rPr>
        <w:t>271-283. https://doi.org/10.1016/S0304-4203(01)00067-6</w:t>
      </w:r>
    </w:p>
    <w:p w14:paraId="084C56B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Kowalczuk, P., Stedmon, C.A., Markager, S., 2006. Modeling absorption by CDOM in the Baltic Sea from season, salinity and chloroph</w:t>
      </w:r>
      <w:r w:rsidR="00C07E24" w:rsidRPr="005A4571">
        <w:rPr>
          <w:rFonts w:ascii="Times New Roman" w:hAnsi="Times New Roman"/>
          <w:color w:val="000000"/>
          <w:lang w:val="en-GB"/>
        </w:rPr>
        <w:t>yll.  Mar. Chem.</w:t>
      </w:r>
      <w:r w:rsidRPr="005A4571">
        <w:rPr>
          <w:rFonts w:ascii="Times New Roman" w:hAnsi="Times New Roman"/>
          <w:color w:val="000000"/>
          <w:lang w:val="en-GB"/>
        </w:rPr>
        <w:t xml:space="preserve"> 101, 1–11. https://doi.org/10.1016/j.marchem.2005.12.005</w:t>
      </w:r>
    </w:p>
    <w:p w14:paraId="73A6821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Kruk-Dowgiallo, L., 1996. The role of the filamentous brown algae in the degradation of the underwater meadows the Gulf of Gdansk. Oceanol. Stud. 25</w:t>
      </w:r>
      <w:r w:rsidR="001D5223" w:rsidRPr="005A4571">
        <w:rPr>
          <w:rFonts w:ascii="Times New Roman" w:hAnsi="Times New Roman"/>
          <w:color w:val="000000"/>
          <w:lang w:val="en-GB"/>
        </w:rPr>
        <w:t>, 125-135</w:t>
      </w:r>
      <w:r w:rsidRPr="005A4571">
        <w:rPr>
          <w:rFonts w:ascii="Times New Roman" w:hAnsi="Times New Roman"/>
          <w:color w:val="000000"/>
          <w:lang w:val="en-GB"/>
        </w:rPr>
        <w:t>.</w:t>
      </w:r>
    </w:p>
    <w:p w14:paraId="55DA8D1E"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Larsson, U., Elmgren, R., Wulff, F., 1985. Eutrophication and the Baltic sea: Causes and consequences. Ambio</w:t>
      </w:r>
      <w:r w:rsidR="00AB0301" w:rsidRPr="005A4571">
        <w:rPr>
          <w:rFonts w:ascii="Times New Roman" w:hAnsi="Times New Roman"/>
          <w:color w:val="000000"/>
          <w:lang w:val="en-GB"/>
        </w:rPr>
        <w:t xml:space="preserve"> 14, 9-14</w:t>
      </w:r>
      <w:r w:rsidRPr="005A4571">
        <w:rPr>
          <w:rFonts w:ascii="Times New Roman" w:hAnsi="Times New Roman"/>
          <w:color w:val="000000"/>
          <w:lang w:val="en-GB"/>
        </w:rPr>
        <w:t xml:space="preserve">. </w:t>
      </w:r>
    </w:p>
    <w:p w14:paraId="3C649808"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Lei, X., Pan, J., Devlin, A.T., 2020. Variations of the Absorption of Chromophoric Dissolved Organic Matter in the Pearl River Estuary. In Estuaries and Coastal Zones-Dynamics and Response to Environmental Changes. IntechOpen. https://www.intechopen.com/chapters/70692.</w:t>
      </w:r>
    </w:p>
    <w:p w14:paraId="7A294677"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Liss, P.S., 1975. Chemistry of the sea surface microlayer</w:t>
      </w:r>
      <w:r w:rsidR="008A79C4" w:rsidRPr="005A4571">
        <w:rPr>
          <w:rFonts w:ascii="Times New Roman" w:hAnsi="Times New Roman"/>
          <w:color w:val="000000"/>
          <w:lang w:val="en-GB"/>
        </w:rPr>
        <w:t>,</w:t>
      </w:r>
      <w:r w:rsidRPr="005A4571">
        <w:rPr>
          <w:rFonts w:ascii="Times New Roman" w:hAnsi="Times New Roman"/>
          <w:color w:val="000000"/>
          <w:lang w:val="en-GB"/>
        </w:rPr>
        <w:t xml:space="preserve"> </w:t>
      </w:r>
      <w:r w:rsidR="008A79C4" w:rsidRPr="005A4571">
        <w:rPr>
          <w:rFonts w:ascii="Times New Roman" w:hAnsi="Times New Roman"/>
          <w:color w:val="000000"/>
          <w:lang w:val="en-GB"/>
        </w:rPr>
        <w:t>i</w:t>
      </w:r>
      <w:r w:rsidRPr="005A4571">
        <w:rPr>
          <w:rFonts w:ascii="Times New Roman" w:hAnsi="Times New Roman"/>
          <w:color w:val="000000"/>
          <w:lang w:val="en-GB"/>
        </w:rPr>
        <w:t>n: Riley, J.P., Skirrow, G. (Eds.),</w:t>
      </w:r>
      <w:r w:rsidR="001D5223" w:rsidRPr="005A4571">
        <w:rPr>
          <w:rFonts w:ascii="Times New Roman" w:hAnsi="Times New Roman"/>
          <w:color w:val="000000"/>
          <w:lang w:val="en-GB"/>
        </w:rPr>
        <w:t xml:space="preserve"> </w:t>
      </w:r>
      <w:r w:rsidRPr="005A4571">
        <w:rPr>
          <w:rFonts w:ascii="Times New Roman" w:hAnsi="Times New Roman"/>
          <w:color w:val="000000"/>
          <w:lang w:val="en-GB"/>
        </w:rPr>
        <w:t>Chemical Oceanography, vol. 2. Academic Press, London, U.K.,</w:t>
      </w:r>
      <w:r w:rsidR="008A79C4" w:rsidRPr="005A4571">
        <w:rPr>
          <w:rFonts w:ascii="Times New Roman" w:hAnsi="Times New Roman"/>
          <w:color w:val="000000"/>
          <w:lang w:val="en-GB"/>
        </w:rPr>
        <w:t xml:space="preserve"> </w:t>
      </w:r>
      <w:r w:rsidRPr="005A4571">
        <w:rPr>
          <w:rFonts w:ascii="Times New Roman" w:hAnsi="Times New Roman"/>
          <w:color w:val="000000"/>
          <w:lang w:val="en-GB"/>
        </w:rPr>
        <w:t>193–244.</w:t>
      </w:r>
    </w:p>
    <w:p w14:paraId="1C814216"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Liss, P.S., Duce, R.A. (Eds.), 1997. The Sea Surface and Global Change. Cambridge University Press, New York.</w:t>
      </w:r>
    </w:p>
    <w:p w14:paraId="25D10D67"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lastRenderedPageBreak/>
        <w:t>Loiselle, S.A., Bracchini, L., Dattilo, A.M., Ricci, M., Tognazzi, A., Cózar, A., Rossi, C., 2009. Optical characterization of chromophoric dissolved organic matter using wavelength distribution of absorption spectral slopes. Limnol. Oceanogr. 54</w:t>
      </w:r>
      <w:r w:rsidR="00F948C1" w:rsidRPr="005A4571">
        <w:rPr>
          <w:rFonts w:ascii="Times New Roman" w:hAnsi="Times New Roman"/>
          <w:color w:val="000000"/>
          <w:lang w:val="en-GB"/>
        </w:rPr>
        <w:t>, 590-597</w:t>
      </w:r>
      <w:r w:rsidRPr="005A4571">
        <w:rPr>
          <w:rFonts w:ascii="Times New Roman" w:hAnsi="Times New Roman"/>
          <w:color w:val="000000"/>
          <w:lang w:val="en-GB"/>
        </w:rPr>
        <w:t>. https://doi.org/10.4319/lo.2009.54.2.0590</w:t>
      </w:r>
    </w:p>
    <w:p w14:paraId="5FFBDFD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Maksymowska, D., Richard, P., Piekarek-Jankowska, H., Riera, P., 2000. Chemical and isotopic composition of the organic matter sources in the Gulf of Gdansk (Southern Baltic Sea). Estuar. Coast. Shelf Sci. 51</w:t>
      </w:r>
      <w:r w:rsidR="006F01D5" w:rsidRPr="005A4571">
        <w:rPr>
          <w:rFonts w:ascii="Times New Roman" w:hAnsi="Times New Roman"/>
          <w:color w:val="000000"/>
          <w:lang w:val="en-GB"/>
        </w:rPr>
        <w:t>, 585-598</w:t>
      </w:r>
      <w:r w:rsidRPr="005A4571">
        <w:rPr>
          <w:rFonts w:ascii="Times New Roman" w:hAnsi="Times New Roman"/>
          <w:color w:val="000000"/>
          <w:lang w:val="en-GB"/>
        </w:rPr>
        <w:t>. https://doi.org/10.1006/ecss.2000.0701</w:t>
      </w:r>
    </w:p>
    <w:p w14:paraId="5CC80B02"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Marcinek, S., Santinelli, C., Cindrić, A.M., Evangelista, V., Gonnelli, M., Layglon, N., Mounier, S., Lenoble, V., Omanović, D., 2020. Dissolved organic matter dynamics in the pristine Krka River estuary (Croatia). Mar. Chem. 225, 103848. https://doi.org/10.1016/j.marchem.2020.103848</w:t>
      </w:r>
    </w:p>
    <w:p w14:paraId="015B30E2"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Marić, D., Frka, S., Godrijan, J., Tomažić, I., Penezić, A., Djakovac, T., Vojvodić, V., Precali, R., Gašparović, B., 2013. Organic matter production during late summer-winter period in a temperate sea. Cont. Shelf Res. 55, 52–65. https://doi.org/10.1016/j.csr.2013.01.008</w:t>
      </w:r>
    </w:p>
    <w:p w14:paraId="226F09D2" w14:textId="22242CEC"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Mayer, K.J., Wang, X., Santander, M.V., Mitts, B.A., Sauer, J.S., Sultana, C.M., Cappa, C.D., Prather, K.A., 2020. Secondary marine aerosol plays a dominant role over primary sea spray aerosol in cloud formation. ACS Cent. Sci., 6, 2259-2266. https://dx.doi.org/10.1021/acscentsci.0c00793</w:t>
      </w:r>
    </w:p>
    <w:p w14:paraId="18D88E37"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Mazur-Marzec, H., Krezel, A., Kobos, J., Pliński, M., 2006. Toxic </w:t>
      </w:r>
      <w:r w:rsidRPr="005A4571">
        <w:rPr>
          <w:rFonts w:ascii="Times New Roman" w:hAnsi="Times New Roman"/>
          <w:i/>
          <w:color w:val="000000"/>
          <w:lang w:val="en-GB"/>
        </w:rPr>
        <w:t>Nodularia spumigena</w:t>
      </w:r>
      <w:r w:rsidRPr="005A4571">
        <w:rPr>
          <w:rFonts w:ascii="Times New Roman" w:hAnsi="Times New Roman"/>
          <w:color w:val="000000"/>
          <w:lang w:val="en-GB"/>
        </w:rPr>
        <w:t xml:space="preserve"> blooms in the coastal waters of the Gulf of Gdańsk: A ten-year survey. Oceanologia 48</w:t>
      </w:r>
      <w:r w:rsidR="008A3D38" w:rsidRPr="005A4571">
        <w:rPr>
          <w:rFonts w:ascii="Times New Roman" w:hAnsi="Times New Roman"/>
          <w:color w:val="000000"/>
          <w:lang w:val="en-GB"/>
        </w:rPr>
        <w:t>, 2</w:t>
      </w:r>
      <w:r w:rsidR="00637700" w:rsidRPr="005A4571">
        <w:rPr>
          <w:rFonts w:ascii="Times New Roman" w:hAnsi="Times New Roman"/>
          <w:color w:val="000000"/>
          <w:lang w:val="en-GB"/>
        </w:rPr>
        <w:t>55-</w:t>
      </w:r>
      <w:r w:rsidR="008A3D38" w:rsidRPr="005A4571">
        <w:rPr>
          <w:rFonts w:ascii="Times New Roman" w:hAnsi="Times New Roman"/>
          <w:color w:val="000000"/>
          <w:lang w:val="en-GB"/>
        </w:rPr>
        <w:t>273</w:t>
      </w:r>
      <w:r w:rsidRPr="005A4571">
        <w:rPr>
          <w:rFonts w:ascii="Times New Roman" w:hAnsi="Times New Roman"/>
          <w:color w:val="000000"/>
          <w:lang w:val="en-GB"/>
        </w:rPr>
        <w:t>.</w:t>
      </w:r>
    </w:p>
    <w:p w14:paraId="46D4998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Murphy, K.R., Butler, K.D., Spencer, R.G.M., Stedmon, C.A., Boehme, J.R., Aiken, G.R., 2010. Measurement of dissolved organic matter fluorescence in aquatic environments: An interlaboratory comparison. Environ. Sci. Technol. 44</w:t>
      </w:r>
      <w:r w:rsidR="00637700" w:rsidRPr="005A4571">
        <w:rPr>
          <w:rFonts w:ascii="Times New Roman" w:hAnsi="Times New Roman"/>
          <w:color w:val="000000"/>
          <w:lang w:val="en-GB"/>
        </w:rPr>
        <w:t>, 9405-9412</w:t>
      </w:r>
      <w:r w:rsidRPr="005A4571">
        <w:rPr>
          <w:rFonts w:ascii="Times New Roman" w:hAnsi="Times New Roman"/>
          <w:color w:val="000000"/>
          <w:lang w:val="en-GB"/>
        </w:rPr>
        <w:t>. https://doi.org/10.1021/es102362t</w:t>
      </w:r>
    </w:p>
    <w:p w14:paraId="651395F1" w14:textId="478B0EFA"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Mustaffa, N. I. H., Ribas-Ribas, M., B</w:t>
      </w:r>
      <w:r w:rsidR="00A32C3D">
        <w:rPr>
          <w:rFonts w:ascii="Times New Roman" w:hAnsi="Times New Roman"/>
          <w:color w:val="000000"/>
          <w:lang w:val="en-GB"/>
        </w:rPr>
        <w:t>anko-Kubis, H. M., Wurl, O., 2020</w:t>
      </w:r>
      <w:r w:rsidRPr="005A4571">
        <w:rPr>
          <w:rFonts w:ascii="Times New Roman" w:hAnsi="Times New Roman"/>
          <w:color w:val="000000"/>
          <w:lang w:val="en-GB"/>
        </w:rPr>
        <w:t>. Global reduction of in situ CO2 transfer velocity by natural surfactants in the sea-surface microlayer. Proc. R. Soc. A 476, 20190763. https://doi.org/10.1098/rspa.2019.0763</w:t>
      </w:r>
    </w:p>
    <w:p w14:paraId="3B6C2D4C" w14:textId="77777777" w:rsidR="002B23C8" w:rsidRPr="005A4571" w:rsidRDefault="002B23C8"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Novak, T., Godrijan, J., Pfannkuchen, D.M., Djakovac, T., Mlakar, M., Baricevic, A., Tanković, M.S., Gašparović, B., 2018. Enhanced dissolved lipid production as a response to the sea surface warming. J. Mar. Sys. 180, 289-298. </w:t>
      </w:r>
      <w:r w:rsidRPr="007A4EAA">
        <w:rPr>
          <w:rFonts w:ascii="Times New Roman" w:hAnsi="Times New Roman"/>
          <w:lang w:val="en-GB"/>
        </w:rPr>
        <w:t>https://doi.org/10.1016/j.jmarsys.2018.01.006</w:t>
      </w:r>
    </w:p>
    <w:p w14:paraId="401281EB"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Novak, T., Godrijan, J., Pfannkuchen, D.M., Djakovac, T., Medić, N., Ivančić, I., Mlakar, M., Gašparović, B., 2019. Global warming and oligotrophication lead to increased lipid production in marine phytoplankton. Sci. Total Environ. 668, 171–183. https://doi.org/10.1016/j.scitotenv.2019.02.372</w:t>
      </w:r>
    </w:p>
    <w:p w14:paraId="210EEEE3"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Obernosterer, I., Catala, P., Lami, R., Caparros, J., Ras, J., Bricaud, A., Dupuy, C., Van Wambeke, F., Lebaron, P., 2008. Biochemical characteristics and bacterial community structure of the sea surface microlayer in the South Pacific Ocean. Biogeosciences 5, 693–705. https://doi.org/10.5194/bg-5-693-2008</w:t>
      </w:r>
    </w:p>
    <w:p w14:paraId="54EF3E20"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Osburn, C. L., Del Vecchio, R., Boyd, T. J.,</w:t>
      </w:r>
      <w:r w:rsidR="008A79C4" w:rsidRPr="005A4571">
        <w:rPr>
          <w:rFonts w:ascii="Times New Roman" w:hAnsi="Times New Roman"/>
          <w:color w:val="000000"/>
          <w:lang w:val="en-GB"/>
        </w:rPr>
        <w:t xml:space="preserve"> 2014.</w:t>
      </w:r>
      <w:r w:rsidRPr="005A4571">
        <w:rPr>
          <w:rFonts w:ascii="Times New Roman" w:hAnsi="Times New Roman"/>
          <w:color w:val="000000"/>
          <w:lang w:val="en-GB"/>
        </w:rPr>
        <w:t xml:space="preserve"> Physicochemical effects on dissolved organic matter fluorescence in natural waters</w:t>
      </w:r>
      <w:r w:rsidR="008A79C4" w:rsidRPr="005A4571">
        <w:rPr>
          <w:rFonts w:ascii="Times New Roman" w:hAnsi="Times New Roman"/>
          <w:color w:val="000000"/>
          <w:lang w:val="en-GB"/>
        </w:rPr>
        <w:t>,</w:t>
      </w:r>
      <w:r w:rsidRPr="005A4571">
        <w:rPr>
          <w:rFonts w:ascii="Times New Roman" w:hAnsi="Times New Roman"/>
          <w:color w:val="000000"/>
          <w:lang w:val="en-GB"/>
        </w:rPr>
        <w:t xml:space="preserve"> </w:t>
      </w:r>
      <w:r w:rsidR="008A79C4" w:rsidRPr="005A4571">
        <w:rPr>
          <w:rFonts w:ascii="Times New Roman" w:hAnsi="Times New Roman"/>
          <w:color w:val="000000"/>
          <w:lang w:val="en-GB"/>
        </w:rPr>
        <w:t>i</w:t>
      </w:r>
      <w:r w:rsidRPr="005A4571">
        <w:rPr>
          <w:rFonts w:ascii="Times New Roman" w:hAnsi="Times New Roman"/>
          <w:color w:val="000000"/>
          <w:lang w:val="en-GB"/>
        </w:rPr>
        <w:t>n:</w:t>
      </w:r>
      <w:r w:rsidR="008A79C4" w:rsidRPr="005A4571">
        <w:rPr>
          <w:rFonts w:ascii="Times New Roman" w:hAnsi="Times New Roman"/>
          <w:color w:val="000000"/>
          <w:lang w:val="en-GB"/>
        </w:rPr>
        <w:t xml:space="preserve"> Coble, P. G., Lead, J., Baker, A., Reynolds, D. M., Spencer, R. G. M. (Eds.),</w:t>
      </w:r>
      <w:r w:rsidRPr="005A4571">
        <w:rPr>
          <w:rFonts w:ascii="Times New Roman" w:hAnsi="Times New Roman"/>
          <w:color w:val="000000"/>
          <w:lang w:val="en-GB"/>
        </w:rPr>
        <w:t xml:space="preserve"> Aquatic Organic Matter Fluorescence</w:t>
      </w:r>
      <w:r w:rsidR="008A79C4" w:rsidRPr="005A4571">
        <w:rPr>
          <w:rFonts w:ascii="Times New Roman" w:hAnsi="Times New Roman"/>
          <w:color w:val="000000"/>
          <w:lang w:val="en-GB"/>
        </w:rPr>
        <w:t>.</w:t>
      </w:r>
      <w:r w:rsidRPr="005A4571">
        <w:rPr>
          <w:rFonts w:ascii="Times New Roman" w:hAnsi="Times New Roman"/>
          <w:color w:val="000000"/>
          <w:lang w:val="en-GB"/>
        </w:rPr>
        <w:t xml:space="preserve"> Cambridge University Press, New York, 233</w:t>
      </w:r>
      <w:r w:rsidR="008A79C4" w:rsidRPr="005A4571">
        <w:rPr>
          <w:rFonts w:ascii="Times New Roman" w:hAnsi="Times New Roman"/>
          <w:color w:val="000000"/>
          <w:lang w:val="en-GB"/>
        </w:rPr>
        <w:t>–</w:t>
      </w:r>
      <w:r w:rsidRPr="005A4571">
        <w:rPr>
          <w:rFonts w:ascii="Times New Roman" w:hAnsi="Times New Roman"/>
          <w:color w:val="000000"/>
          <w:lang w:val="en-GB"/>
        </w:rPr>
        <w:t>277.</w:t>
      </w:r>
    </w:p>
    <w:p w14:paraId="792F2C49" w14:textId="3303B2F9"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Parlanti, E., Wörz, K., Geoffroy, L., Lamotte, M., 2000. Dissolved organic matter fluorescence spectroscopy as a tool to estimate biological activity in a coastal zone submitted to anthropogenic inputs. Org. Geochem. 31</w:t>
      </w:r>
      <w:r w:rsidR="00782580" w:rsidRPr="005A4571">
        <w:rPr>
          <w:rFonts w:ascii="Times New Roman" w:hAnsi="Times New Roman"/>
          <w:color w:val="000000"/>
          <w:lang w:val="en-GB"/>
        </w:rPr>
        <w:t>, 1765-1781</w:t>
      </w:r>
      <w:r w:rsidRPr="005A4571">
        <w:rPr>
          <w:rFonts w:ascii="Times New Roman" w:hAnsi="Times New Roman"/>
          <w:color w:val="000000"/>
          <w:lang w:val="en-GB"/>
        </w:rPr>
        <w:t>. https://doi.org/10.1016/S0146-6380(00)00124-8</w:t>
      </w:r>
    </w:p>
    <w:p w14:paraId="21C2E47B"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Parrish, C.C., 1988. Dissolved and particulate marine lipid classes: a review 23, 17–40. https://doi.org/10.1016/0304-4203(88)90020-5</w:t>
      </w:r>
    </w:p>
    <w:p w14:paraId="69338089" w14:textId="48E6CD0F" w:rsidR="00A32C3D" w:rsidRDefault="00A32C3D" w:rsidP="00EC48C9">
      <w:pPr>
        <w:pStyle w:val="NoSpacing"/>
        <w:spacing w:after="120"/>
        <w:ind w:left="720" w:hanging="706"/>
        <w:rPr>
          <w:rFonts w:ascii="Times New Roman" w:hAnsi="Times New Roman"/>
          <w:color w:val="000000"/>
          <w:lang w:val="en-GB"/>
        </w:rPr>
      </w:pPr>
      <w:r w:rsidRPr="00A32C3D">
        <w:rPr>
          <w:rFonts w:ascii="Times New Roman" w:hAnsi="Times New Roman"/>
          <w:color w:val="000000"/>
          <w:lang w:val="en-GB"/>
        </w:rPr>
        <w:lastRenderedPageBreak/>
        <w:t>Parrish, C.C. Abrajano, T.A., Budge, S.M., Helleur, R.J., Hudson, E.D., Pulchan, K., Ramos, C.</w:t>
      </w:r>
      <w:r w:rsidR="00B146DA">
        <w:rPr>
          <w:rFonts w:ascii="Times New Roman" w:hAnsi="Times New Roman"/>
          <w:color w:val="000000"/>
          <w:lang w:val="en-GB"/>
        </w:rPr>
        <w:t>,</w:t>
      </w:r>
      <w:r w:rsidRPr="00A32C3D">
        <w:rPr>
          <w:rFonts w:ascii="Times New Roman" w:hAnsi="Times New Roman"/>
          <w:color w:val="000000"/>
          <w:lang w:val="en-GB"/>
        </w:rPr>
        <w:t xml:space="preserve"> 2000. Lipid and Phenolic Biomarkers in Marine Ecosystems: Analysis and Applications. In: Wangersky, P.J. (Ed.) Marine Chemistry. The Handbook of Environmental Chemistry, vol 5D. Springer, Berlin, Heidelberg. https://doi.org/10.1007/10683826_8</w:t>
      </w:r>
    </w:p>
    <w:p w14:paraId="4CC4152E" w14:textId="28D75DBA"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Pastuszak, M., Stålnacke, P., Pawlikowski, K., Witek, Z., 2012. Response of Polish rivers (Vistula, Oder) to reduced pressure from point sources and agriculture during the transition </w:t>
      </w:r>
      <w:r w:rsidR="00782580" w:rsidRPr="005A4571">
        <w:rPr>
          <w:rFonts w:ascii="Times New Roman" w:hAnsi="Times New Roman"/>
          <w:color w:val="000000"/>
          <w:lang w:val="en-GB"/>
        </w:rPr>
        <w:t>period (1988-2008). J. Mar. Sys</w:t>
      </w:r>
      <w:r w:rsidRPr="005A4571">
        <w:rPr>
          <w:rFonts w:ascii="Times New Roman" w:hAnsi="Times New Roman"/>
          <w:color w:val="000000"/>
          <w:lang w:val="en-GB"/>
        </w:rPr>
        <w:t>. 94</w:t>
      </w:r>
      <w:r w:rsidR="00782580" w:rsidRPr="005A4571">
        <w:rPr>
          <w:rFonts w:ascii="Times New Roman" w:hAnsi="Times New Roman"/>
          <w:color w:val="000000"/>
          <w:lang w:val="en-GB"/>
        </w:rPr>
        <w:t>, 157-173</w:t>
      </w:r>
      <w:r w:rsidRPr="005A4571">
        <w:rPr>
          <w:rFonts w:ascii="Times New Roman" w:hAnsi="Times New Roman"/>
          <w:color w:val="000000"/>
          <w:lang w:val="en-GB"/>
        </w:rPr>
        <w:t>. https://doi.org/10.1016/j.jmarsys.2011.11.017</w:t>
      </w:r>
    </w:p>
    <w:p w14:paraId="196D5F07" w14:textId="35E0A999"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Patel, A.B., Shaikh, S., Jain, K.R.</w:t>
      </w:r>
      <w:r w:rsidR="00A32C3D">
        <w:rPr>
          <w:rFonts w:ascii="Times New Roman" w:hAnsi="Times New Roman"/>
          <w:color w:val="000000"/>
          <w:lang w:val="en-GB"/>
        </w:rPr>
        <w:t xml:space="preserve">, Desai, C., and Madamwar, D., </w:t>
      </w:r>
      <w:r w:rsidRPr="005A4571">
        <w:rPr>
          <w:rFonts w:ascii="Times New Roman" w:hAnsi="Times New Roman"/>
          <w:color w:val="000000"/>
          <w:lang w:val="en-GB"/>
        </w:rPr>
        <w:t>2020. Polycyclic Aromatic Hydrocarbons: Sources, Toxicity, and Remediation App</w:t>
      </w:r>
      <w:r w:rsidR="00782580" w:rsidRPr="005A4571">
        <w:rPr>
          <w:rFonts w:ascii="Times New Roman" w:hAnsi="Times New Roman"/>
          <w:color w:val="000000"/>
          <w:lang w:val="en-GB"/>
        </w:rPr>
        <w:t xml:space="preserve">roaches. Front. Microbiol. 11, </w:t>
      </w:r>
      <w:r w:rsidRPr="005A4571">
        <w:rPr>
          <w:rFonts w:ascii="Times New Roman" w:hAnsi="Times New Roman"/>
          <w:color w:val="000000"/>
          <w:lang w:val="en-GB"/>
        </w:rPr>
        <w:t>562813. https://doi.org/10.3389/fmicb.2020.562813</w:t>
      </w:r>
    </w:p>
    <w:p w14:paraId="13E356CE"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Pȩdziński, J., Witak, M., 2019. Evidence of cultural eutrophication of the Gulf of Gdańsk based on diatom analysis. Oceanol. Hydrobiol. Stud. 48, 247–261. </w:t>
      </w:r>
      <w:r w:rsidR="004C6064" w:rsidRPr="005A4571">
        <w:rPr>
          <w:rFonts w:ascii="Times New Roman" w:hAnsi="Times New Roman"/>
          <w:color w:val="000000"/>
        </w:rPr>
        <w:t>https://doi.org/10.2478/ohs-2019-0022</w:t>
      </w:r>
    </w:p>
    <w:p w14:paraId="1385C659" w14:textId="77777777" w:rsidR="004C6064" w:rsidRPr="005A4571" w:rsidRDefault="004C6064"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Penezić, A., Gašparović, B., Burić, Z., Frka, S., 2010. Distribution of marine lipid classes in salty Rogoznica Lake (Croatia). Estuar Coast. Shelf Sci. 86, 625–636. https://doi.org/10.1016/j.ecss.2009.11.030.</w:t>
      </w:r>
    </w:p>
    <w:p w14:paraId="0E170FF0"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Penezić, A., Milinković, A., Bakija Alempijević, S., Žužul, S., Frka, S., 2021. Atmospheric deposition of biologically relevant trace metals in the eastern Adriatic coastal area. Chemosphere 283</w:t>
      </w:r>
      <w:r w:rsidR="00782580" w:rsidRPr="005A4571">
        <w:rPr>
          <w:rFonts w:ascii="Times New Roman" w:hAnsi="Times New Roman"/>
          <w:color w:val="000000"/>
          <w:lang w:val="en-GB"/>
        </w:rPr>
        <w:t>, 131178</w:t>
      </w:r>
      <w:r w:rsidRPr="005A4571">
        <w:rPr>
          <w:rFonts w:ascii="Times New Roman" w:hAnsi="Times New Roman"/>
          <w:color w:val="000000"/>
          <w:lang w:val="en-GB"/>
        </w:rPr>
        <w:t>. https://doi.org/10.1016/j.chemosphere.2021.131178</w:t>
      </w:r>
    </w:p>
    <w:p w14:paraId="3B2C3A0A" w14:textId="77C2E1B7" w:rsidR="007F0566" w:rsidRDefault="007F0566" w:rsidP="00EC48C9">
      <w:pPr>
        <w:pStyle w:val="NoSpacing"/>
        <w:spacing w:after="120"/>
        <w:ind w:left="720" w:hanging="706"/>
        <w:rPr>
          <w:rFonts w:ascii="Times New Roman" w:hAnsi="Times New Roman"/>
          <w:color w:val="000000"/>
          <w:lang w:val="en-GB"/>
        </w:rPr>
      </w:pPr>
      <w:r w:rsidRPr="007F0566">
        <w:rPr>
          <w:rFonts w:ascii="Times New Roman" w:hAnsi="Times New Roman"/>
          <w:color w:val="000000"/>
          <w:lang w:val="en-GB"/>
        </w:rPr>
        <w:t>Pereira</w:t>
      </w:r>
      <w:r w:rsidR="00D708ED">
        <w:rPr>
          <w:rFonts w:ascii="Times New Roman" w:hAnsi="Times New Roman"/>
          <w:color w:val="000000"/>
          <w:lang w:val="en-GB"/>
        </w:rPr>
        <w:t>,</w:t>
      </w:r>
      <w:r w:rsidRPr="007F0566">
        <w:rPr>
          <w:rFonts w:ascii="Times New Roman" w:hAnsi="Times New Roman"/>
          <w:color w:val="000000"/>
          <w:lang w:val="en-GB"/>
        </w:rPr>
        <w:t xml:space="preserve"> R, Schneider-Zapp K, Upstill-Goddard RC., 2016. Surfactant control of gas transfer velocity along an offshore coastal transect: results from a laboratory gas exchange tank. Biogeosciences 13, 3981-3989. https://doi:10.5194/bg-13-3981-2016</w:t>
      </w:r>
    </w:p>
    <w:p w14:paraId="25CB283B" w14:textId="28EAAB75"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Piskozub, J., Drozdowska, V., Irczuk, M., 1998. A water Raman extinction lidar system for detecting thin oil spills: preliminary results of field tests. Oceanologia 40</w:t>
      </w:r>
      <w:r w:rsidR="001D5223" w:rsidRPr="005A4571">
        <w:rPr>
          <w:rFonts w:ascii="Times New Roman" w:hAnsi="Times New Roman"/>
          <w:color w:val="000000"/>
          <w:lang w:val="en-GB"/>
        </w:rPr>
        <w:t>, 3-10</w:t>
      </w:r>
      <w:r w:rsidRPr="005A4571">
        <w:rPr>
          <w:rFonts w:ascii="Times New Roman" w:hAnsi="Times New Roman"/>
          <w:color w:val="000000"/>
          <w:lang w:val="en-GB"/>
        </w:rPr>
        <w:t>.</w:t>
      </w:r>
    </w:p>
    <w:p w14:paraId="7DD3223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Ribas-Ribas, M., Mustaffa, N.I.H., Rahlff, J., Stolle, C., Wurl, O., 2017. Sea surface scanner (S3): A catamaran for high-resolution measurements of biogeochemical properties of the sea surface microlayer. J. Atmos. Ocean. Technol. 34, 1433–1448. https://doi.org/10.1175/JTECH-D-17-0017.1</w:t>
      </w:r>
    </w:p>
    <w:p w14:paraId="27D3ABF0" w14:textId="77777777" w:rsidR="00653DF3" w:rsidRPr="005A4571" w:rsidRDefault="00653DF3"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Rickard, P.C., Uher, G., Upstill-Goddard, R.C., Frka, S., Mustaffa, N.I.H., Banko-Kubis, H.M., Cvitešić Kušan, A., Gašparović, B., Stolle, C., Wurl, O., Ribas-Ribas, M., 2019. Reconsideration of seawater surfactant activity analysis based on an inter-laboratory comparison study. Mar. Chem. 208, 103–111. </w:t>
      </w:r>
      <w:r w:rsidRPr="007A4EAA">
        <w:rPr>
          <w:rFonts w:ascii="Times New Roman" w:hAnsi="Times New Roman"/>
          <w:lang w:val="en-GB"/>
        </w:rPr>
        <w:t>https://doi.org/10.1016/j.marchem.2018.11.012</w:t>
      </w:r>
    </w:p>
    <w:p w14:paraId="7E77CCA8" w14:textId="25F004AB"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Rickard, P.C., Uher, G., Upstill‐Goddard, R.C., 2022. Photo‐reactivity of surfactants in the sea‐surface microlayer and subsurface water of the Tyne estuary, UK.</w:t>
      </w:r>
      <w:r w:rsidR="001D5223" w:rsidRPr="005A4571">
        <w:rPr>
          <w:rFonts w:ascii="Times New Roman" w:hAnsi="Times New Roman"/>
          <w:color w:val="000000"/>
          <w:lang w:val="en-GB"/>
        </w:rPr>
        <w:t xml:space="preserve"> Geophys. Res. Lett.</w:t>
      </w:r>
      <w:r w:rsidRPr="005A4571">
        <w:rPr>
          <w:rFonts w:ascii="Times New Roman" w:hAnsi="Times New Roman"/>
          <w:color w:val="000000"/>
          <w:lang w:val="en-GB"/>
        </w:rPr>
        <w:t xml:space="preserve">  </w:t>
      </w:r>
      <w:r w:rsidR="00782580" w:rsidRPr="005A4571">
        <w:rPr>
          <w:rFonts w:ascii="Times New Roman" w:hAnsi="Times New Roman"/>
          <w:color w:val="000000"/>
          <w:lang w:val="en-GB"/>
        </w:rPr>
        <w:t>49, e2021GL095469</w:t>
      </w:r>
      <w:r w:rsidRPr="005A4571">
        <w:rPr>
          <w:rFonts w:ascii="Times New Roman" w:hAnsi="Times New Roman"/>
          <w:color w:val="000000"/>
          <w:lang w:val="en-GB"/>
        </w:rPr>
        <w:t>. https://doi.org/10.1029/2021GL095469</w:t>
      </w:r>
    </w:p>
    <w:p w14:paraId="54F34B4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Robinson, T.B., Wurl, O., Bahlmann, E., Jürgens, K., Stolle, C., 2019. Rising bubbles enhance the gelatinous nature of the air–sea interface. Limnol. Oceanogr. 64, 2358–2372. https://doi.org/10.1002/lno.11188</w:t>
      </w:r>
    </w:p>
    <w:p w14:paraId="149AF12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Romankevich, E.A., 1984. Geochemistry of Organic Matter in the Ocean. Springer Berlin, Heidelberg, p 334.</w:t>
      </w:r>
    </w:p>
    <w:p w14:paraId="172143C6"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Rontani, J.F., Belt, S.T., 2020. Photo- and autoxidation of unsaturated algal lipids in the marine environment: An overview of processes, their potential tracers, and limitations. Org. Geochem. </w:t>
      </w:r>
      <w:r w:rsidR="00782580" w:rsidRPr="005A4571">
        <w:rPr>
          <w:rFonts w:ascii="Times New Roman" w:hAnsi="Times New Roman"/>
          <w:color w:val="000000"/>
          <w:lang w:val="en-GB"/>
        </w:rPr>
        <w:t xml:space="preserve">139, 103941. </w:t>
      </w:r>
      <w:r w:rsidRPr="005A4571">
        <w:rPr>
          <w:rFonts w:ascii="Times New Roman" w:hAnsi="Times New Roman"/>
          <w:color w:val="000000"/>
          <w:lang w:val="en-GB"/>
        </w:rPr>
        <w:t>https://doi.org/10.1016/j.orggeochem.2019.103941</w:t>
      </w:r>
    </w:p>
    <w:p w14:paraId="7231D306" w14:textId="7370F58F" w:rsidR="0067367B" w:rsidRPr="005A4571" w:rsidRDefault="00B146DA" w:rsidP="00EC48C9">
      <w:pPr>
        <w:pStyle w:val="NoSpacing"/>
        <w:spacing w:after="120"/>
        <w:ind w:left="720" w:hanging="706"/>
        <w:rPr>
          <w:rFonts w:ascii="Times New Roman" w:hAnsi="Times New Roman"/>
          <w:color w:val="000000"/>
          <w:lang w:val="en-GB"/>
        </w:rPr>
      </w:pPr>
      <w:r>
        <w:rPr>
          <w:rFonts w:ascii="Times New Roman" w:hAnsi="Times New Roman"/>
          <w:color w:val="000000"/>
          <w:lang w:val="en-GB"/>
        </w:rPr>
        <w:t xml:space="preserve">Ryba, A.S., </w:t>
      </w:r>
      <w:r w:rsidR="0067367B" w:rsidRPr="005A4571">
        <w:rPr>
          <w:rFonts w:ascii="Times New Roman" w:hAnsi="Times New Roman"/>
          <w:color w:val="000000"/>
          <w:lang w:val="en-GB"/>
        </w:rPr>
        <w:t>Burgess, R.M., 2002. Effects of sample preparation on the measurement of organic carbon, hydrogen, nitrogen, sulfur and oxygen concentrations in marine sediments. Chemosphere. 48</w:t>
      </w:r>
      <w:r w:rsidR="00782580" w:rsidRPr="005A4571">
        <w:rPr>
          <w:rFonts w:ascii="Times New Roman" w:hAnsi="Times New Roman"/>
          <w:color w:val="000000"/>
          <w:lang w:val="en-GB"/>
        </w:rPr>
        <w:t>,</w:t>
      </w:r>
      <w:r w:rsidR="0067367B" w:rsidRPr="005A4571">
        <w:rPr>
          <w:rFonts w:ascii="Times New Roman" w:hAnsi="Times New Roman"/>
          <w:color w:val="000000"/>
          <w:lang w:val="en-GB"/>
        </w:rPr>
        <w:t xml:space="preserve"> 139-147. https://doi.org/10.1016/s0045-6535(02)00027-9</w:t>
      </w:r>
    </w:p>
    <w:p w14:paraId="7C79940C"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lastRenderedPageBreak/>
        <w:t>Sabbaghzadeh, B., Upstill-Goddard, R.C., Beale, R., Pereira, R., Nightingale, P.D., 2017. The Atlantic Ocean surface microlayer from 50°N to 50°S is ubiquitously enriched in surfactants at wind speeds up to 13 m s</w:t>
      </w:r>
      <w:r w:rsidRPr="005A4571">
        <w:rPr>
          <w:rFonts w:ascii="Times New Roman" w:hAnsi="Times New Roman"/>
          <w:color w:val="000000"/>
          <w:vertAlign w:val="superscript"/>
          <w:lang w:val="en-GB"/>
        </w:rPr>
        <w:t>−1</w:t>
      </w:r>
      <w:r w:rsidRPr="005A4571">
        <w:rPr>
          <w:rFonts w:ascii="Times New Roman" w:hAnsi="Times New Roman"/>
          <w:color w:val="000000"/>
          <w:lang w:val="en-GB"/>
        </w:rPr>
        <w:t>. Geophys. Res. Lett. 44</w:t>
      </w:r>
      <w:r w:rsidR="00782580" w:rsidRPr="005A4571">
        <w:rPr>
          <w:rFonts w:ascii="Times New Roman" w:hAnsi="Times New Roman"/>
          <w:color w:val="000000"/>
          <w:lang w:val="en-GB"/>
        </w:rPr>
        <w:t>, 2852-2858</w:t>
      </w:r>
      <w:r w:rsidRPr="005A4571">
        <w:rPr>
          <w:rFonts w:ascii="Times New Roman" w:hAnsi="Times New Roman"/>
          <w:color w:val="000000"/>
          <w:lang w:val="en-GB"/>
        </w:rPr>
        <w:t>. https://doi.org/10.1002/2017GL072988</w:t>
      </w:r>
    </w:p>
    <w:p w14:paraId="5F318EC3" w14:textId="6BF0D8A2"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Salter, M.E., Upstill‐Goddard, R.C., Nightingale, P.D., Archer, S.D., Blomquist, B., Ho, D.T., Huebert, B., Schlosser, P., Yang, M., 2011. Impact of an artificial surfactant release on air‐sea gas fluxes during Deep Ocean Gas Ex</w:t>
      </w:r>
      <w:r w:rsidR="00782580" w:rsidRPr="005A4571">
        <w:rPr>
          <w:rFonts w:ascii="Times New Roman" w:hAnsi="Times New Roman"/>
          <w:color w:val="000000"/>
          <w:lang w:val="en-GB"/>
        </w:rPr>
        <w:t>change Experiment II. J. Geophys. Res. Oceans</w:t>
      </w:r>
      <w:r w:rsidRPr="005A4571">
        <w:rPr>
          <w:rFonts w:ascii="Times New Roman" w:hAnsi="Times New Roman"/>
          <w:color w:val="000000"/>
          <w:lang w:val="en-GB"/>
        </w:rPr>
        <w:t xml:space="preserve"> 116</w:t>
      </w:r>
      <w:r w:rsidR="00782580" w:rsidRPr="005A4571">
        <w:rPr>
          <w:rFonts w:ascii="Times New Roman" w:hAnsi="Times New Roman"/>
          <w:color w:val="000000"/>
          <w:lang w:val="en-GB"/>
        </w:rPr>
        <w:t>, C11016</w:t>
      </w:r>
      <w:r w:rsidRPr="005A4571">
        <w:rPr>
          <w:rFonts w:ascii="Times New Roman" w:hAnsi="Times New Roman"/>
          <w:color w:val="000000"/>
          <w:lang w:val="en-GB"/>
        </w:rPr>
        <w:t>. https://doi.org/10.1029/2011JC007023</w:t>
      </w:r>
    </w:p>
    <w:p w14:paraId="0B3EB92B"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Santos-Echeandía, J., Caetano, M., Brito, P., Canario, J., Vale, C., 2012. The relevance of defining trace metal baselines in coastal waters at a regional scale: The case of the Portuguese coast (SW Europe). Mar. Environ. Res. 79, 86–99. https://doi.org/10.1016/j.marenvres.2012.05.010</w:t>
      </w:r>
    </w:p>
    <w:p w14:paraId="0052506F"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Sargent, J.R., Lee, R.F., Nevenzel, J.C., 1976. Marine waxes, in: Kolattukudy, P.E. (Ed.), Chemistry and Biochemistry of Natural Waxes. Elsevier, Amsterdam, 49–91.</w:t>
      </w:r>
    </w:p>
    <w:p w14:paraId="70E4736F" w14:textId="77777777" w:rsidR="00782580"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Schiewer, U., Schernewski, G., 2002. Baltic Coastal Ecosystem Dynamics and Integrated Coastal Zone Management, </w:t>
      </w:r>
      <w:r w:rsidR="008A79C4" w:rsidRPr="005A4571">
        <w:rPr>
          <w:rFonts w:ascii="Times New Roman" w:hAnsi="Times New Roman"/>
          <w:color w:val="000000"/>
          <w:lang w:val="en-GB"/>
        </w:rPr>
        <w:t>i</w:t>
      </w:r>
      <w:r w:rsidR="00782580" w:rsidRPr="005A4571">
        <w:rPr>
          <w:rFonts w:ascii="Times New Roman" w:hAnsi="Times New Roman"/>
          <w:color w:val="000000"/>
          <w:lang w:val="en-GB"/>
        </w:rPr>
        <w:t xml:space="preserve">n: </w:t>
      </w:r>
      <w:r w:rsidR="00512517" w:rsidRPr="005A4571">
        <w:rPr>
          <w:rFonts w:ascii="Times New Roman" w:hAnsi="Times New Roman"/>
          <w:color w:val="000000"/>
          <w:lang w:val="en-GB"/>
        </w:rPr>
        <w:t xml:space="preserve">Ass, E.-P. (ed.) </w:t>
      </w:r>
      <w:r w:rsidR="00782580" w:rsidRPr="005A4571">
        <w:rPr>
          <w:rFonts w:ascii="Times New Roman" w:hAnsi="Times New Roman"/>
          <w:color w:val="000000"/>
          <w:lang w:val="en-GB"/>
        </w:rPr>
        <w:t>Littoral 2002: 6th International Symposium, proceedings.Porto, 22-26.9.2002. Univ. Porto: 115-123</w:t>
      </w:r>
      <w:r w:rsidR="00512517" w:rsidRPr="005A4571">
        <w:rPr>
          <w:rFonts w:ascii="Times New Roman" w:hAnsi="Times New Roman"/>
          <w:color w:val="000000"/>
          <w:lang w:val="en-GB"/>
        </w:rPr>
        <w:t>.</w:t>
      </w:r>
      <w:r w:rsidR="00782580" w:rsidRPr="005A4571">
        <w:rPr>
          <w:rFonts w:ascii="Times New Roman" w:hAnsi="Times New Roman"/>
          <w:color w:val="000000"/>
          <w:lang w:val="en-GB"/>
        </w:rPr>
        <w:t xml:space="preserve"> </w:t>
      </w:r>
    </w:p>
    <w:p w14:paraId="072D639D"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Schneider-Zapp, K., Salter, M.E., Mann, P.J., Upstill-Goddard, R.C., 2013. Technical Note: Comparison of storage strategies of sea surface microlayer samples. Biogeosciences 10</w:t>
      </w:r>
      <w:r w:rsidR="0008227F" w:rsidRPr="005A4571">
        <w:rPr>
          <w:rFonts w:ascii="Times New Roman" w:hAnsi="Times New Roman"/>
          <w:color w:val="000000"/>
          <w:lang w:val="en-GB"/>
        </w:rPr>
        <w:t>, 4927–4936</w:t>
      </w:r>
      <w:r w:rsidRPr="005A4571">
        <w:rPr>
          <w:rFonts w:ascii="Times New Roman" w:hAnsi="Times New Roman"/>
          <w:color w:val="000000"/>
          <w:lang w:val="en-GB"/>
        </w:rPr>
        <w:t>. https://doi.org/10.5194/bg-10-4927-2013</w:t>
      </w:r>
    </w:p>
    <w:p w14:paraId="73532A51"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Sharma, K.K., Schuhmann, H., Schenk, P.M., 2012. High lipid induction in microalgae for biodiesel production. Energies 5, 1532–1553. https://doi.org/10.3390/en5051532</w:t>
      </w:r>
    </w:p>
    <w:p w14:paraId="22DCABAE" w14:textId="2A95DCE3" w:rsidR="00D708ED" w:rsidRDefault="00D708ED" w:rsidP="00EC48C9">
      <w:pPr>
        <w:pStyle w:val="NoSpacing"/>
        <w:spacing w:after="120"/>
        <w:ind w:left="720" w:hanging="706"/>
        <w:rPr>
          <w:rFonts w:ascii="Times New Roman" w:hAnsi="Times New Roman"/>
          <w:color w:val="000000"/>
          <w:lang w:val="en-GB"/>
        </w:rPr>
      </w:pPr>
      <w:r w:rsidRPr="00D708ED">
        <w:rPr>
          <w:rFonts w:ascii="Times New Roman" w:hAnsi="Times New Roman"/>
          <w:color w:val="000000"/>
          <w:lang w:val="en-GB"/>
        </w:rPr>
        <w:t>Stedmon, C.A., Markager, S., Kaas, H., 2000. Optical properties and signatures of chromophoric dissolved organic matter (CDOM) in Danish coastal waters. Estuar. Coast. Shelf Sci. 51, 267–278. https://doi.org/10.1006/ecss.2000.0645</w:t>
      </w:r>
    </w:p>
    <w:p w14:paraId="588B4CAD" w14:textId="37B7D7C0"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Stedmon, C.A., Markager, S., Bro, R., 2003. Tracing dissolved organic matter in aquatic environments using a new approach to fluorescence spectroscopy. Mar. Chem. 82, 239–254. https://doi.org/10.1016/S0304-4203(03)00072-0</w:t>
      </w:r>
    </w:p>
    <w:p w14:paraId="4BDC376F"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Stefan, R.L., Szeri</w:t>
      </w:r>
      <w:r w:rsidR="00A14DC2" w:rsidRPr="005A4571">
        <w:rPr>
          <w:rFonts w:ascii="Times New Roman" w:hAnsi="Times New Roman"/>
          <w:color w:val="000000"/>
          <w:lang w:val="en-GB"/>
        </w:rPr>
        <w:t xml:space="preserve">, A.J., </w:t>
      </w:r>
      <w:r w:rsidRPr="005A4571">
        <w:rPr>
          <w:rFonts w:ascii="Times New Roman" w:hAnsi="Times New Roman"/>
          <w:color w:val="000000"/>
          <w:lang w:val="en-GB"/>
        </w:rPr>
        <w:t>1999. Surfactant scavenging and surface</w:t>
      </w:r>
      <w:r w:rsidR="0014538E" w:rsidRPr="005A4571">
        <w:rPr>
          <w:rFonts w:ascii="Times New Roman" w:hAnsi="Times New Roman"/>
          <w:color w:val="000000"/>
          <w:lang w:val="en-GB"/>
        </w:rPr>
        <w:t xml:space="preserve"> deposition by rising bubbles. </w:t>
      </w:r>
      <w:r w:rsidRPr="005A4571">
        <w:rPr>
          <w:rFonts w:ascii="Times New Roman" w:hAnsi="Times New Roman"/>
          <w:color w:val="000000"/>
          <w:lang w:val="en-GB"/>
        </w:rPr>
        <w:t>J. Colloid Interface Sci., 212,</w:t>
      </w:r>
      <w:r w:rsidR="0008227F" w:rsidRPr="005A4571">
        <w:rPr>
          <w:rFonts w:ascii="Times New Roman" w:hAnsi="Times New Roman"/>
          <w:color w:val="000000"/>
          <w:lang w:val="en-GB"/>
        </w:rPr>
        <w:t xml:space="preserve"> </w:t>
      </w:r>
      <w:r w:rsidRPr="005A4571">
        <w:rPr>
          <w:rFonts w:ascii="Times New Roman" w:hAnsi="Times New Roman"/>
          <w:color w:val="000000"/>
          <w:lang w:val="en-GB"/>
        </w:rPr>
        <w:t>1–13. https://doi.org/10.1006/jcis.1998.6037</w:t>
      </w:r>
    </w:p>
    <w:p w14:paraId="5A478027"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Stolle, C., Nagel, K., Labrenz, M.</w:t>
      </w:r>
      <w:r w:rsidR="005A2596" w:rsidRPr="005A4571">
        <w:rPr>
          <w:rFonts w:ascii="Times New Roman" w:hAnsi="Times New Roman"/>
          <w:color w:val="000000"/>
          <w:lang w:val="en-GB"/>
        </w:rPr>
        <w:t>,</w:t>
      </w:r>
      <w:r w:rsidRPr="005A4571">
        <w:rPr>
          <w:rFonts w:ascii="Times New Roman" w:hAnsi="Times New Roman"/>
          <w:color w:val="000000"/>
          <w:lang w:val="en-GB"/>
        </w:rPr>
        <w:t xml:space="preserve"> Jürgens, K., 2010. Succession of the sea-surface microlayer in the coastal Baltic Sea under natural and experimentally induced low-wind condi</w:t>
      </w:r>
      <w:r w:rsidR="005A2596" w:rsidRPr="005A4571">
        <w:rPr>
          <w:rFonts w:ascii="Times New Roman" w:hAnsi="Times New Roman"/>
          <w:color w:val="000000"/>
          <w:lang w:val="en-GB"/>
        </w:rPr>
        <w:t>tions. Biogeosciences</w:t>
      </w:r>
      <w:r w:rsidRPr="005A4571">
        <w:rPr>
          <w:rFonts w:ascii="Times New Roman" w:hAnsi="Times New Roman"/>
          <w:color w:val="000000"/>
          <w:lang w:val="en-GB"/>
        </w:rPr>
        <w:t xml:space="preserve"> 7</w:t>
      </w:r>
      <w:r w:rsidR="005A2596" w:rsidRPr="005A4571">
        <w:rPr>
          <w:rFonts w:ascii="Times New Roman" w:hAnsi="Times New Roman"/>
          <w:color w:val="000000"/>
          <w:lang w:val="en-GB"/>
        </w:rPr>
        <w:t>,</w:t>
      </w:r>
      <w:r w:rsidRPr="005A4571">
        <w:rPr>
          <w:rFonts w:ascii="Times New Roman" w:hAnsi="Times New Roman"/>
          <w:color w:val="000000"/>
          <w:lang w:val="en-GB"/>
        </w:rPr>
        <w:t xml:space="preserve"> 2975-2988. https://doi.org/10.5194/bg-7-2975-2010</w:t>
      </w:r>
    </w:p>
    <w:p w14:paraId="040C486A"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Stolle, C., Ribas-Ribas, M., Badewien, T.H., Barnes, J., Carpenter, L.J., </w:t>
      </w:r>
      <w:r w:rsidR="005A2596" w:rsidRPr="005A4571">
        <w:rPr>
          <w:rFonts w:ascii="Times New Roman" w:hAnsi="Times New Roman"/>
          <w:color w:val="000000"/>
          <w:lang w:val="en-GB"/>
        </w:rPr>
        <w:t>et al.,</w:t>
      </w:r>
      <w:r w:rsidRPr="005A4571">
        <w:rPr>
          <w:rFonts w:ascii="Times New Roman" w:hAnsi="Times New Roman"/>
          <w:color w:val="000000"/>
          <w:lang w:val="en-GB"/>
        </w:rPr>
        <w:t xml:space="preserve"> 2020. The Milan Campaign: Studying diel light effects on the air–sea interface. Bull. Am. Meteorol. Soc. 101</w:t>
      </w:r>
      <w:r w:rsidR="0008227F" w:rsidRPr="005A4571">
        <w:rPr>
          <w:rFonts w:ascii="Times New Roman" w:hAnsi="Times New Roman"/>
          <w:color w:val="000000"/>
          <w:lang w:val="en-GB"/>
        </w:rPr>
        <w:t>, 146-166</w:t>
      </w:r>
      <w:r w:rsidRPr="005A4571">
        <w:rPr>
          <w:rFonts w:ascii="Times New Roman" w:hAnsi="Times New Roman"/>
          <w:color w:val="000000"/>
          <w:lang w:val="en-GB"/>
        </w:rPr>
        <w:t>. https://doi.org/10.1175/BAMS-D-17-0329.1</w:t>
      </w:r>
    </w:p>
    <w:p w14:paraId="6642C1BA"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Szymczak-Żyła, M., Krajewska, M., Witak, M., Ciesielski, T.M., Ardelan, M. V., Jenssen, B.M., Goslar, T., Winogradow, A., Filipkowska, A., Lubecki, L., Zamojska, A., Kowalewska, G., 2019. Present and Past-Millennial Eutrophication in the Gulf of Gdańsk (Southern Baltic Sea). Paleoceanogr. Paleoclimatology 34, 136–152. </w:t>
      </w:r>
      <w:r w:rsidR="0014538E" w:rsidRPr="005A4571">
        <w:rPr>
          <w:rFonts w:ascii="Times New Roman" w:hAnsi="Times New Roman"/>
          <w:color w:val="000000"/>
        </w:rPr>
        <w:t>https://doi.org/10.1029/2018PA003474</w:t>
      </w:r>
    </w:p>
    <w:p w14:paraId="2A0EF7C1" w14:textId="42AE5103" w:rsidR="0014538E" w:rsidRPr="005A4571" w:rsidRDefault="0014538E"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Triesch, N., van Pinxteren, M., Frka, S., Stolle, C., Spranger, T., Hoffmann, E.H., Gong, X., Wex, H., Schulz-Bull, D., Gašparović, B., Herrmann, H.</w:t>
      </w:r>
      <w:r w:rsidR="00B146DA">
        <w:rPr>
          <w:rFonts w:ascii="Times New Roman" w:hAnsi="Times New Roman"/>
          <w:color w:val="000000"/>
          <w:lang w:val="en-GB"/>
        </w:rPr>
        <w:t>,</w:t>
      </w:r>
      <w:r w:rsidRPr="005A4571">
        <w:rPr>
          <w:rFonts w:ascii="Times New Roman" w:hAnsi="Times New Roman"/>
          <w:color w:val="000000"/>
          <w:lang w:val="en-GB"/>
        </w:rPr>
        <w:t xml:space="preserve"> 2021. Concerted measurements of lipids in seawater and on submicron aerosol particles at the Cape Verde Islands: biogenic sources, selective transfer and high enrichments. Atmos. Chem. Phys. 21, 4267–4283. https://doi.org/10.5194/acp-21-4267-2021</w:t>
      </w:r>
    </w:p>
    <w:p w14:paraId="1B437245" w14:textId="77777777" w:rsidR="0067367B" w:rsidRPr="005A4571" w:rsidRDefault="005A2596"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Tsai, W.-T., and Lui, K.-K.,</w:t>
      </w:r>
      <w:r w:rsidR="0067367B" w:rsidRPr="005A4571">
        <w:rPr>
          <w:rFonts w:ascii="Times New Roman" w:hAnsi="Times New Roman"/>
          <w:color w:val="000000"/>
          <w:lang w:val="en-GB"/>
        </w:rPr>
        <w:t xml:space="preserve"> 2003. An assessment of the effects of seasurface surfactant on global aatmosphere-ocean CO2 flux., J. Geophys. Res., 108, 3127-3143. https://doi.org/10.1029/2000JC000740, 2003.</w:t>
      </w:r>
    </w:p>
    <w:p w14:paraId="05837BAA"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lastRenderedPageBreak/>
        <w:t>Van Pinxteren, M., Barthel, S., Fomba, K.W., Müller, K., Von Tümpling, W., Herrmann, H., and Thomsen, L., 2017. The influence of environmental drivers on the enrichment of organic carbon in the sea surface microlayer and in submicron aerosol particles–measurements from the Atlantic Ocean. Elementa: Scie</w:t>
      </w:r>
      <w:r w:rsidR="005A2596" w:rsidRPr="005A4571">
        <w:rPr>
          <w:rFonts w:ascii="Times New Roman" w:hAnsi="Times New Roman"/>
          <w:color w:val="000000"/>
          <w:lang w:val="en-GB"/>
        </w:rPr>
        <w:t>nce of the Anthropocene, 5, 35.</w:t>
      </w:r>
      <w:r w:rsidRPr="005A4571">
        <w:rPr>
          <w:rFonts w:ascii="Times New Roman" w:hAnsi="Times New Roman"/>
          <w:color w:val="000000"/>
          <w:lang w:val="en-GB"/>
        </w:rPr>
        <w:t xml:space="preserve"> https://doi.org/10.1525/elementa.225</w:t>
      </w:r>
    </w:p>
    <w:p w14:paraId="202BDDE2" w14:textId="77777777" w:rsidR="0067367B" w:rsidRPr="005A4571" w:rsidRDefault="000D642C"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Williams, P.M., Carlucci, A.F., Henrichs, S.M., Van Fleet, E.S., Horrigan, S.G., Reid, F.M.H., Robertson, K.J., 1986. Chemical and microbiological studies of sea-surface films in the Southern Gulf of California and off the West Coast of Baja California. Mar. Chem. 19, 17–98. https://doi.org/10.1016/0304-4203(86)90033-2</w:t>
      </w:r>
    </w:p>
    <w:p w14:paraId="4DEBF89F" w14:textId="77777777" w:rsidR="0067367B" w:rsidRPr="005A4571" w:rsidRDefault="009A1000"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Woolf, D. K., 2005.</w:t>
      </w:r>
      <w:r w:rsidR="0067367B" w:rsidRPr="005A4571">
        <w:rPr>
          <w:rFonts w:ascii="Times New Roman" w:hAnsi="Times New Roman"/>
          <w:color w:val="000000"/>
          <w:lang w:val="en-GB"/>
        </w:rPr>
        <w:t xml:space="preserve"> Bubbles and their role gas exchange, inThe Sea Surface and Global Change, edited by P. S. Liss and R. A. Duce,pp. 173–205, Cambridge Univ. Press, U. K.</w:t>
      </w:r>
    </w:p>
    <w:p w14:paraId="70ADDD93" w14:textId="77777777" w:rsidR="002D54FA" w:rsidRPr="005A4571" w:rsidRDefault="002D54FA" w:rsidP="002D54FA">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Wurl, O., Obbard, J.P., 2004. A review of pollutants in the sea-surface microlayer (SML): A unique habitat for marine organisms. Mar. Pollut. Bull. 48, 1016–1030. </w:t>
      </w:r>
      <w:r w:rsidRPr="007A4EAA">
        <w:rPr>
          <w:rFonts w:ascii="Times New Roman" w:hAnsi="Times New Roman"/>
          <w:lang w:val="en-GB"/>
        </w:rPr>
        <w:t>https://doi.org/10.1016/j.marpolbul.2004.03.016</w:t>
      </w:r>
    </w:p>
    <w:p w14:paraId="591A4D3B" w14:textId="77777777" w:rsidR="002D54FA" w:rsidRPr="005A4571" w:rsidRDefault="002D54FA" w:rsidP="002D54FA">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Wurl, O., Miller, L., Röttgers, R., Vagle, S., 2009. The distribution and fate of surface-active substances in the sea-surface microlayer and water column. Mar. Chem. 115, 1–9. https://doi.org/10.1016/j.marchem.2009.04.007</w:t>
      </w:r>
    </w:p>
    <w:p w14:paraId="6111C1F3" w14:textId="77777777" w:rsidR="002D54FA" w:rsidRPr="005A4571" w:rsidRDefault="002D54FA"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 xml:space="preserve">Wurl, O., Wurl, E., Miller, L., Johnson, K., Vagle, S., 2011. Formation and global distribution of sea-surface microlayers. Biogeosciences 8, 121–135. </w:t>
      </w:r>
      <w:r w:rsidRPr="007A4EAA">
        <w:rPr>
          <w:rFonts w:ascii="Times New Roman" w:hAnsi="Times New Roman"/>
          <w:lang w:val="en-GB"/>
        </w:rPr>
        <w:t>https://doi.org/10.5194/bg-8-121-2011</w:t>
      </w:r>
    </w:p>
    <w:p w14:paraId="014A683D" w14:textId="05ADCFC0"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Wurl, O., Ekau, W., Landing, W.M., Zappa, C.J.,</w:t>
      </w:r>
      <w:r w:rsidR="009A1000" w:rsidRPr="005A4571">
        <w:rPr>
          <w:rFonts w:ascii="Times New Roman" w:hAnsi="Times New Roman"/>
          <w:color w:val="000000"/>
          <w:lang w:val="en-GB"/>
        </w:rPr>
        <w:t xml:space="preserve"> </w:t>
      </w:r>
      <w:r w:rsidRPr="005A4571">
        <w:rPr>
          <w:rFonts w:ascii="Times New Roman" w:hAnsi="Times New Roman"/>
          <w:color w:val="000000"/>
          <w:lang w:val="en-GB"/>
        </w:rPr>
        <w:t>et al</w:t>
      </w:r>
      <w:r w:rsidR="00B146DA">
        <w:rPr>
          <w:rFonts w:ascii="Times New Roman" w:hAnsi="Times New Roman"/>
          <w:color w:val="000000"/>
          <w:lang w:val="en-GB"/>
        </w:rPr>
        <w:t>.,</w:t>
      </w:r>
      <w:r w:rsidRPr="005A4571">
        <w:rPr>
          <w:rFonts w:ascii="Times New Roman" w:hAnsi="Times New Roman"/>
          <w:color w:val="000000"/>
          <w:lang w:val="en-GB"/>
        </w:rPr>
        <w:t xml:space="preserve"> 2017. Sea surface microlayer in a changing ocean – </w:t>
      </w:r>
      <w:r w:rsidR="009A1000" w:rsidRPr="005A4571">
        <w:rPr>
          <w:rFonts w:ascii="Times New Roman" w:hAnsi="Times New Roman"/>
          <w:color w:val="000000"/>
          <w:lang w:val="en-GB"/>
        </w:rPr>
        <w:t>A perspective. Elem. Sci. Anth.</w:t>
      </w:r>
      <w:r w:rsidRPr="005A4571">
        <w:rPr>
          <w:rFonts w:ascii="Times New Roman" w:hAnsi="Times New Roman"/>
          <w:color w:val="000000"/>
          <w:lang w:val="en-GB"/>
        </w:rPr>
        <w:t xml:space="preserve"> 5</w:t>
      </w:r>
      <w:r w:rsidR="009A1000" w:rsidRPr="005A4571">
        <w:rPr>
          <w:rFonts w:ascii="Times New Roman" w:hAnsi="Times New Roman"/>
          <w:color w:val="000000"/>
          <w:lang w:val="en-GB"/>
        </w:rPr>
        <w:t>,</w:t>
      </w:r>
      <w:r w:rsidRPr="005A4571">
        <w:rPr>
          <w:rFonts w:ascii="Times New Roman" w:hAnsi="Times New Roman"/>
          <w:color w:val="000000"/>
          <w:lang w:val="en-GB"/>
        </w:rPr>
        <w:t xml:space="preserve"> 31., https://doi.org/10.1525/elementa.228</w:t>
      </w:r>
    </w:p>
    <w:p w14:paraId="2391A4C0" w14:textId="5CBB3940" w:rsidR="00F35030" w:rsidRDefault="00F35030" w:rsidP="00EC48C9">
      <w:pPr>
        <w:pStyle w:val="NoSpacing"/>
        <w:spacing w:after="120"/>
        <w:ind w:left="720" w:hanging="706"/>
        <w:rPr>
          <w:rFonts w:ascii="Times New Roman" w:hAnsi="Times New Roman"/>
          <w:color w:val="000000"/>
          <w:lang w:val="en-GB"/>
        </w:rPr>
      </w:pPr>
      <w:r w:rsidRPr="00F35030">
        <w:rPr>
          <w:rFonts w:ascii="Times New Roman" w:hAnsi="Times New Roman"/>
          <w:color w:val="000000"/>
          <w:lang w:val="en-GB"/>
        </w:rPr>
        <w:t>Zhang, Z., Liu, L., Liu, C., Cai, W., 2003. Studies on the sea surface microlayer: II. The layer of sudden change of physical and chemical properties. J. Colloid Interface Sci. 264, 148-159. https://doi.org/10.1016/S0021-9797(03)00390-4</w:t>
      </w:r>
    </w:p>
    <w:p w14:paraId="1E8DA149" w14:textId="0AB02BEC"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Zhang, Y., Liu, X., Osburn, C.L., Wang, M., Qin, B., Zhou, Y., 2013a. Photobleaching Response of Different Sources of Chromophoric Dissolved Organic Matter Exposed to Natural Solar Radiation Using Absorption and Excitation-Emission Matrix Spectra. PLoS One 8</w:t>
      </w:r>
      <w:r w:rsidR="004E511D" w:rsidRPr="005A4571">
        <w:rPr>
          <w:rFonts w:ascii="Times New Roman" w:hAnsi="Times New Roman"/>
          <w:color w:val="000000"/>
          <w:lang w:val="en-GB"/>
        </w:rPr>
        <w:t>, e77515</w:t>
      </w:r>
      <w:r w:rsidRPr="005A4571">
        <w:rPr>
          <w:rFonts w:ascii="Times New Roman" w:hAnsi="Times New Roman"/>
          <w:color w:val="000000"/>
          <w:lang w:val="en-GB"/>
        </w:rPr>
        <w:t>. https://doi.org/10.1371/journal.pone.0077515</w:t>
      </w:r>
    </w:p>
    <w:p w14:paraId="3A713F0B" w14:textId="7777777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Zhang, Y., Liu, X., Wang, M., Qin, B., 2013b. Compositional differences of chromophoric dissolved organic matter derived from phytoplankton and macrophytes. Org. Geochem. 55, 26–37. https://doi.org/10.1016/j.orggeochem.2012.11.007</w:t>
      </w:r>
    </w:p>
    <w:p w14:paraId="1549D26F" w14:textId="4D1760C7" w:rsidR="0067367B" w:rsidRPr="005A4571" w:rsidRDefault="0067367B" w:rsidP="00EC48C9">
      <w:pPr>
        <w:pStyle w:val="NoSpacing"/>
        <w:spacing w:after="120"/>
        <w:ind w:left="720" w:hanging="706"/>
        <w:rPr>
          <w:rFonts w:ascii="Times New Roman" w:hAnsi="Times New Roman"/>
          <w:color w:val="000000"/>
          <w:lang w:val="en-GB"/>
        </w:rPr>
      </w:pPr>
      <w:r w:rsidRPr="005A4571">
        <w:rPr>
          <w:rFonts w:ascii="Times New Roman" w:hAnsi="Times New Roman"/>
          <w:color w:val="000000"/>
          <w:lang w:val="en-GB"/>
        </w:rPr>
        <w:t>Zhao, J., Cao, W., Xu, Z., Ai, B., Yang, Y., Jin, G., Wang, G.</w:t>
      </w:r>
      <w:r w:rsidR="00B146DA">
        <w:rPr>
          <w:rFonts w:ascii="Times New Roman" w:hAnsi="Times New Roman"/>
          <w:color w:val="000000"/>
          <w:lang w:val="en-GB"/>
        </w:rPr>
        <w:t xml:space="preserve">, Zhou, W., Chen, Y., Chen, H., </w:t>
      </w:r>
      <w:r w:rsidRPr="005A4571">
        <w:rPr>
          <w:rFonts w:ascii="Times New Roman" w:hAnsi="Times New Roman"/>
          <w:color w:val="000000"/>
          <w:lang w:val="en-GB"/>
        </w:rPr>
        <w:t>Sun, Z., 2018. Estimating CDOM concentration in highly turbid estuarine coastal wa</w:t>
      </w:r>
      <w:r w:rsidR="004E511D" w:rsidRPr="005A4571">
        <w:rPr>
          <w:rFonts w:ascii="Times New Roman" w:hAnsi="Times New Roman"/>
          <w:color w:val="000000"/>
          <w:lang w:val="en-GB"/>
        </w:rPr>
        <w:t>ters. Journal ofJ.  Geophys. Res.</w:t>
      </w:r>
      <w:r w:rsidRPr="005A4571">
        <w:rPr>
          <w:rFonts w:ascii="Times New Roman" w:hAnsi="Times New Roman"/>
          <w:color w:val="000000"/>
          <w:lang w:val="en-GB"/>
        </w:rPr>
        <w:t xml:space="preserve"> Oceans 123</w:t>
      </w:r>
      <w:r w:rsidR="004E511D" w:rsidRPr="005A4571">
        <w:rPr>
          <w:rFonts w:ascii="Times New Roman" w:hAnsi="Times New Roman"/>
          <w:color w:val="000000"/>
          <w:lang w:val="en-GB"/>
        </w:rPr>
        <w:t xml:space="preserve">, </w:t>
      </w:r>
      <w:r w:rsidRPr="005A4571">
        <w:rPr>
          <w:rFonts w:ascii="Times New Roman" w:hAnsi="Times New Roman"/>
          <w:color w:val="000000"/>
          <w:lang w:val="en-GB"/>
        </w:rPr>
        <w:t>5856-5873. https://doi.org/10.1029/2018JC013756.</w:t>
      </w:r>
    </w:p>
    <w:p w14:paraId="35AD7EEB" w14:textId="157415D2" w:rsidR="0025755E" w:rsidRDefault="0025755E" w:rsidP="006A751B">
      <w:pPr>
        <w:widowControl w:val="0"/>
        <w:autoSpaceDE w:val="0"/>
        <w:autoSpaceDN w:val="0"/>
        <w:adjustRightInd w:val="0"/>
        <w:spacing w:after="0" w:line="240" w:lineRule="auto"/>
        <w:ind w:left="480" w:hanging="480"/>
        <w:rPr>
          <w:rFonts w:ascii="Times New Roman" w:hAnsi="Times New Roman"/>
          <w:color w:val="000000"/>
          <w:lang w:val="en-GB"/>
        </w:rPr>
      </w:pPr>
    </w:p>
    <w:p w14:paraId="2175CB45" w14:textId="40254D6B" w:rsidR="001F585F" w:rsidRDefault="001F585F" w:rsidP="001F585F">
      <w:pPr>
        <w:pStyle w:val="NoSpacing"/>
        <w:rPr>
          <w:lang w:val="en-GB" w:bidi="en-US"/>
        </w:rPr>
      </w:pPr>
    </w:p>
    <w:p w14:paraId="7217D27E" w14:textId="617ADF3B" w:rsidR="001F585F" w:rsidRDefault="001F585F" w:rsidP="001F585F">
      <w:pPr>
        <w:pStyle w:val="NoSpacing"/>
        <w:rPr>
          <w:lang w:val="en-GB" w:bidi="en-US"/>
        </w:rPr>
      </w:pPr>
    </w:p>
    <w:p w14:paraId="41D2C090" w14:textId="425CEC6D" w:rsidR="001F585F" w:rsidRDefault="001F585F" w:rsidP="001F585F">
      <w:pPr>
        <w:pStyle w:val="NoSpacing"/>
        <w:rPr>
          <w:lang w:val="en-GB" w:bidi="en-US"/>
        </w:rPr>
      </w:pPr>
    </w:p>
    <w:p w14:paraId="01E6DABB" w14:textId="15F688D8" w:rsidR="001F585F" w:rsidRDefault="001F585F" w:rsidP="001F585F">
      <w:pPr>
        <w:pStyle w:val="NoSpacing"/>
        <w:rPr>
          <w:lang w:val="en-GB" w:bidi="en-US"/>
        </w:rPr>
      </w:pPr>
    </w:p>
    <w:p w14:paraId="2DEC9572" w14:textId="15F5FA76" w:rsidR="001F585F" w:rsidRDefault="001F585F" w:rsidP="001F585F">
      <w:pPr>
        <w:pStyle w:val="NoSpacing"/>
        <w:rPr>
          <w:lang w:val="en-GB" w:bidi="en-US"/>
        </w:rPr>
      </w:pPr>
    </w:p>
    <w:p w14:paraId="18964A26" w14:textId="6ED3A50D" w:rsidR="001F585F" w:rsidRDefault="001F585F" w:rsidP="001F585F">
      <w:pPr>
        <w:pStyle w:val="NoSpacing"/>
        <w:rPr>
          <w:lang w:val="en-GB" w:bidi="en-US"/>
        </w:rPr>
      </w:pPr>
    </w:p>
    <w:p w14:paraId="486FD95C" w14:textId="7B9D4550" w:rsidR="001F585F" w:rsidRDefault="001F585F" w:rsidP="001F585F">
      <w:pPr>
        <w:pStyle w:val="NoSpacing"/>
        <w:rPr>
          <w:lang w:val="en-GB" w:bidi="en-US"/>
        </w:rPr>
      </w:pPr>
    </w:p>
    <w:p w14:paraId="5B79183B" w14:textId="004125FE" w:rsidR="001F585F" w:rsidRDefault="001F585F" w:rsidP="001F585F">
      <w:pPr>
        <w:pStyle w:val="NoSpacing"/>
        <w:rPr>
          <w:lang w:val="en-GB" w:bidi="en-US"/>
        </w:rPr>
      </w:pPr>
    </w:p>
    <w:p w14:paraId="5E5B1F78" w14:textId="11C93E6C" w:rsidR="001F585F" w:rsidRDefault="001F585F" w:rsidP="001F585F">
      <w:pPr>
        <w:pStyle w:val="NoSpacing"/>
        <w:rPr>
          <w:lang w:val="en-GB" w:bidi="en-US"/>
        </w:rPr>
      </w:pPr>
    </w:p>
    <w:p w14:paraId="706C72E6" w14:textId="5FFBAA0F" w:rsidR="001F585F" w:rsidRDefault="001F585F" w:rsidP="001F585F">
      <w:pPr>
        <w:pStyle w:val="NoSpacing"/>
        <w:rPr>
          <w:lang w:val="en-GB" w:bidi="en-US"/>
        </w:rPr>
      </w:pPr>
    </w:p>
    <w:p w14:paraId="54B7F403" w14:textId="07228E7B" w:rsidR="001F585F" w:rsidRDefault="001F585F" w:rsidP="001F585F">
      <w:pPr>
        <w:pStyle w:val="NoSpacing"/>
        <w:rPr>
          <w:lang w:val="en-GB" w:bidi="en-US"/>
        </w:rPr>
      </w:pPr>
    </w:p>
    <w:p w14:paraId="53C0CA24" w14:textId="14958E36" w:rsidR="001F585F" w:rsidRDefault="001F585F" w:rsidP="001F585F">
      <w:pPr>
        <w:pStyle w:val="NoSpacing"/>
        <w:rPr>
          <w:lang w:val="en-GB" w:bidi="en-US"/>
        </w:rPr>
      </w:pPr>
    </w:p>
    <w:p w14:paraId="487D5780" w14:textId="660E3A35" w:rsidR="001F585F" w:rsidRDefault="001F585F" w:rsidP="001F585F">
      <w:pPr>
        <w:pStyle w:val="NoSpacing"/>
        <w:rPr>
          <w:lang w:val="en-GB" w:bidi="en-US"/>
        </w:rPr>
      </w:pPr>
    </w:p>
    <w:p w14:paraId="56589BEE" w14:textId="77777777" w:rsidR="001F585F" w:rsidRPr="009C3D6B" w:rsidRDefault="001F585F" w:rsidP="001F585F">
      <w:pPr>
        <w:rPr>
          <w:rFonts w:ascii="Times New Roman" w:hAnsi="Times New Roman"/>
          <w:sz w:val="24"/>
        </w:rPr>
      </w:pPr>
      <w:r w:rsidRPr="009C3D6B">
        <w:rPr>
          <w:rFonts w:ascii="Times New Roman" w:hAnsi="Times New Roman"/>
          <w:sz w:val="24"/>
        </w:rPr>
        <w:lastRenderedPageBreak/>
        <w:t>Supplementary information for the manuscript:</w:t>
      </w:r>
    </w:p>
    <w:p w14:paraId="2062EC71" w14:textId="77777777" w:rsidR="001F585F" w:rsidRPr="009C3D6B" w:rsidRDefault="001F585F" w:rsidP="001F585F">
      <w:pPr>
        <w:pStyle w:val="NoSpacing"/>
        <w:spacing w:line="360" w:lineRule="auto"/>
        <w:jc w:val="center"/>
        <w:rPr>
          <w:rFonts w:ascii="Times New Roman" w:hAnsi="Times New Roman"/>
          <w:color w:val="000000"/>
          <w:sz w:val="28"/>
          <w:lang w:val="en-GB"/>
        </w:rPr>
      </w:pPr>
      <w:r w:rsidRPr="009C3D6B">
        <w:rPr>
          <w:rFonts w:ascii="Times New Roman" w:hAnsi="Times New Roman"/>
          <w:color w:val="000000"/>
          <w:sz w:val="28"/>
          <w:lang w:val="en-GB"/>
        </w:rPr>
        <w:t>Distribution and characterization of organic matter within the sea surface microlayer in the Gulf of Gdansk</w:t>
      </w:r>
    </w:p>
    <w:p w14:paraId="0E15674C" w14:textId="77777777" w:rsidR="001F585F" w:rsidRPr="0006227E" w:rsidRDefault="001F585F" w:rsidP="001F585F">
      <w:pPr>
        <w:pStyle w:val="NoSpacing"/>
        <w:spacing w:line="360" w:lineRule="auto"/>
        <w:rPr>
          <w:rFonts w:ascii="Times New Roman" w:hAnsi="Times New Roman"/>
          <w:color w:val="000000"/>
          <w:lang w:val="en-GB"/>
        </w:rPr>
      </w:pPr>
    </w:p>
    <w:p w14:paraId="66288395" w14:textId="77777777" w:rsidR="001F585F" w:rsidRDefault="001F585F" w:rsidP="001F585F">
      <w:pPr>
        <w:pStyle w:val="NoSpacing"/>
        <w:spacing w:line="360" w:lineRule="auto"/>
        <w:rPr>
          <w:rFonts w:ascii="Times New Roman" w:hAnsi="Times New Roman"/>
          <w:color w:val="000000"/>
          <w:vertAlign w:val="superscript"/>
          <w:lang w:val="en-GB"/>
        </w:rPr>
      </w:pPr>
      <w:r>
        <w:rPr>
          <w:rFonts w:ascii="Times New Roman" w:hAnsi="Times New Roman"/>
          <w:color w:val="000000"/>
          <w:lang w:val="en-GB"/>
        </w:rPr>
        <w:t>Abra Penezić</w:t>
      </w:r>
      <w:r w:rsidRPr="0006227E">
        <w:rPr>
          <w:rFonts w:ascii="Times New Roman" w:hAnsi="Times New Roman"/>
          <w:color w:val="000000"/>
          <w:lang w:val="en-GB"/>
        </w:rPr>
        <w:t>*</w:t>
      </w:r>
      <w:r w:rsidRPr="0006227E">
        <w:rPr>
          <w:rFonts w:ascii="Times New Roman" w:hAnsi="Times New Roman"/>
          <w:color w:val="000000"/>
          <w:vertAlign w:val="superscript"/>
          <w:lang w:val="en-GB"/>
        </w:rPr>
        <w:t>1</w:t>
      </w:r>
      <w:r w:rsidRPr="0006227E">
        <w:rPr>
          <w:rFonts w:ascii="Times New Roman" w:hAnsi="Times New Roman"/>
          <w:color w:val="000000"/>
          <w:lang w:val="en-GB"/>
        </w:rPr>
        <w:t>, Violetta Drozdowska*</w:t>
      </w:r>
      <w:r w:rsidRPr="0006227E">
        <w:rPr>
          <w:rFonts w:ascii="Times New Roman" w:hAnsi="Times New Roman"/>
          <w:color w:val="000000"/>
          <w:vertAlign w:val="superscript"/>
          <w:lang w:val="en-GB"/>
        </w:rPr>
        <w:t>2</w:t>
      </w:r>
      <w:r w:rsidRPr="0006227E">
        <w:rPr>
          <w:rFonts w:ascii="Times New Roman" w:hAnsi="Times New Roman"/>
          <w:color w:val="000000"/>
          <w:lang w:val="en-GB"/>
        </w:rPr>
        <w:t>, Tihana Novak</w:t>
      </w:r>
      <w:r w:rsidRPr="0006227E">
        <w:rPr>
          <w:rFonts w:ascii="Times New Roman" w:hAnsi="Times New Roman"/>
          <w:color w:val="000000"/>
          <w:vertAlign w:val="superscript"/>
          <w:lang w:val="en-GB"/>
        </w:rPr>
        <w:t>1</w:t>
      </w:r>
      <w:r>
        <w:rPr>
          <w:rFonts w:ascii="Times New Roman" w:hAnsi="Times New Roman"/>
          <w:color w:val="000000"/>
          <w:lang w:val="en-GB"/>
        </w:rPr>
        <w:t xml:space="preserve"> and Blaž</w:t>
      </w:r>
      <w:r w:rsidRPr="0006227E">
        <w:rPr>
          <w:rFonts w:ascii="Times New Roman" w:hAnsi="Times New Roman"/>
          <w:color w:val="000000"/>
          <w:lang w:val="en-GB"/>
        </w:rPr>
        <w:t>enka Gašparović</w:t>
      </w:r>
      <w:r w:rsidRPr="0006227E">
        <w:rPr>
          <w:rFonts w:ascii="Times New Roman" w:hAnsi="Times New Roman"/>
          <w:color w:val="000000"/>
          <w:vertAlign w:val="superscript"/>
          <w:lang w:val="en-GB"/>
        </w:rPr>
        <w:t>1</w:t>
      </w:r>
    </w:p>
    <w:p w14:paraId="3B4CD514" w14:textId="77777777" w:rsidR="001F585F" w:rsidRPr="0006227E" w:rsidRDefault="001F585F" w:rsidP="001F585F">
      <w:pPr>
        <w:pStyle w:val="NoSpacing"/>
        <w:spacing w:line="360" w:lineRule="auto"/>
        <w:rPr>
          <w:rFonts w:ascii="Times New Roman" w:hAnsi="Times New Roman"/>
          <w:color w:val="000000"/>
          <w:lang w:val="en-GB"/>
        </w:rPr>
      </w:pPr>
    </w:p>
    <w:p w14:paraId="0D9733F7" w14:textId="77777777" w:rsidR="001F585F" w:rsidRPr="0006227E" w:rsidRDefault="001F585F" w:rsidP="001F585F">
      <w:pPr>
        <w:pStyle w:val="NoSpacing"/>
        <w:spacing w:line="360" w:lineRule="auto"/>
        <w:rPr>
          <w:rFonts w:ascii="Times New Roman" w:hAnsi="Times New Roman"/>
          <w:color w:val="000000"/>
          <w:lang w:val="en-GB"/>
        </w:rPr>
      </w:pPr>
      <w:r w:rsidRPr="0006227E">
        <w:rPr>
          <w:rFonts w:ascii="Times New Roman" w:hAnsi="Times New Roman"/>
          <w:color w:val="000000"/>
          <w:lang w:val="en-GB"/>
        </w:rPr>
        <w:t>*</w:t>
      </w:r>
      <w:r>
        <w:rPr>
          <w:rFonts w:ascii="Times New Roman" w:hAnsi="Times New Roman"/>
          <w:color w:val="000000"/>
          <w:lang w:val="en-GB"/>
        </w:rPr>
        <w:t xml:space="preserve">Corresponding authors: </w:t>
      </w:r>
      <w:r w:rsidRPr="0006227E">
        <w:rPr>
          <w:rFonts w:ascii="Times New Roman" w:hAnsi="Times New Roman"/>
          <w:color w:val="000000"/>
          <w:lang w:val="en-GB"/>
        </w:rPr>
        <w:t>abra@irb.hr, drozd@iopan.pl</w:t>
      </w:r>
    </w:p>
    <w:p w14:paraId="7CB13A15" w14:textId="77777777" w:rsidR="001F585F" w:rsidRPr="0006227E" w:rsidRDefault="001F585F" w:rsidP="001F585F">
      <w:pPr>
        <w:pStyle w:val="NoSpacing"/>
        <w:spacing w:line="360" w:lineRule="auto"/>
        <w:rPr>
          <w:rFonts w:ascii="Times New Roman" w:hAnsi="Times New Roman"/>
          <w:color w:val="000000"/>
          <w:lang w:val="en-GB"/>
        </w:rPr>
      </w:pPr>
    </w:p>
    <w:p w14:paraId="360E300A" w14:textId="77777777" w:rsidR="001F585F" w:rsidRPr="0006227E" w:rsidRDefault="001F585F" w:rsidP="001F585F">
      <w:pPr>
        <w:pStyle w:val="NoSpacing"/>
        <w:spacing w:line="360" w:lineRule="auto"/>
        <w:rPr>
          <w:rFonts w:ascii="Times New Roman" w:hAnsi="Times New Roman"/>
          <w:color w:val="000000"/>
          <w:lang w:val="en-GB"/>
        </w:rPr>
      </w:pPr>
      <w:r w:rsidRPr="0006227E">
        <w:rPr>
          <w:rFonts w:ascii="Times New Roman" w:hAnsi="Times New Roman"/>
          <w:color w:val="000000"/>
          <w:vertAlign w:val="superscript"/>
          <w:lang w:val="en-GB"/>
        </w:rPr>
        <w:t>1</w:t>
      </w:r>
      <w:r w:rsidRPr="0006227E">
        <w:rPr>
          <w:rFonts w:ascii="Times New Roman" w:hAnsi="Times New Roman"/>
          <w:color w:val="000000"/>
          <w:lang w:val="en-GB"/>
        </w:rPr>
        <w:t xml:space="preserve"> Division for Marine and Environmental Research, Rudjer Boskovic Institute, 10000, Zagreb, Croatia</w:t>
      </w:r>
    </w:p>
    <w:p w14:paraId="5955C593" w14:textId="77777777" w:rsidR="001F585F" w:rsidRDefault="001F585F" w:rsidP="001F585F">
      <w:pPr>
        <w:pStyle w:val="NoSpacing"/>
        <w:spacing w:line="360" w:lineRule="auto"/>
        <w:rPr>
          <w:rFonts w:ascii="Times New Roman" w:hAnsi="Times New Roman"/>
          <w:color w:val="000000"/>
          <w:lang w:val="en-GB"/>
        </w:rPr>
      </w:pPr>
      <w:r w:rsidRPr="0006227E">
        <w:rPr>
          <w:rFonts w:ascii="Times New Roman" w:hAnsi="Times New Roman"/>
          <w:color w:val="000000"/>
          <w:vertAlign w:val="superscript"/>
          <w:lang w:val="en-GB"/>
        </w:rPr>
        <w:t>2</w:t>
      </w:r>
      <w:r w:rsidRPr="0006227E">
        <w:rPr>
          <w:rFonts w:ascii="Times New Roman" w:hAnsi="Times New Roman"/>
          <w:color w:val="000000"/>
          <w:lang w:val="en-GB"/>
        </w:rPr>
        <w:t xml:space="preserve"> Physical Oceanography Department, Institute of Oceanology, Polish Academy of Sciences, Sopot, Poland</w:t>
      </w:r>
    </w:p>
    <w:p w14:paraId="4A897F5A" w14:textId="70E5880D" w:rsidR="001F585F" w:rsidRDefault="001F585F" w:rsidP="001F585F">
      <w:pPr>
        <w:pStyle w:val="NoSpacing"/>
        <w:spacing w:line="360" w:lineRule="auto"/>
        <w:rPr>
          <w:rFonts w:ascii="Times New Roman" w:hAnsi="Times New Roman"/>
          <w:color w:val="000000"/>
          <w:lang w:val="en-GB"/>
        </w:rPr>
      </w:pPr>
    </w:p>
    <w:p w14:paraId="30A14340" w14:textId="3FE58A5A" w:rsidR="007052E4" w:rsidRDefault="007052E4" w:rsidP="001F585F">
      <w:pPr>
        <w:pStyle w:val="NoSpacing"/>
        <w:spacing w:line="360" w:lineRule="auto"/>
        <w:rPr>
          <w:rFonts w:ascii="Times New Roman" w:hAnsi="Times New Roman"/>
          <w:color w:val="000000"/>
          <w:lang w:val="en-GB"/>
        </w:rPr>
      </w:pPr>
      <w:r>
        <w:rPr>
          <w:rFonts w:ascii="Times New Roman" w:hAnsi="Times New Roman"/>
          <w:color w:val="000000"/>
          <w:lang w:val="en-GB"/>
        </w:rPr>
        <w:t>Sea surface microlayer sampling procedure details</w:t>
      </w:r>
    </w:p>
    <w:p w14:paraId="1DCBD686" w14:textId="77777777" w:rsidR="007052E4" w:rsidRDefault="007052E4" w:rsidP="001F585F">
      <w:pPr>
        <w:pStyle w:val="NoSpacing"/>
        <w:spacing w:line="360" w:lineRule="auto"/>
        <w:rPr>
          <w:rFonts w:ascii="Times New Roman" w:hAnsi="Times New Roman"/>
          <w:color w:val="000000"/>
          <w:lang w:val="en-GB"/>
        </w:rPr>
      </w:pPr>
    </w:p>
    <w:p w14:paraId="54AC2E0A" w14:textId="00C874ED" w:rsidR="007052E4" w:rsidRPr="007052E4"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t xml:space="preserve">The first sampling method we adapted to collect the SML was a glass plate, GP. However, using GP has many limitations due to sea state and limited safety when using a small boat, and it is time- and work-consuming. Therefore, we switched to using metal Garret Screen (GS) which is widely used sampler in experiments on the seas and oceans to study the organic matter in SML (Figure S1). Keeping the precautions and mindfulness, SML sampling with GS works perfectly, it is efficient and safe. </w:t>
      </w:r>
    </w:p>
    <w:p w14:paraId="6C6F2280" w14:textId="77777777" w:rsidR="007052E4" w:rsidRPr="007052E4" w:rsidRDefault="007052E4" w:rsidP="007052E4">
      <w:pPr>
        <w:pStyle w:val="NoSpacing"/>
        <w:spacing w:line="360" w:lineRule="auto"/>
        <w:rPr>
          <w:rFonts w:ascii="Times New Roman" w:hAnsi="Times New Roman"/>
          <w:color w:val="000000"/>
          <w:lang w:val="en-GB"/>
        </w:rPr>
      </w:pPr>
    </w:p>
    <w:p w14:paraId="7E8B85C7" w14:textId="77777777" w:rsidR="007052E4" w:rsidRPr="007052E4" w:rsidRDefault="007052E4" w:rsidP="007052E4">
      <w:pPr>
        <w:pStyle w:val="NoSpacing"/>
        <w:spacing w:line="360" w:lineRule="auto"/>
        <w:rPr>
          <w:rFonts w:ascii="Times New Roman" w:hAnsi="Times New Roman"/>
          <w:color w:val="000000"/>
          <w:lang w:val="en-GB"/>
        </w:rPr>
      </w:pPr>
    </w:p>
    <w:p w14:paraId="4998181B" w14:textId="049CC322" w:rsidR="007052E4" w:rsidRPr="007052E4"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lastRenderedPageBreak/>
        <w:t xml:space="preserve"> </w:t>
      </w:r>
      <w:r w:rsidRPr="00094ACC">
        <w:rPr>
          <w:rFonts w:ascii="Times New Roman" w:hAnsi="Times New Roman"/>
          <w:noProof/>
          <w:color w:val="222222"/>
          <w:shd w:val="clear" w:color="auto" w:fill="FFFFFF"/>
          <w:lang w:eastAsia="hr-HR"/>
        </w:rPr>
        <w:drawing>
          <wp:inline distT="0" distB="0" distL="0" distR="0" wp14:anchorId="0CF6A8FA" wp14:editId="49802024">
            <wp:extent cx="4533900" cy="4970893"/>
            <wp:effectExtent l="0" t="0" r="0" b="1270"/>
            <wp:docPr id="9" name="Picture 9" descr="D:\Baltik lap\Towards finishing\Oceanologia\Recenzija\Fin\Zadnje od Bla\Recenzija 2\Za Suppleme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altik lap\Towards finishing\Oceanologia\Recenzija\Fin\Zadnje od Bla\Recenzija 2\Za Supplement.tif"/>
                    <pic:cNvPicPr>
                      <a:picLocks noChangeAspect="1" noChangeArrowheads="1"/>
                    </pic:cNvPicPr>
                  </pic:nvPicPr>
                  <pic:blipFill rotWithShape="1">
                    <a:blip r:embed="rId19">
                      <a:extLst>
                        <a:ext uri="{28A0092B-C50C-407E-A947-70E740481C1C}">
                          <a14:useLocalDpi xmlns:a14="http://schemas.microsoft.com/office/drawing/2010/main" val="0"/>
                        </a:ext>
                      </a:extLst>
                    </a:blip>
                    <a:srcRect b="9447"/>
                    <a:stretch/>
                  </pic:blipFill>
                  <pic:spPr bwMode="auto">
                    <a:xfrm>
                      <a:off x="0" y="0"/>
                      <a:ext cx="4558960" cy="4998369"/>
                    </a:xfrm>
                    <a:prstGeom prst="rect">
                      <a:avLst/>
                    </a:prstGeom>
                    <a:noFill/>
                    <a:ln>
                      <a:noFill/>
                    </a:ln>
                    <a:extLst>
                      <a:ext uri="{53640926-AAD7-44D8-BBD7-CCE9431645EC}">
                        <a14:shadowObscured xmlns:a14="http://schemas.microsoft.com/office/drawing/2010/main"/>
                      </a:ext>
                    </a:extLst>
                  </pic:spPr>
                </pic:pic>
              </a:graphicData>
            </a:graphic>
          </wp:inline>
        </w:drawing>
      </w:r>
    </w:p>
    <w:p w14:paraId="6AE1A48A" w14:textId="72354D66" w:rsidR="007052E4" w:rsidRDefault="007052E4" w:rsidP="007052E4">
      <w:pPr>
        <w:pStyle w:val="NoSpacing"/>
        <w:spacing w:line="360" w:lineRule="auto"/>
        <w:rPr>
          <w:rFonts w:ascii="Times New Roman" w:hAnsi="Times New Roman"/>
          <w:color w:val="000000"/>
          <w:lang w:val="en-GB"/>
        </w:rPr>
      </w:pPr>
      <w:r w:rsidRPr="00A03CA9">
        <w:rPr>
          <w:rFonts w:ascii="Times New Roman" w:hAnsi="Times New Roman"/>
          <w:b/>
          <w:color w:val="000000"/>
          <w:lang w:val="en-GB"/>
        </w:rPr>
        <w:t>Figure S1</w:t>
      </w:r>
      <w:r w:rsidRPr="007052E4">
        <w:rPr>
          <w:rFonts w:ascii="Times New Roman" w:hAnsi="Times New Roman"/>
          <w:color w:val="000000"/>
          <w:lang w:val="en-GB"/>
        </w:rPr>
        <w:t>. Sampling the sea surface microlayer by Garret Screen from R/V Oceania</w:t>
      </w:r>
    </w:p>
    <w:p w14:paraId="01E72723" w14:textId="77777777" w:rsidR="007052E4" w:rsidRPr="007052E4" w:rsidRDefault="007052E4" w:rsidP="007052E4">
      <w:pPr>
        <w:pStyle w:val="NoSpacing"/>
        <w:spacing w:line="360" w:lineRule="auto"/>
        <w:rPr>
          <w:rFonts w:ascii="Times New Roman" w:hAnsi="Times New Roman"/>
          <w:color w:val="000000"/>
          <w:lang w:val="en-GB"/>
        </w:rPr>
      </w:pPr>
    </w:p>
    <w:p w14:paraId="6D722F13" w14:textId="77777777" w:rsidR="007052E4" w:rsidRPr="007052E4"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t>We always monitor the state of the sea surface and evaluate the possibility and sense of SML sampling by GS. We do not collect when the surface is too wavy.</w:t>
      </w:r>
    </w:p>
    <w:p w14:paraId="5084F04D" w14:textId="77777777" w:rsidR="007052E4" w:rsidRPr="007052E4"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t>We always collect the sea surface microlayer until the sea state is 4B (B = (v+10) / 6, where v is a wind speed in knots). Increasingly strong winds generate intense turbulent motions of the sea surface, which substantially damages the microlayer structure. However, the SML is reconstructed in milliseconds. Thus, when the appropriate circumstances for SML sampling appear, there is enough time and space to sample the sea surface by GS between successive wave peaks and fronts, so we continue the sampling of the SML. This is done even in sea state 5B.</w:t>
      </w:r>
    </w:p>
    <w:p w14:paraId="17039251" w14:textId="77777777" w:rsidR="007052E4" w:rsidRPr="007052E4"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t xml:space="preserve">We are very careful to touch the sea-surface by the GS as delicately as possible (we call it ‘kissing the sea’). We usually collect the SML from the bow part of a ship, about 10-15 m from the head/bow. However, depending on weather conditions (wind speed and direction, and positioning of the ship), sampling of the SML can be done at a more appropriate location on the ship’s deck to minimize the influence of vertical moves of the ship (to avoid sharp GS collisions with the water surface and jerks </w:t>
      </w:r>
      <w:r w:rsidRPr="007052E4">
        <w:rPr>
          <w:rFonts w:ascii="Times New Roman" w:hAnsi="Times New Roman"/>
          <w:color w:val="000000"/>
          <w:lang w:val="en-GB"/>
        </w:rPr>
        <w:lastRenderedPageBreak/>
        <w:t xml:space="preserve">when lifting off the water surface). In addition, the sloping shape of the Oceania’s hull allows keeping the distance between the sampling point and the ship (at least 1 m) to minimize the influence of rolling and pitching movements caused by waves hitting the hull of the ship. </w:t>
      </w:r>
    </w:p>
    <w:p w14:paraId="0582D476" w14:textId="02DF7FC9" w:rsidR="00F56B73" w:rsidRDefault="007052E4" w:rsidP="007052E4">
      <w:pPr>
        <w:pStyle w:val="NoSpacing"/>
        <w:spacing w:line="360" w:lineRule="auto"/>
        <w:rPr>
          <w:rFonts w:ascii="Times New Roman" w:hAnsi="Times New Roman"/>
          <w:color w:val="000000"/>
          <w:lang w:val="en-GB"/>
        </w:rPr>
      </w:pPr>
      <w:r w:rsidRPr="007052E4">
        <w:rPr>
          <w:rFonts w:ascii="Times New Roman" w:hAnsi="Times New Roman"/>
          <w:color w:val="000000"/>
          <w:lang w:val="en-GB"/>
        </w:rPr>
        <w:t>During the cruise presented here, due to a combination of several factors - caused by dead waves and the changes in wind direction there were no typical waves for such a high sea state, although the wind speed woul</w:t>
      </w:r>
      <w:r>
        <w:rPr>
          <w:rFonts w:ascii="Times New Roman" w:hAnsi="Times New Roman"/>
          <w:color w:val="000000"/>
          <w:lang w:val="en-GB"/>
        </w:rPr>
        <w:t>d indicate a sea state of 5-6B.</w:t>
      </w:r>
    </w:p>
    <w:p w14:paraId="1E36C543" w14:textId="6AD65DA6" w:rsidR="00F56B73" w:rsidRDefault="00F56B73" w:rsidP="001F585F">
      <w:pPr>
        <w:pStyle w:val="NoSpacing"/>
        <w:spacing w:line="360" w:lineRule="auto"/>
        <w:rPr>
          <w:rFonts w:ascii="Times New Roman" w:hAnsi="Times New Roman"/>
          <w:color w:val="000000"/>
          <w:lang w:val="en-GB"/>
        </w:rPr>
      </w:pPr>
    </w:p>
    <w:p w14:paraId="17E78F91" w14:textId="77777777" w:rsidR="001F585F" w:rsidRPr="006E1463" w:rsidRDefault="001F585F" w:rsidP="001F585F">
      <w:pPr>
        <w:spacing w:after="0" w:line="360" w:lineRule="auto"/>
        <w:rPr>
          <w:rFonts w:ascii="Times New Roman" w:hAnsi="Times New Roman"/>
          <w:color w:val="000000"/>
          <w:lang w:val="en-GB"/>
        </w:rPr>
      </w:pPr>
      <w:r w:rsidRPr="00A03CA9">
        <w:rPr>
          <w:rFonts w:ascii="Times New Roman" w:hAnsi="Times New Roman"/>
          <w:b/>
          <w:color w:val="000000"/>
          <w:lang w:val="en-GB"/>
        </w:rPr>
        <w:t>Table S1</w:t>
      </w:r>
      <w:r w:rsidRPr="006E1463">
        <w:rPr>
          <w:rFonts w:ascii="Times New Roman" w:hAnsi="Times New Roman"/>
          <w:color w:val="000000"/>
          <w:lang w:val="en-GB"/>
        </w:rPr>
        <w:t xml:space="preserve">. Sampling stations in the Gulf of Gdansk, the southern Baltic Sea with their corresponding distances from the Vistula River mouth. </w:t>
      </w:r>
    </w:p>
    <w:tbl>
      <w:tblPr>
        <w:tblW w:w="7083" w:type="dxa"/>
        <w:tblLook w:val="04A0" w:firstRow="1" w:lastRow="0" w:firstColumn="1" w:lastColumn="0" w:noHBand="0" w:noVBand="1"/>
      </w:tblPr>
      <w:tblGrid>
        <w:gridCol w:w="475"/>
        <w:gridCol w:w="534"/>
        <w:gridCol w:w="1538"/>
        <w:gridCol w:w="1445"/>
        <w:gridCol w:w="1511"/>
        <w:gridCol w:w="1580"/>
      </w:tblGrid>
      <w:tr w:rsidR="001F585F" w:rsidRPr="006E1463" w14:paraId="2E87A472" w14:textId="77777777" w:rsidTr="00B55EA9">
        <w:trPr>
          <w:trHeight w:val="300"/>
        </w:trPr>
        <w:tc>
          <w:tcPr>
            <w:tcW w:w="1009" w:type="dxa"/>
            <w:gridSpan w:val="2"/>
            <w:tcBorders>
              <w:top w:val="single" w:sz="4" w:space="0" w:color="auto"/>
              <w:left w:val="single" w:sz="4" w:space="0" w:color="auto"/>
              <w:bottom w:val="single" w:sz="4" w:space="0" w:color="auto"/>
              <w:right w:val="single" w:sz="4" w:space="0" w:color="auto"/>
            </w:tcBorders>
            <w:vAlign w:val="center"/>
          </w:tcPr>
          <w:p w14:paraId="297B686C" w14:textId="77777777" w:rsidR="001F585F" w:rsidRPr="00FB2537" w:rsidRDefault="001F585F" w:rsidP="00B55EA9">
            <w:pPr>
              <w:spacing w:after="0" w:line="240" w:lineRule="auto"/>
              <w:jc w:val="center"/>
              <w:rPr>
                <w:rFonts w:ascii="Times New Roman" w:hAnsi="Times New Roman"/>
                <w:bCs/>
                <w:color w:val="000000"/>
                <w:lang w:val="en-GB" w:bidi="ar-SA"/>
              </w:rPr>
            </w:pPr>
            <w:r w:rsidRPr="00FB2537">
              <w:rPr>
                <w:rFonts w:ascii="Times New Roman" w:hAnsi="Times New Roman"/>
                <w:bCs/>
                <w:color w:val="000000"/>
                <w:lang w:val="en-GB" w:bidi="ar-SA"/>
              </w:rPr>
              <w:t>Station</w:t>
            </w:r>
          </w:p>
        </w:tc>
        <w:tc>
          <w:tcPr>
            <w:tcW w:w="1538" w:type="dxa"/>
            <w:tcBorders>
              <w:top w:val="single" w:sz="4" w:space="0" w:color="auto"/>
              <w:left w:val="single" w:sz="4" w:space="0" w:color="auto"/>
              <w:bottom w:val="single" w:sz="4" w:space="0" w:color="auto"/>
              <w:right w:val="single" w:sz="4" w:space="0" w:color="auto"/>
            </w:tcBorders>
            <w:vAlign w:val="center"/>
          </w:tcPr>
          <w:p w14:paraId="7E61BA4B" w14:textId="77777777" w:rsidR="001F585F" w:rsidRPr="00FB2537" w:rsidRDefault="001F585F" w:rsidP="00B55EA9">
            <w:pPr>
              <w:spacing w:after="0" w:line="240" w:lineRule="auto"/>
              <w:jc w:val="center"/>
              <w:rPr>
                <w:rFonts w:ascii="Times New Roman" w:hAnsi="Times New Roman"/>
                <w:bCs/>
                <w:color w:val="000000"/>
                <w:lang w:val="en-GB" w:bidi="ar-SA"/>
              </w:rPr>
            </w:pPr>
            <w:r w:rsidRPr="00FB2537">
              <w:rPr>
                <w:rFonts w:ascii="Times New Roman" w:hAnsi="Times New Roman"/>
              </w:rPr>
              <w:t>Longitude E</w:t>
            </w:r>
          </w:p>
        </w:tc>
        <w:tc>
          <w:tcPr>
            <w:tcW w:w="1445" w:type="dxa"/>
            <w:tcBorders>
              <w:top w:val="single" w:sz="4" w:space="0" w:color="auto"/>
              <w:left w:val="single" w:sz="4" w:space="0" w:color="auto"/>
              <w:bottom w:val="single" w:sz="4" w:space="0" w:color="auto"/>
              <w:right w:val="single" w:sz="4" w:space="0" w:color="auto"/>
            </w:tcBorders>
            <w:vAlign w:val="center"/>
          </w:tcPr>
          <w:p w14:paraId="0634BEE5" w14:textId="77777777" w:rsidR="001F585F" w:rsidRPr="00FB2537" w:rsidRDefault="001F585F" w:rsidP="00B55EA9">
            <w:pPr>
              <w:spacing w:after="0" w:line="240" w:lineRule="auto"/>
              <w:jc w:val="center"/>
              <w:rPr>
                <w:rFonts w:ascii="Times New Roman" w:hAnsi="Times New Roman"/>
                <w:bCs/>
                <w:color w:val="000000"/>
                <w:lang w:val="en-GB" w:bidi="ar-SA"/>
              </w:rPr>
            </w:pPr>
            <w:r w:rsidRPr="00FB2537">
              <w:rPr>
                <w:rFonts w:ascii="Times New Roman" w:hAnsi="Times New Roman"/>
              </w:rPr>
              <w:t>Latitude N</w:t>
            </w:r>
          </w:p>
        </w:tc>
        <w:tc>
          <w:tcPr>
            <w:tcW w:w="1511" w:type="dxa"/>
            <w:tcBorders>
              <w:top w:val="single" w:sz="4" w:space="0" w:color="auto"/>
              <w:left w:val="single" w:sz="4" w:space="0" w:color="auto"/>
              <w:bottom w:val="single" w:sz="4" w:space="0" w:color="auto"/>
              <w:right w:val="single" w:sz="4" w:space="0" w:color="auto"/>
            </w:tcBorders>
            <w:vAlign w:val="center"/>
          </w:tcPr>
          <w:p w14:paraId="308BFD2E" w14:textId="77777777" w:rsidR="001F585F" w:rsidRPr="00FB2537" w:rsidRDefault="001F585F" w:rsidP="00B55EA9">
            <w:pPr>
              <w:spacing w:after="0" w:line="240" w:lineRule="auto"/>
              <w:jc w:val="center"/>
              <w:rPr>
                <w:rFonts w:ascii="Times New Roman" w:hAnsi="Times New Roman"/>
                <w:bCs/>
                <w:color w:val="000000"/>
                <w:lang w:val="en-GB" w:bidi="ar-SA"/>
              </w:rPr>
            </w:pPr>
            <w:r w:rsidRPr="00FB2537">
              <w:rPr>
                <w:rFonts w:ascii="Times New Roman" w:hAnsi="Times New Roman"/>
                <w:bCs/>
                <w:color w:val="000000"/>
                <w:lang w:val="en-GB" w:bidi="ar-SA"/>
              </w:rPr>
              <w:t>Time of sampling</w:t>
            </w:r>
          </w:p>
        </w:tc>
        <w:tc>
          <w:tcPr>
            <w:tcW w:w="1580" w:type="dxa"/>
            <w:tcBorders>
              <w:top w:val="single" w:sz="4" w:space="0" w:color="auto"/>
              <w:left w:val="single" w:sz="4" w:space="0" w:color="auto"/>
              <w:bottom w:val="single" w:sz="4" w:space="0" w:color="auto"/>
              <w:right w:val="single" w:sz="4" w:space="0" w:color="auto"/>
            </w:tcBorders>
            <w:vAlign w:val="center"/>
          </w:tcPr>
          <w:p w14:paraId="057CAB13" w14:textId="77777777" w:rsidR="001F585F" w:rsidRPr="00FB2537" w:rsidRDefault="001F585F" w:rsidP="00B55EA9">
            <w:pPr>
              <w:spacing w:after="0" w:line="240" w:lineRule="auto"/>
              <w:jc w:val="center"/>
              <w:rPr>
                <w:rFonts w:ascii="Times New Roman" w:hAnsi="Times New Roman"/>
                <w:bCs/>
                <w:color w:val="000000"/>
                <w:lang w:val="en-GB" w:bidi="ar-SA"/>
              </w:rPr>
            </w:pPr>
            <w:r w:rsidRPr="00FB2537">
              <w:rPr>
                <w:rFonts w:ascii="Times New Roman" w:hAnsi="Times New Roman"/>
                <w:bCs/>
                <w:color w:val="000000"/>
                <w:lang w:val="en-GB" w:bidi="ar-SA"/>
              </w:rPr>
              <w:t>Distance from</w:t>
            </w:r>
          </w:p>
          <w:p w14:paraId="1ABBB7D2" w14:textId="77777777" w:rsidR="001F585F" w:rsidRPr="00FB2537" w:rsidRDefault="001F585F" w:rsidP="00B55EA9">
            <w:pPr>
              <w:spacing w:after="0" w:line="240" w:lineRule="auto"/>
              <w:jc w:val="center"/>
              <w:rPr>
                <w:rFonts w:ascii="Times New Roman" w:hAnsi="Times New Roman"/>
              </w:rPr>
            </w:pPr>
            <w:r w:rsidRPr="00FB2537">
              <w:rPr>
                <w:rFonts w:ascii="Times New Roman" w:hAnsi="Times New Roman"/>
                <w:bCs/>
                <w:color w:val="000000"/>
                <w:lang w:val="en-GB" w:bidi="ar-SA"/>
              </w:rPr>
              <w:t>river mouth (km)</w:t>
            </w:r>
          </w:p>
        </w:tc>
      </w:tr>
      <w:tr w:rsidR="001F585F" w:rsidRPr="006E1463" w14:paraId="36A446BD" w14:textId="77777777" w:rsidTr="00B55EA9">
        <w:trPr>
          <w:cantSplit/>
          <w:trHeight w:val="283"/>
        </w:trPr>
        <w:tc>
          <w:tcPr>
            <w:tcW w:w="475" w:type="dxa"/>
            <w:vMerge w:val="restart"/>
            <w:tcBorders>
              <w:left w:val="single" w:sz="4" w:space="0" w:color="auto"/>
              <w:right w:val="single" w:sz="4" w:space="0" w:color="auto"/>
            </w:tcBorders>
            <w:textDirection w:val="btLr"/>
            <w:vAlign w:val="center"/>
          </w:tcPr>
          <w:p w14:paraId="24BC62E3" w14:textId="77777777" w:rsidR="001F585F" w:rsidRPr="00FB2537" w:rsidRDefault="001F585F" w:rsidP="00B55EA9">
            <w:pPr>
              <w:spacing w:after="0" w:line="240" w:lineRule="auto"/>
              <w:ind w:left="113" w:right="113"/>
              <w:jc w:val="center"/>
              <w:rPr>
                <w:rFonts w:ascii="Times New Roman" w:hAnsi="Times New Roman"/>
                <w:color w:val="000000"/>
                <w:lang w:val="en-GB"/>
              </w:rPr>
            </w:pPr>
            <w:r w:rsidRPr="00FB2537">
              <w:rPr>
                <w:rFonts w:ascii="Times New Roman" w:hAnsi="Times New Roman"/>
                <w:color w:val="000000"/>
                <w:lang w:val="en-GB"/>
              </w:rPr>
              <w:t>15. 10.</w:t>
            </w:r>
          </w:p>
        </w:tc>
        <w:tc>
          <w:tcPr>
            <w:tcW w:w="534" w:type="dxa"/>
            <w:tcBorders>
              <w:left w:val="single" w:sz="4" w:space="0" w:color="auto"/>
              <w:right w:val="single" w:sz="4" w:space="0" w:color="auto"/>
            </w:tcBorders>
            <w:shd w:val="clear" w:color="auto" w:fill="auto"/>
            <w:noWrap/>
            <w:vAlign w:val="center"/>
            <w:hideMark/>
          </w:tcPr>
          <w:p w14:paraId="6A2A5E27"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W1</w:t>
            </w:r>
          </w:p>
        </w:tc>
        <w:tc>
          <w:tcPr>
            <w:tcW w:w="1538" w:type="dxa"/>
            <w:tcBorders>
              <w:left w:val="single" w:sz="4" w:space="0" w:color="auto"/>
              <w:right w:val="single" w:sz="4" w:space="0" w:color="auto"/>
            </w:tcBorders>
            <w:vAlign w:val="center"/>
          </w:tcPr>
          <w:p w14:paraId="766AE724"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18.9587</w:t>
            </w:r>
          </w:p>
        </w:tc>
        <w:tc>
          <w:tcPr>
            <w:tcW w:w="1445" w:type="dxa"/>
            <w:tcBorders>
              <w:left w:val="single" w:sz="4" w:space="0" w:color="auto"/>
              <w:right w:val="single" w:sz="4" w:space="0" w:color="auto"/>
            </w:tcBorders>
            <w:vAlign w:val="center"/>
          </w:tcPr>
          <w:p w14:paraId="7E323C4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54.3751</w:t>
            </w:r>
          </w:p>
        </w:tc>
        <w:tc>
          <w:tcPr>
            <w:tcW w:w="1511" w:type="dxa"/>
            <w:tcBorders>
              <w:left w:val="single" w:sz="4" w:space="0" w:color="auto"/>
              <w:right w:val="single" w:sz="4" w:space="0" w:color="auto"/>
            </w:tcBorders>
            <w:vAlign w:val="center"/>
          </w:tcPr>
          <w:p w14:paraId="683F2E5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12:37:00</w:t>
            </w:r>
          </w:p>
        </w:tc>
        <w:tc>
          <w:tcPr>
            <w:tcW w:w="1580" w:type="dxa"/>
            <w:tcBorders>
              <w:left w:val="single" w:sz="4" w:space="0" w:color="auto"/>
              <w:right w:val="single" w:sz="4" w:space="0" w:color="auto"/>
            </w:tcBorders>
            <w:vAlign w:val="center"/>
          </w:tcPr>
          <w:p w14:paraId="5AE24CAC"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2</w:t>
            </w:r>
          </w:p>
        </w:tc>
      </w:tr>
      <w:tr w:rsidR="001F585F" w:rsidRPr="006E1463" w14:paraId="3D55F1CE" w14:textId="77777777" w:rsidTr="00B55EA9">
        <w:trPr>
          <w:cantSplit/>
          <w:trHeight w:val="283"/>
        </w:trPr>
        <w:tc>
          <w:tcPr>
            <w:tcW w:w="475" w:type="dxa"/>
            <w:vMerge/>
            <w:tcBorders>
              <w:left w:val="single" w:sz="4" w:space="0" w:color="auto"/>
              <w:right w:val="single" w:sz="4" w:space="0" w:color="auto"/>
            </w:tcBorders>
            <w:vAlign w:val="center"/>
          </w:tcPr>
          <w:p w14:paraId="573A9BD9"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7E79AFD7"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W2</w:t>
            </w:r>
          </w:p>
        </w:tc>
        <w:tc>
          <w:tcPr>
            <w:tcW w:w="1538" w:type="dxa"/>
            <w:tcBorders>
              <w:left w:val="single" w:sz="4" w:space="0" w:color="auto"/>
              <w:right w:val="single" w:sz="4" w:space="0" w:color="auto"/>
            </w:tcBorders>
            <w:vAlign w:val="center"/>
          </w:tcPr>
          <w:p w14:paraId="1D5BCD69"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18.9667</w:t>
            </w:r>
          </w:p>
        </w:tc>
        <w:tc>
          <w:tcPr>
            <w:tcW w:w="1445" w:type="dxa"/>
            <w:tcBorders>
              <w:left w:val="single" w:sz="4" w:space="0" w:color="auto"/>
              <w:right w:val="single" w:sz="4" w:space="0" w:color="auto"/>
            </w:tcBorders>
            <w:vAlign w:val="center"/>
          </w:tcPr>
          <w:p w14:paraId="65E3E3D3"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54.3986</w:t>
            </w:r>
          </w:p>
        </w:tc>
        <w:tc>
          <w:tcPr>
            <w:tcW w:w="1511" w:type="dxa"/>
            <w:tcBorders>
              <w:left w:val="single" w:sz="4" w:space="0" w:color="auto"/>
              <w:right w:val="single" w:sz="4" w:space="0" w:color="auto"/>
            </w:tcBorders>
            <w:vAlign w:val="center"/>
          </w:tcPr>
          <w:p w14:paraId="72A7F5B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14:26:00</w:t>
            </w:r>
          </w:p>
        </w:tc>
        <w:tc>
          <w:tcPr>
            <w:tcW w:w="1580" w:type="dxa"/>
            <w:tcBorders>
              <w:left w:val="single" w:sz="4" w:space="0" w:color="auto"/>
              <w:right w:val="single" w:sz="4" w:space="0" w:color="auto"/>
            </w:tcBorders>
            <w:vAlign w:val="center"/>
          </w:tcPr>
          <w:p w14:paraId="308A1BB6"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4</w:t>
            </w:r>
          </w:p>
        </w:tc>
      </w:tr>
      <w:tr w:rsidR="001F585F" w:rsidRPr="006E1463" w14:paraId="428E0D95" w14:textId="77777777" w:rsidTr="00B55EA9">
        <w:trPr>
          <w:cantSplit/>
          <w:trHeight w:val="283"/>
        </w:trPr>
        <w:tc>
          <w:tcPr>
            <w:tcW w:w="475" w:type="dxa"/>
            <w:vMerge/>
            <w:tcBorders>
              <w:left w:val="single" w:sz="4" w:space="0" w:color="auto"/>
              <w:right w:val="single" w:sz="4" w:space="0" w:color="auto"/>
            </w:tcBorders>
            <w:vAlign w:val="center"/>
          </w:tcPr>
          <w:p w14:paraId="252A39C3"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5FF6C41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W3</w:t>
            </w:r>
          </w:p>
        </w:tc>
        <w:tc>
          <w:tcPr>
            <w:tcW w:w="1538" w:type="dxa"/>
            <w:tcBorders>
              <w:left w:val="single" w:sz="4" w:space="0" w:color="auto"/>
              <w:right w:val="single" w:sz="4" w:space="0" w:color="auto"/>
            </w:tcBorders>
            <w:vAlign w:val="center"/>
          </w:tcPr>
          <w:p w14:paraId="18CD3618"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18.9848</w:t>
            </w:r>
          </w:p>
        </w:tc>
        <w:tc>
          <w:tcPr>
            <w:tcW w:w="1445" w:type="dxa"/>
            <w:tcBorders>
              <w:left w:val="single" w:sz="4" w:space="0" w:color="auto"/>
              <w:right w:val="single" w:sz="4" w:space="0" w:color="auto"/>
            </w:tcBorders>
            <w:vAlign w:val="center"/>
          </w:tcPr>
          <w:p w14:paraId="13A0EFBE"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54.4199</w:t>
            </w:r>
          </w:p>
        </w:tc>
        <w:tc>
          <w:tcPr>
            <w:tcW w:w="1511" w:type="dxa"/>
            <w:tcBorders>
              <w:left w:val="single" w:sz="4" w:space="0" w:color="auto"/>
              <w:right w:val="single" w:sz="4" w:space="0" w:color="auto"/>
            </w:tcBorders>
            <w:vAlign w:val="center"/>
          </w:tcPr>
          <w:p w14:paraId="201A084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16:04:00</w:t>
            </w:r>
          </w:p>
        </w:tc>
        <w:tc>
          <w:tcPr>
            <w:tcW w:w="1580" w:type="dxa"/>
            <w:tcBorders>
              <w:left w:val="single" w:sz="4" w:space="0" w:color="auto"/>
              <w:right w:val="single" w:sz="4" w:space="0" w:color="auto"/>
            </w:tcBorders>
            <w:vAlign w:val="center"/>
          </w:tcPr>
          <w:p w14:paraId="21BBF40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6</w:t>
            </w:r>
          </w:p>
        </w:tc>
      </w:tr>
      <w:tr w:rsidR="001F585F" w:rsidRPr="006E1463" w14:paraId="7532CFFE" w14:textId="77777777" w:rsidTr="00B55EA9">
        <w:trPr>
          <w:cantSplit/>
          <w:trHeight w:val="283"/>
        </w:trPr>
        <w:tc>
          <w:tcPr>
            <w:tcW w:w="475" w:type="dxa"/>
            <w:vMerge/>
            <w:tcBorders>
              <w:left w:val="single" w:sz="4" w:space="0" w:color="auto"/>
              <w:bottom w:val="single" w:sz="4" w:space="0" w:color="auto"/>
              <w:right w:val="single" w:sz="4" w:space="0" w:color="auto"/>
            </w:tcBorders>
            <w:vAlign w:val="center"/>
          </w:tcPr>
          <w:p w14:paraId="5EABE0D2"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02DCD460"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W4</w:t>
            </w:r>
          </w:p>
        </w:tc>
        <w:tc>
          <w:tcPr>
            <w:tcW w:w="1538" w:type="dxa"/>
            <w:tcBorders>
              <w:left w:val="single" w:sz="4" w:space="0" w:color="auto"/>
              <w:right w:val="single" w:sz="4" w:space="0" w:color="auto"/>
            </w:tcBorders>
            <w:vAlign w:val="center"/>
          </w:tcPr>
          <w:p w14:paraId="6CCC128E"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19.0233</w:t>
            </w:r>
          </w:p>
        </w:tc>
        <w:tc>
          <w:tcPr>
            <w:tcW w:w="1445" w:type="dxa"/>
            <w:tcBorders>
              <w:left w:val="single" w:sz="4" w:space="0" w:color="auto"/>
              <w:right w:val="single" w:sz="4" w:space="0" w:color="auto"/>
            </w:tcBorders>
            <w:vAlign w:val="center"/>
          </w:tcPr>
          <w:p w14:paraId="6BF0CDD1"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54.4489</w:t>
            </w:r>
          </w:p>
        </w:tc>
        <w:tc>
          <w:tcPr>
            <w:tcW w:w="1511" w:type="dxa"/>
            <w:tcBorders>
              <w:left w:val="single" w:sz="4" w:space="0" w:color="auto"/>
              <w:right w:val="single" w:sz="4" w:space="0" w:color="auto"/>
            </w:tcBorders>
            <w:vAlign w:val="center"/>
          </w:tcPr>
          <w:p w14:paraId="1014C1FD"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17:19:00</w:t>
            </w:r>
          </w:p>
        </w:tc>
        <w:tc>
          <w:tcPr>
            <w:tcW w:w="1580" w:type="dxa"/>
            <w:tcBorders>
              <w:left w:val="single" w:sz="4" w:space="0" w:color="auto"/>
              <w:right w:val="single" w:sz="4" w:space="0" w:color="auto"/>
            </w:tcBorders>
            <w:vAlign w:val="center"/>
          </w:tcPr>
          <w:p w14:paraId="0762D284"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11</w:t>
            </w:r>
          </w:p>
        </w:tc>
      </w:tr>
      <w:tr w:rsidR="001F585F" w:rsidRPr="006E1463" w14:paraId="05563C63" w14:textId="77777777" w:rsidTr="00B55EA9">
        <w:trPr>
          <w:cantSplit/>
          <w:trHeight w:val="283"/>
        </w:trPr>
        <w:tc>
          <w:tcPr>
            <w:tcW w:w="475" w:type="dxa"/>
            <w:vMerge w:val="restart"/>
            <w:tcBorders>
              <w:top w:val="single" w:sz="4" w:space="0" w:color="auto"/>
              <w:left w:val="single" w:sz="4" w:space="0" w:color="auto"/>
              <w:right w:val="single" w:sz="4" w:space="0" w:color="auto"/>
            </w:tcBorders>
            <w:textDirection w:val="btLr"/>
            <w:vAlign w:val="center"/>
          </w:tcPr>
          <w:p w14:paraId="39622C66" w14:textId="77777777" w:rsidR="001F585F" w:rsidRPr="00FB2537" w:rsidRDefault="001F585F" w:rsidP="00B55EA9">
            <w:pPr>
              <w:spacing w:after="0" w:line="240" w:lineRule="auto"/>
              <w:ind w:left="113" w:right="113"/>
              <w:jc w:val="center"/>
              <w:rPr>
                <w:rFonts w:ascii="Times New Roman" w:hAnsi="Times New Roman"/>
                <w:color w:val="000000"/>
                <w:lang w:val="en-GB"/>
              </w:rPr>
            </w:pPr>
            <w:r w:rsidRPr="00FB2537">
              <w:rPr>
                <w:rFonts w:ascii="Times New Roman" w:hAnsi="Times New Roman"/>
                <w:color w:val="000000"/>
                <w:lang w:val="en-GB"/>
              </w:rPr>
              <w:t>16.10.</w:t>
            </w:r>
          </w:p>
        </w:tc>
        <w:tc>
          <w:tcPr>
            <w:tcW w:w="534" w:type="dxa"/>
            <w:tcBorders>
              <w:left w:val="single" w:sz="4" w:space="0" w:color="auto"/>
              <w:right w:val="single" w:sz="4" w:space="0" w:color="auto"/>
            </w:tcBorders>
            <w:shd w:val="clear" w:color="auto" w:fill="auto"/>
            <w:noWrap/>
            <w:vAlign w:val="center"/>
            <w:hideMark/>
          </w:tcPr>
          <w:p w14:paraId="064E18E7"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W5</w:t>
            </w:r>
          </w:p>
        </w:tc>
        <w:tc>
          <w:tcPr>
            <w:tcW w:w="1538" w:type="dxa"/>
            <w:tcBorders>
              <w:left w:val="single" w:sz="4" w:space="0" w:color="auto"/>
              <w:right w:val="single" w:sz="4" w:space="0" w:color="auto"/>
            </w:tcBorders>
            <w:vAlign w:val="center"/>
          </w:tcPr>
          <w:p w14:paraId="7D1E133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19.0534</w:t>
            </w:r>
          </w:p>
        </w:tc>
        <w:tc>
          <w:tcPr>
            <w:tcW w:w="1445" w:type="dxa"/>
            <w:tcBorders>
              <w:left w:val="single" w:sz="4" w:space="0" w:color="auto"/>
              <w:right w:val="single" w:sz="4" w:space="0" w:color="auto"/>
            </w:tcBorders>
            <w:vAlign w:val="center"/>
          </w:tcPr>
          <w:p w14:paraId="05D3C86D"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54.4802</w:t>
            </w:r>
          </w:p>
        </w:tc>
        <w:tc>
          <w:tcPr>
            <w:tcW w:w="1511" w:type="dxa"/>
            <w:tcBorders>
              <w:left w:val="single" w:sz="4" w:space="0" w:color="auto"/>
              <w:right w:val="single" w:sz="4" w:space="0" w:color="auto"/>
            </w:tcBorders>
            <w:vAlign w:val="center"/>
          </w:tcPr>
          <w:p w14:paraId="28BCADEE"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09:15:00</w:t>
            </w:r>
          </w:p>
        </w:tc>
        <w:tc>
          <w:tcPr>
            <w:tcW w:w="1580" w:type="dxa"/>
            <w:tcBorders>
              <w:left w:val="single" w:sz="4" w:space="0" w:color="auto"/>
              <w:right w:val="single" w:sz="4" w:space="0" w:color="auto"/>
            </w:tcBorders>
            <w:vAlign w:val="center"/>
          </w:tcPr>
          <w:p w14:paraId="69693D01"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15</w:t>
            </w:r>
          </w:p>
        </w:tc>
      </w:tr>
      <w:tr w:rsidR="001F585F" w:rsidRPr="006E1463" w14:paraId="4CABF0E0" w14:textId="77777777" w:rsidTr="00B55EA9">
        <w:trPr>
          <w:cantSplit/>
          <w:trHeight w:val="283"/>
        </w:trPr>
        <w:tc>
          <w:tcPr>
            <w:tcW w:w="475" w:type="dxa"/>
            <w:vMerge/>
            <w:tcBorders>
              <w:left w:val="single" w:sz="4" w:space="0" w:color="auto"/>
              <w:right w:val="single" w:sz="4" w:space="0" w:color="auto"/>
            </w:tcBorders>
            <w:vAlign w:val="center"/>
          </w:tcPr>
          <w:p w14:paraId="58576074"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2B1C2EB7"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W6</w:t>
            </w:r>
          </w:p>
        </w:tc>
        <w:tc>
          <w:tcPr>
            <w:tcW w:w="1538" w:type="dxa"/>
            <w:tcBorders>
              <w:left w:val="single" w:sz="4" w:space="0" w:color="auto"/>
              <w:right w:val="single" w:sz="4" w:space="0" w:color="auto"/>
            </w:tcBorders>
            <w:vAlign w:val="center"/>
          </w:tcPr>
          <w:p w14:paraId="7338DD8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19.0795</w:t>
            </w:r>
          </w:p>
        </w:tc>
        <w:tc>
          <w:tcPr>
            <w:tcW w:w="1445" w:type="dxa"/>
            <w:tcBorders>
              <w:left w:val="single" w:sz="4" w:space="0" w:color="auto"/>
              <w:right w:val="single" w:sz="4" w:space="0" w:color="auto"/>
            </w:tcBorders>
            <w:vAlign w:val="center"/>
          </w:tcPr>
          <w:p w14:paraId="67973C9D"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54.509</w:t>
            </w:r>
          </w:p>
        </w:tc>
        <w:tc>
          <w:tcPr>
            <w:tcW w:w="1511" w:type="dxa"/>
            <w:tcBorders>
              <w:left w:val="single" w:sz="4" w:space="0" w:color="auto"/>
              <w:right w:val="single" w:sz="4" w:space="0" w:color="auto"/>
            </w:tcBorders>
            <w:vAlign w:val="center"/>
          </w:tcPr>
          <w:p w14:paraId="2FFD324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10:50:00</w:t>
            </w:r>
          </w:p>
        </w:tc>
        <w:tc>
          <w:tcPr>
            <w:tcW w:w="1580" w:type="dxa"/>
            <w:tcBorders>
              <w:left w:val="single" w:sz="4" w:space="0" w:color="auto"/>
              <w:right w:val="single" w:sz="4" w:space="0" w:color="auto"/>
            </w:tcBorders>
            <w:vAlign w:val="center"/>
          </w:tcPr>
          <w:p w14:paraId="1F7E55BD"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18</w:t>
            </w:r>
          </w:p>
        </w:tc>
      </w:tr>
      <w:tr w:rsidR="001F585F" w:rsidRPr="006E1463" w14:paraId="5E044B4D" w14:textId="77777777" w:rsidTr="00B55EA9">
        <w:trPr>
          <w:cantSplit/>
          <w:trHeight w:val="283"/>
        </w:trPr>
        <w:tc>
          <w:tcPr>
            <w:tcW w:w="475" w:type="dxa"/>
            <w:vMerge/>
            <w:tcBorders>
              <w:left w:val="single" w:sz="4" w:space="0" w:color="auto"/>
              <w:right w:val="single" w:sz="4" w:space="0" w:color="auto"/>
            </w:tcBorders>
            <w:vAlign w:val="center"/>
          </w:tcPr>
          <w:p w14:paraId="7B44AA92"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1450A425"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W7</w:t>
            </w:r>
          </w:p>
        </w:tc>
        <w:tc>
          <w:tcPr>
            <w:tcW w:w="1538" w:type="dxa"/>
            <w:tcBorders>
              <w:left w:val="single" w:sz="4" w:space="0" w:color="auto"/>
              <w:right w:val="single" w:sz="4" w:space="0" w:color="auto"/>
            </w:tcBorders>
            <w:vAlign w:val="center"/>
          </w:tcPr>
          <w:p w14:paraId="74B5D1B7"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19.1229</w:t>
            </w:r>
          </w:p>
        </w:tc>
        <w:tc>
          <w:tcPr>
            <w:tcW w:w="1445" w:type="dxa"/>
            <w:tcBorders>
              <w:left w:val="single" w:sz="4" w:space="0" w:color="auto"/>
              <w:right w:val="single" w:sz="4" w:space="0" w:color="auto"/>
            </w:tcBorders>
            <w:vAlign w:val="center"/>
          </w:tcPr>
          <w:p w14:paraId="7E3B551C"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54.5791</w:t>
            </w:r>
          </w:p>
        </w:tc>
        <w:tc>
          <w:tcPr>
            <w:tcW w:w="1511" w:type="dxa"/>
            <w:tcBorders>
              <w:left w:val="single" w:sz="4" w:space="0" w:color="auto"/>
              <w:right w:val="single" w:sz="4" w:space="0" w:color="auto"/>
            </w:tcBorders>
            <w:vAlign w:val="center"/>
          </w:tcPr>
          <w:p w14:paraId="453D0849"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12:07:00</w:t>
            </w:r>
          </w:p>
        </w:tc>
        <w:tc>
          <w:tcPr>
            <w:tcW w:w="1580" w:type="dxa"/>
            <w:tcBorders>
              <w:left w:val="single" w:sz="4" w:space="0" w:color="auto"/>
              <w:right w:val="single" w:sz="4" w:space="0" w:color="auto"/>
            </w:tcBorders>
            <w:vAlign w:val="center"/>
          </w:tcPr>
          <w:p w14:paraId="5173AEC3"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27</w:t>
            </w:r>
          </w:p>
        </w:tc>
      </w:tr>
      <w:tr w:rsidR="001F585F" w:rsidRPr="006E1463" w14:paraId="5ADC79FD" w14:textId="77777777" w:rsidTr="00B55EA9">
        <w:trPr>
          <w:cantSplit/>
          <w:trHeight w:val="283"/>
        </w:trPr>
        <w:tc>
          <w:tcPr>
            <w:tcW w:w="475" w:type="dxa"/>
            <w:vMerge/>
            <w:tcBorders>
              <w:left w:val="single" w:sz="4" w:space="0" w:color="auto"/>
              <w:right w:val="single" w:sz="4" w:space="0" w:color="auto"/>
            </w:tcBorders>
            <w:vAlign w:val="center"/>
          </w:tcPr>
          <w:p w14:paraId="65C9A85B"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right w:val="single" w:sz="4" w:space="0" w:color="auto"/>
            </w:tcBorders>
            <w:shd w:val="clear" w:color="auto" w:fill="auto"/>
            <w:noWrap/>
            <w:vAlign w:val="center"/>
            <w:hideMark/>
          </w:tcPr>
          <w:p w14:paraId="044C8DA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W8</w:t>
            </w:r>
          </w:p>
        </w:tc>
        <w:tc>
          <w:tcPr>
            <w:tcW w:w="1538" w:type="dxa"/>
            <w:tcBorders>
              <w:left w:val="single" w:sz="4" w:space="0" w:color="auto"/>
              <w:right w:val="single" w:sz="4" w:space="0" w:color="auto"/>
            </w:tcBorders>
            <w:vAlign w:val="center"/>
          </w:tcPr>
          <w:p w14:paraId="07E38E19"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19.1711</w:t>
            </w:r>
          </w:p>
        </w:tc>
        <w:tc>
          <w:tcPr>
            <w:tcW w:w="1445" w:type="dxa"/>
            <w:tcBorders>
              <w:left w:val="single" w:sz="4" w:space="0" w:color="auto"/>
              <w:right w:val="single" w:sz="4" w:space="0" w:color="auto"/>
            </w:tcBorders>
            <w:vAlign w:val="center"/>
          </w:tcPr>
          <w:p w14:paraId="3FCF18A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54.6674</w:t>
            </w:r>
          </w:p>
        </w:tc>
        <w:tc>
          <w:tcPr>
            <w:tcW w:w="1511" w:type="dxa"/>
            <w:tcBorders>
              <w:left w:val="single" w:sz="4" w:space="0" w:color="auto"/>
              <w:right w:val="single" w:sz="4" w:space="0" w:color="auto"/>
            </w:tcBorders>
            <w:vAlign w:val="center"/>
          </w:tcPr>
          <w:p w14:paraId="06F22BD2"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13:37:00</w:t>
            </w:r>
          </w:p>
        </w:tc>
        <w:tc>
          <w:tcPr>
            <w:tcW w:w="1580" w:type="dxa"/>
            <w:tcBorders>
              <w:left w:val="single" w:sz="4" w:space="0" w:color="auto"/>
              <w:right w:val="single" w:sz="4" w:space="0" w:color="auto"/>
            </w:tcBorders>
            <w:vAlign w:val="center"/>
          </w:tcPr>
          <w:p w14:paraId="1387C6A6"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37</w:t>
            </w:r>
          </w:p>
        </w:tc>
      </w:tr>
      <w:tr w:rsidR="001F585F" w:rsidRPr="006E1463" w14:paraId="47B54AE2" w14:textId="77777777" w:rsidTr="00B55EA9">
        <w:trPr>
          <w:cantSplit/>
          <w:trHeight w:val="283"/>
        </w:trPr>
        <w:tc>
          <w:tcPr>
            <w:tcW w:w="475" w:type="dxa"/>
            <w:vMerge/>
            <w:tcBorders>
              <w:left w:val="single" w:sz="4" w:space="0" w:color="auto"/>
              <w:bottom w:val="single" w:sz="4" w:space="0" w:color="auto"/>
              <w:right w:val="single" w:sz="4" w:space="0" w:color="auto"/>
            </w:tcBorders>
            <w:vAlign w:val="center"/>
          </w:tcPr>
          <w:p w14:paraId="5740B4C7" w14:textId="77777777" w:rsidR="001F585F" w:rsidRPr="00FB2537" w:rsidRDefault="001F585F" w:rsidP="00B55EA9">
            <w:pPr>
              <w:spacing w:after="0" w:line="240" w:lineRule="auto"/>
              <w:jc w:val="center"/>
              <w:rPr>
                <w:rFonts w:ascii="Times New Roman" w:hAnsi="Times New Roman"/>
                <w:color w:val="000000"/>
                <w:lang w:val="en-GB"/>
              </w:rPr>
            </w:pPr>
          </w:p>
        </w:tc>
        <w:tc>
          <w:tcPr>
            <w:tcW w:w="534" w:type="dxa"/>
            <w:tcBorders>
              <w:left w:val="single" w:sz="4" w:space="0" w:color="auto"/>
              <w:bottom w:val="single" w:sz="4" w:space="0" w:color="auto"/>
              <w:right w:val="single" w:sz="4" w:space="0" w:color="auto"/>
            </w:tcBorders>
            <w:shd w:val="clear" w:color="auto" w:fill="auto"/>
            <w:noWrap/>
            <w:vAlign w:val="center"/>
            <w:hideMark/>
          </w:tcPr>
          <w:p w14:paraId="68641646"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W9</w:t>
            </w:r>
          </w:p>
        </w:tc>
        <w:tc>
          <w:tcPr>
            <w:tcW w:w="1538" w:type="dxa"/>
            <w:tcBorders>
              <w:left w:val="single" w:sz="4" w:space="0" w:color="auto"/>
              <w:bottom w:val="single" w:sz="4" w:space="0" w:color="auto"/>
              <w:right w:val="single" w:sz="4" w:space="0" w:color="auto"/>
            </w:tcBorders>
            <w:vAlign w:val="center"/>
          </w:tcPr>
          <w:p w14:paraId="62B76F6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19.2491</w:t>
            </w:r>
          </w:p>
        </w:tc>
        <w:tc>
          <w:tcPr>
            <w:tcW w:w="1445" w:type="dxa"/>
            <w:tcBorders>
              <w:left w:val="single" w:sz="4" w:space="0" w:color="auto"/>
              <w:bottom w:val="single" w:sz="4" w:space="0" w:color="auto"/>
              <w:right w:val="single" w:sz="4" w:space="0" w:color="auto"/>
            </w:tcBorders>
            <w:vAlign w:val="center"/>
          </w:tcPr>
          <w:p w14:paraId="323A3C9B"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54.7466</w:t>
            </w:r>
          </w:p>
        </w:tc>
        <w:tc>
          <w:tcPr>
            <w:tcW w:w="1511" w:type="dxa"/>
            <w:tcBorders>
              <w:left w:val="single" w:sz="4" w:space="0" w:color="auto"/>
              <w:bottom w:val="single" w:sz="4" w:space="0" w:color="auto"/>
              <w:right w:val="single" w:sz="4" w:space="0" w:color="auto"/>
            </w:tcBorders>
            <w:vAlign w:val="center"/>
          </w:tcPr>
          <w:p w14:paraId="7F33CCE3"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15:08:00</w:t>
            </w:r>
          </w:p>
        </w:tc>
        <w:tc>
          <w:tcPr>
            <w:tcW w:w="1580" w:type="dxa"/>
            <w:tcBorders>
              <w:left w:val="single" w:sz="4" w:space="0" w:color="auto"/>
              <w:bottom w:val="single" w:sz="4" w:space="0" w:color="auto"/>
              <w:right w:val="single" w:sz="4" w:space="0" w:color="auto"/>
            </w:tcBorders>
            <w:vAlign w:val="center"/>
          </w:tcPr>
          <w:p w14:paraId="014824B8" w14:textId="77777777" w:rsidR="001F585F" w:rsidRPr="00FB2537" w:rsidRDefault="001F585F" w:rsidP="00B55EA9">
            <w:pPr>
              <w:spacing w:after="0" w:line="240" w:lineRule="auto"/>
              <w:jc w:val="center"/>
              <w:rPr>
                <w:rFonts w:ascii="Times New Roman" w:hAnsi="Times New Roman"/>
                <w:color w:val="000000"/>
                <w:lang w:val="en-GB"/>
              </w:rPr>
            </w:pPr>
            <w:r w:rsidRPr="00FB2537">
              <w:rPr>
                <w:rFonts w:ascii="Times New Roman" w:hAnsi="Times New Roman"/>
                <w:color w:val="000000"/>
                <w:lang w:val="en-GB"/>
              </w:rPr>
              <w:t>47</w:t>
            </w:r>
          </w:p>
        </w:tc>
      </w:tr>
    </w:tbl>
    <w:p w14:paraId="1106A81B" w14:textId="77777777" w:rsidR="001F585F" w:rsidRPr="006E1463" w:rsidRDefault="001F585F" w:rsidP="001F585F">
      <w:pPr>
        <w:spacing w:after="0" w:line="360" w:lineRule="auto"/>
        <w:rPr>
          <w:rFonts w:ascii="Times New Roman" w:hAnsi="Times New Roman"/>
          <w:color w:val="000000"/>
          <w:lang w:val="en-GB"/>
        </w:rPr>
      </w:pPr>
    </w:p>
    <w:p w14:paraId="476BD73E" w14:textId="77777777" w:rsidR="001F585F" w:rsidRDefault="001F585F" w:rsidP="001F585F">
      <w:pPr>
        <w:pStyle w:val="NoSpacing"/>
        <w:spacing w:line="360" w:lineRule="auto"/>
        <w:jc w:val="both"/>
        <w:rPr>
          <w:rFonts w:ascii="Times New Roman" w:hAnsi="Times New Roman"/>
          <w:color w:val="000000"/>
          <w:lang w:val="en-GB"/>
        </w:rPr>
      </w:pPr>
      <w:r w:rsidRPr="00E46E1D">
        <w:rPr>
          <w:rFonts w:ascii="Times New Roman" w:hAnsi="Times New Roman"/>
          <w:noProof/>
          <w:color w:val="000000"/>
          <w:lang w:eastAsia="hr-HR"/>
        </w:rPr>
        <w:lastRenderedPageBreak/>
        <w:drawing>
          <wp:inline distT="0" distB="0" distL="0" distR="0" wp14:anchorId="0CCFDA4E" wp14:editId="1CF68C39">
            <wp:extent cx="5630327" cy="4176979"/>
            <wp:effectExtent l="0" t="0" r="8890" b="0"/>
            <wp:docPr id="6" name="Picture 6" descr="D:\Baltik lap\Towards finishing\Oceanologia\Recenzija\Figure_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ltik lap\Towards finishing\Oceanologia\Recenzija\Figure_S1.tif"/>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95" t="2582" r="3718" b="3424"/>
                    <a:stretch/>
                  </pic:blipFill>
                  <pic:spPr bwMode="auto">
                    <a:xfrm>
                      <a:off x="0" y="0"/>
                      <a:ext cx="5634660" cy="4180193"/>
                    </a:xfrm>
                    <a:prstGeom prst="rect">
                      <a:avLst/>
                    </a:prstGeom>
                    <a:noFill/>
                    <a:ln>
                      <a:noFill/>
                    </a:ln>
                    <a:extLst>
                      <a:ext uri="{53640926-AAD7-44D8-BBD7-CCE9431645EC}">
                        <a14:shadowObscured xmlns:a14="http://schemas.microsoft.com/office/drawing/2010/main"/>
                      </a:ext>
                    </a:extLst>
                  </pic:spPr>
                </pic:pic>
              </a:graphicData>
            </a:graphic>
          </wp:inline>
        </w:drawing>
      </w:r>
    </w:p>
    <w:p w14:paraId="0F2D51A6" w14:textId="658AE31C" w:rsidR="001F585F" w:rsidRPr="00347B1A" w:rsidRDefault="001F585F" w:rsidP="001F585F">
      <w:pPr>
        <w:pStyle w:val="NoSpacing"/>
        <w:spacing w:line="360" w:lineRule="auto"/>
        <w:rPr>
          <w:rFonts w:ascii="Times New Roman" w:hAnsi="Times New Roman"/>
          <w:lang w:val="en-GB"/>
        </w:rPr>
      </w:pPr>
      <w:r w:rsidRPr="00A03CA9">
        <w:rPr>
          <w:rFonts w:ascii="Times New Roman" w:hAnsi="Times New Roman"/>
          <w:b/>
          <w:lang w:val="en-GB"/>
        </w:rPr>
        <w:t>Figure S</w:t>
      </w:r>
      <w:r w:rsidR="00DE38F1" w:rsidRPr="00A03CA9">
        <w:rPr>
          <w:rFonts w:ascii="Times New Roman" w:hAnsi="Times New Roman"/>
          <w:b/>
          <w:lang w:val="en-GB"/>
        </w:rPr>
        <w:t>2</w:t>
      </w:r>
      <w:r w:rsidRPr="00347B1A">
        <w:rPr>
          <w:rFonts w:ascii="Times New Roman" w:hAnsi="Times New Roman"/>
          <w:lang w:val="en-GB"/>
        </w:rPr>
        <w:t xml:space="preserve">. Wind distribution </w:t>
      </w:r>
      <w:r>
        <w:rPr>
          <w:rFonts w:ascii="Times New Roman" w:hAnsi="Times New Roman"/>
          <w:lang w:val="en-GB"/>
        </w:rPr>
        <w:t>during the two days (October 15</w:t>
      </w:r>
      <w:r w:rsidRPr="006C3EF7">
        <w:rPr>
          <w:rFonts w:ascii="Times New Roman" w:hAnsi="Times New Roman"/>
          <w:vertAlign w:val="superscript"/>
          <w:lang w:val="en-GB"/>
        </w:rPr>
        <w:t>th</w:t>
      </w:r>
      <w:r>
        <w:rPr>
          <w:rFonts w:ascii="Times New Roman" w:hAnsi="Times New Roman"/>
          <w:lang w:val="en-GB"/>
        </w:rPr>
        <w:t xml:space="preserve"> – 16</w:t>
      </w:r>
      <w:r w:rsidRPr="006C3EF7">
        <w:rPr>
          <w:rFonts w:ascii="Times New Roman" w:hAnsi="Times New Roman"/>
          <w:vertAlign w:val="superscript"/>
          <w:lang w:val="en-GB"/>
        </w:rPr>
        <w:t>th</w:t>
      </w:r>
      <w:r>
        <w:rPr>
          <w:rFonts w:ascii="Times New Roman" w:hAnsi="Times New Roman"/>
          <w:lang w:val="en-GB"/>
        </w:rPr>
        <w:t>) of the field campaign</w:t>
      </w:r>
      <w:r w:rsidRPr="00347B1A">
        <w:rPr>
          <w:rFonts w:ascii="Times New Roman" w:hAnsi="Times New Roman"/>
          <w:lang w:val="en-GB"/>
        </w:rPr>
        <w:t xml:space="preserve"> (A) along with surface current (B) and wind speed and direction (C) on October 15</w:t>
      </w:r>
      <w:r w:rsidRPr="00347B1A">
        <w:rPr>
          <w:rFonts w:ascii="Times New Roman" w:hAnsi="Times New Roman"/>
          <w:vertAlign w:val="superscript"/>
          <w:lang w:val="en-GB"/>
        </w:rPr>
        <w:t>th</w:t>
      </w:r>
      <w:r w:rsidRPr="00347B1A">
        <w:rPr>
          <w:rFonts w:ascii="Times New Roman" w:hAnsi="Times New Roman"/>
          <w:lang w:val="en-GB"/>
        </w:rPr>
        <w:t xml:space="preserve"> at 12:00 UTC</w:t>
      </w:r>
      <w:r>
        <w:rPr>
          <w:rFonts w:ascii="Times New Roman" w:hAnsi="Times New Roman"/>
          <w:lang w:val="en-GB"/>
        </w:rPr>
        <w:t xml:space="preserve">;  </w:t>
      </w:r>
      <w:r w:rsidRPr="004345B6">
        <w:rPr>
          <w:rFonts w:ascii="Times New Roman" w:hAnsi="Times New Roman"/>
          <w:lang w:val="en-GB"/>
        </w:rPr>
        <w:t>data</w:t>
      </w:r>
      <w:r>
        <w:rPr>
          <w:rFonts w:ascii="Times New Roman" w:hAnsi="Times New Roman"/>
          <w:lang w:val="en-GB"/>
        </w:rPr>
        <w:t xml:space="preserve"> </w:t>
      </w:r>
      <w:r w:rsidRPr="004345B6">
        <w:rPr>
          <w:rFonts w:ascii="Times New Roman" w:hAnsi="Times New Roman"/>
          <w:lang w:val="en-GB"/>
        </w:rPr>
        <w:t>provided by System SatBaltyk</w:t>
      </w:r>
      <w:r>
        <w:rPr>
          <w:rFonts w:ascii="Times New Roman" w:hAnsi="Times New Roman"/>
          <w:lang w:val="en-GB"/>
        </w:rPr>
        <w:t xml:space="preserve"> in October 2015 (</w:t>
      </w:r>
      <w:r>
        <w:t>www.satbaltyk.iopan.gda.pl</w:t>
      </w:r>
      <w:r>
        <w:rPr>
          <w:rFonts w:ascii="Times New Roman" w:hAnsi="Times New Roman"/>
          <w:lang w:val="en-GB"/>
        </w:rPr>
        <w:t>)</w:t>
      </w:r>
      <w:r w:rsidRPr="00347B1A">
        <w:rPr>
          <w:rFonts w:ascii="Times New Roman" w:hAnsi="Times New Roman"/>
          <w:lang w:val="en-GB"/>
        </w:rPr>
        <w:t>.</w:t>
      </w:r>
    </w:p>
    <w:p w14:paraId="58A204E6" w14:textId="77777777" w:rsidR="001F585F" w:rsidRDefault="001F585F" w:rsidP="001F585F">
      <w:pPr>
        <w:pStyle w:val="NoSpacing"/>
        <w:spacing w:line="360" w:lineRule="auto"/>
        <w:rPr>
          <w:rFonts w:ascii="Times New Roman" w:hAnsi="Times New Roman"/>
          <w:color w:val="000000"/>
          <w:lang w:val="en-GB"/>
        </w:rPr>
      </w:pPr>
      <w:r w:rsidRPr="00E46E1D">
        <w:rPr>
          <w:lang w:val="en-GB"/>
        </w:rPr>
        <w:br w:type="page"/>
      </w:r>
      <w:r w:rsidRPr="00A03CA9">
        <w:rPr>
          <w:rFonts w:ascii="Times New Roman" w:hAnsi="Times New Roman"/>
          <w:b/>
          <w:color w:val="000000"/>
          <w:lang w:val="en-GB"/>
        </w:rPr>
        <w:lastRenderedPageBreak/>
        <w:t>Table S2</w:t>
      </w:r>
      <w:r w:rsidRPr="006E1463">
        <w:rPr>
          <w:rFonts w:ascii="Times New Roman" w:hAnsi="Times New Roman"/>
          <w:color w:val="000000"/>
          <w:lang w:val="en-GB"/>
        </w:rPr>
        <w:t>. (M+T):(A+C) ratio and PE:PG ratio throughout the transect in SML and ULW.</w:t>
      </w:r>
    </w:p>
    <w:p w14:paraId="5AA2E337" w14:textId="77777777" w:rsidR="001F585F" w:rsidRPr="006E1463" w:rsidRDefault="001F585F" w:rsidP="001F585F">
      <w:pPr>
        <w:pStyle w:val="NoSpacing"/>
        <w:rPr>
          <w:rFonts w:ascii="Times New Roman" w:hAnsi="Times New Roman"/>
          <w:color w:val="000000"/>
          <w:lang w:val="en-GB"/>
        </w:rPr>
      </w:pPr>
    </w:p>
    <w:tbl>
      <w:tblPr>
        <w:tblW w:w="7373" w:type="dxa"/>
        <w:tblInd w:w="-5" w:type="dxa"/>
        <w:tblLook w:val="04A0" w:firstRow="1" w:lastRow="0" w:firstColumn="1" w:lastColumn="0" w:noHBand="0" w:noVBand="1"/>
      </w:tblPr>
      <w:tblGrid>
        <w:gridCol w:w="840"/>
        <w:gridCol w:w="1428"/>
        <w:gridCol w:w="1276"/>
        <w:gridCol w:w="992"/>
        <w:gridCol w:w="851"/>
        <w:gridCol w:w="992"/>
        <w:gridCol w:w="994"/>
      </w:tblGrid>
      <w:tr w:rsidR="001F585F" w:rsidRPr="00E80EAB" w14:paraId="2DA4E446" w14:textId="77777777" w:rsidTr="00B55EA9">
        <w:trPr>
          <w:trHeight w:val="360"/>
        </w:trPr>
        <w:tc>
          <w:tcPr>
            <w:tcW w:w="840" w:type="dxa"/>
            <w:tcBorders>
              <w:top w:val="single" w:sz="4" w:space="0" w:color="auto"/>
              <w:left w:val="single" w:sz="4" w:space="0" w:color="auto"/>
              <w:bottom w:val="single" w:sz="4" w:space="0" w:color="auto"/>
              <w:right w:val="nil"/>
            </w:tcBorders>
            <w:shd w:val="clear" w:color="auto" w:fill="auto"/>
            <w:noWrap/>
            <w:vAlign w:val="center"/>
            <w:hideMark/>
          </w:tcPr>
          <w:p w14:paraId="35F391E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Station</w:t>
            </w:r>
          </w:p>
        </w:tc>
        <w:tc>
          <w:tcPr>
            <w:tcW w:w="2704"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30BAA8"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SAS (mg L</w:t>
            </w:r>
            <w:r w:rsidRPr="00E80EAB">
              <w:rPr>
                <w:rFonts w:ascii="Times New Roman" w:hAnsi="Times New Roman"/>
                <w:color w:val="000000"/>
                <w:vertAlign w:val="superscript"/>
                <w:lang w:val="en-GB" w:bidi="ar-SA"/>
              </w:rPr>
              <w:t>-1</w:t>
            </w:r>
            <w:r w:rsidRPr="00E80EAB">
              <w:rPr>
                <w:rFonts w:ascii="Times New Roman" w:hAnsi="Times New Roman"/>
                <w:color w:val="000000"/>
                <w:lang w:val="en-GB" w:bidi="ar-SA"/>
              </w:rPr>
              <w:t xml:space="preserve"> eq. T-X-100)</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475AF46"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(M+T):(A+C)</w:t>
            </w:r>
          </w:p>
        </w:tc>
        <w:tc>
          <w:tcPr>
            <w:tcW w:w="1986"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D1EE0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PE:PG</w:t>
            </w:r>
          </w:p>
        </w:tc>
      </w:tr>
      <w:tr w:rsidR="001F585F" w:rsidRPr="00E80EAB" w14:paraId="7F70E968" w14:textId="77777777" w:rsidTr="00B55EA9">
        <w:trPr>
          <w:trHeight w:val="300"/>
        </w:trPr>
        <w:tc>
          <w:tcPr>
            <w:tcW w:w="840" w:type="dxa"/>
            <w:tcBorders>
              <w:top w:val="nil"/>
              <w:left w:val="single" w:sz="4" w:space="0" w:color="auto"/>
              <w:bottom w:val="single" w:sz="4" w:space="0" w:color="auto"/>
              <w:right w:val="nil"/>
            </w:tcBorders>
            <w:shd w:val="clear" w:color="auto" w:fill="auto"/>
            <w:noWrap/>
            <w:vAlign w:val="center"/>
            <w:hideMark/>
          </w:tcPr>
          <w:p w14:paraId="29D61C96" w14:textId="77777777" w:rsidR="001F585F" w:rsidRPr="00E80EAB" w:rsidRDefault="001F585F" w:rsidP="00B55EA9">
            <w:pPr>
              <w:spacing w:after="0" w:line="240" w:lineRule="auto"/>
              <w:jc w:val="center"/>
              <w:rPr>
                <w:rFonts w:ascii="Times New Roman" w:hAnsi="Times New Roman"/>
                <w:color w:val="000000"/>
                <w:lang w:bidi="ar-SA"/>
              </w:rPr>
            </w:pPr>
          </w:p>
        </w:tc>
        <w:tc>
          <w:tcPr>
            <w:tcW w:w="1428" w:type="dxa"/>
            <w:tcBorders>
              <w:top w:val="nil"/>
              <w:left w:val="single" w:sz="4" w:space="0" w:color="auto"/>
              <w:bottom w:val="single" w:sz="4" w:space="0" w:color="auto"/>
              <w:right w:val="single" w:sz="4" w:space="0" w:color="auto"/>
            </w:tcBorders>
            <w:shd w:val="clear" w:color="auto" w:fill="auto"/>
            <w:noWrap/>
            <w:vAlign w:val="center"/>
            <w:hideMark/>
          </w:tcPr>
          <w:p w14:paraId="16136117"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SML</w:t>
            </w:r>
          </w:p>
        </w:tc>
        <w:tc>
          <w:tcPr>
            <w:tcW w:w="1276" w:type="dxa"/>
            <w:tcBorders>
              <w:top w:val="nil"/>
              <w:left w:val="nil"/>
              <w:bottom w:val="single" w:sz="4" w:space="0" w:color="auto"/>
              <w:right w:val="nil"/>
            </w:tcBorders>
            <w:shd w:val="clear" w:color="auto" w:fill="auto"/>
            <w:noWrap/>
            <w:vAlign w:val="center"/>
            <w:hideMark/>
          </w:tcPr>
          <w:p w14:paraId="0080647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ULW</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89B943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SML</w:t>
            </w:r>
          </w:p>
        </w:tc>
        <w:tc>
          <w:tcPr>
            <w:tcW w:w="851" w:type="dxa"/>
            <w:tcBorders>
              <w:top w:val="nil"/>
              <w:left w:val="nil"/>
              <w:bottom w:val="single" w:sz="4" w:space="0" w:color="auto"/>
              <w:right w:val="nil"/>
            </w:tcBorders>
            <w:shd w:val="clear" w:color="auto" w:fill="auto"/>
            <w:noWrap/>
            <w:vAlign w:val="center"/>
            <w:hideMark/>
          </w:tcPr>
          <w:p w14:paraId="639180B5"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ULW</w:t>
            </w:r>
          </w:p>
        </w:tc>
        <w:tc>
          <w:tcPr>
            <w:tcW w:w="992" w:type="dxa"/>
            <w:tcBorders>
              <w:top w:val="nil"/>
              <w:left w:val="single" w:sz="4" w:space="0" w:color="auto"/>
              <w:bottom w:val="single" w:sz="4" w:space="0" w:color="auto"/>
              <w:right w:val="single" w:sz="4" w:space="0" w:color="auto"/>
            </w:tcBorders>
            <w:shd w:val="clear" w:color="auto" w:fill="auto"/>
            <w:vAlign w:val="center"/>
            <w:hideMark/>
          </w:tcPr>
          <w:p w14:paraId="600381AF"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SML</w:t>
            </w:r>
          </w:p>
        </w:tc>
        <w:tc>
          <w:tcPr>
            <w:tcW w:w="994" w:type="dxa"/>
            <w:tcBorders>
              <w:top w:val="nil"/>
              <w:left w:val="nil"/>
              <w:bottom w:val="single" w:sz="4" w:space="0" w:color="auto"/>
              <w:right w:val="single" w:sz="4" w:space="0" w:color="auto"/>
            </w:tcBorders>
            <w:shd w:val="clear" w:color="auto" w:fill="auto"/>
            <w:vAlign w:val="center"/>
            <w:hideMark/>
          </w:tcPr>
          <w:p w14:paraId="0192FFED"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ULW</w:t>
            </w:r>
          </w:p>
        </w:tc>
      </w:tr>
      <w:tr w:rsidR="001F585F" w:rsidRPr="00E80EAB" w14:paraId="556D6A69"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29B73178"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W1</w:t>
            </w:r>
          </w:p>
        </w:tc>
        <w:tc>
          <w:tcPr>
            <w:tcW w:w="1428" w:type="dxa"/>
            <w:tcBorders>
              <w:top w:val="nil"/>
              <w:left w:val="nil"/>
              <w:bottom w:val="nil"/>
              <w:right w:val="single" w:sz="4" w:space="0" w:color="auto"/>
            </w:tcBorders>
            <w:shd w:val="clear" w:color="auto" w:fill="auto"/>
            <w:noWrap/>
            <w:vAlign w:val="center"/>
            <w:hideMark/>
          </w:tcPr>
          <w:p w14:paraId="73F1A32E"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0.60 ± 0.00</w:t>
            </w:r>
          </w:p>
        </w:tc>
        <w:tc>
          <w:tcPr>
            <w:tcW w:w="1276" w:type="dxa"/>
            <w:tcBorders>
              <w:top w:val="nil"/>
              <w:left w:val="single" w:sz="4" w:space="0" w:color="auto"/>
              <w:bottom w:val="nil"/>
              <w:right w:val="nil"/>
            </w:tcBorders>
            <w:shd w:val="clear" w:color="auto" w:fill="auto"/>
            <w:noWrap/>
            <w:vAlign w:val="center"/>
            <w:hideMark/>
          </w:tcPr>
          <w:p w14:paraId="180E0CB5"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0.47 ± 0.01</w:t>
            </w:r>
          </w:p>
        </w:tc>
        <w:tc>
          <w:tcPr>
            <w:tcW w:w="992" w:type="dxa"/>
            <w:tcBorders>
              <w:top w:val="nil"/>
              <w:left w:val="single" w:sz="4" w:space="0" w:color="auto"/>
              <w:bottom w:val="nil"/>
              <w:right w:val="nil"/>
            </w:tcBorders>
            <w:shd w:val="clear" w:color="auto" w:fill="auto"/>
            <w:noWrap/>
            <w:vAlign w:val="center"/>
            <w:hideMark/>
          </w:tcPr>
          <w:p w14:paraId="6E0A2BEE"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0.55</w:t>
            </w:r>
          </w:p>
        </w:tc>
        <w:tc>
          <w:tcPr>
            <w:tcW w:w="851" w:type="dxa"/>
            <w:tcBorders>
              <w:top w:val="nil"/>
              <w:left w:val="single" w:sz="4" w:space="0" w:color="auto"/>
              <w:bottom w:val="nil"/>
              <w:right w:val="single" w:sz="4" w:space="0" w:color="auto"/>
            </w:tcBorders>
            <w:shd w:val="clear" w:color="auto" w:fill="auto"/>
            <w:noWrap/>
            <w:vAlign w:val="center"/>
            <w:hideMark/>
          </w:tcPr>
          <w:p w14:paraId="174441C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0.46</w:t>
            </w:r>
          </w:p>
        </w:tc>
        <w:tc>
          <w:tcPr>
            <w:tcW w:w="992" w:type="dxa"/>
            <w:tcBorders>
              <w:top w:val="nil"/>
              <w:left w:val="nil"/>
              <w:bottom w:val="nil"/>
              <w:right w:val="single" w:sz="4" w:space="0" w:color="auto"/>
            </w:tcBorders>
            <w:shd w:val="clear" w:color="auto" w:fill="auto"/>
            <w:vAlign w:val="center"/>
            <w:hideMark/>
          </w:tcPr>
          <w:p w14:paraId="309CFE2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0.74</w:t>
            </w:r>
          </w:p>
        </w:tc>
        <w:tc>
          <w:tcPr>
            <w:tcW w:w="994" w:type="dxa"/>
            <w:tcBorders>
              <w:top w:val="nil"/>
              <w:left w:val="nil"/>
              <w:bottom w:val="nil"/>
              <w:right w:val="single" w:sz="4" w:space="0" w:color="auto"/>
            </w:tcBorders>
            <w:shd w:val="clear" w:color="auto" w:fill="auto"/>
            <w:vAlign w:val="center"/>
            <w:hideMark/>
          </w:tcPr>
          <w:p w14:paraId="11CF369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0.91</w:t>
            </w:r>
          </w:p>
        </w:tc>
      </w:tr>
      <w:tr w:rsidR="001F585F" w:rsidRPr="00E80EAB" w14:paraId="54F36E7D"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61982325"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W2</w:t>
            </w:r>
          </w:p>
        </w:tc>
        <w:tc>
          <w:tcPr>
            <w:tcW w:w="1428" w:type="dxa"/>
            <w:tcBorders>
              <w:top w:val="nil"/>
              <w:left w:val="nil"/>
              <w:bottom w:val="nil"/>
              <w:right w:val="single" w:sz="4" w:space="0" w:color="auto"/>
            </w:tcBorders>
            <w:shd w:val="clear" w:color="auto" w:fill="auto"/>
            <w:noWrap/>
            <w:vAlign w:val="center"/>
            <w:hideMark/>
          </w:tcPr>
          <w:p w14:paraId="24893CF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0.35 ± 0.01</w:t>
            </w:r>
          </w:p>
        </w:tc>
        <w:tc>
          <w:tcPr>
            <w:tcW w:w="1276" w:type="dxa"/>
            <w:tcBorders>
              <w:top w:val="nil"/>
              <w:left w:val="single" w:sz="4" w:space="0" w:color="auto"/>
              <w:bottom w:val="nil"/>
              <w:right w:val="nil"/>
            </w:tcBorders>
            <w:shd w:val="clear" w:color="auto" w:fill="auto"/>
            <w:noWrap/>
            <w:vAlign w:val="center"/>
            <w:hideMark/>
          </w:tcPr>
          <w:p w14:paraId="3FF40F71"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0.29 ± 0.02</w:t>
            </w:r>
          </w:p>
        </w:tc>
        <w:tc>
          <w:tcPr>
            <w:tcW w:w="992" w:type="dxa"/>
            <w:tcBorders>
              <w:top w:val="nil"/>
              <w:left w:val="single" w:sz="4" w:space="0" w:color="auto"/>
              <w:bottom w:val="nil"/>
              <w:right w:val="nil"/>
            </w:tcBorders>
            <w:shd w:val="clear" w:color="auto" w:fill="auto"/>
            <w:noWrap/>
            <w:vAlign w:val="center"/>
            <w:hideMark/>
          </w:tcPr>
          <w:p w14:paraId="110141BD"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0.59</w:t>
            </w:r>
          </w:p>
        </w:tc>
        <w:tc>
          <w:tcPr>
            <w:tcW w:w="851" w:type="dxa"/>
            <w:tcBorders>
              <w:top w:val="nil"/>
              <w:left w:val="single" w:sz="4" w:space="0" w:color="auto"/>
              <w:bottom w:val="nil"/>
              <w:right w:val="single" w:sz="4" w:space="0" w:color="auto"/>
            </w:tcBorders>
            <w:shd w:val="clear" w:color="auto" w:fill="auto"/>
            <w:noWrap/>
            <w:vAlign w:val="center"/>
            <w:hideMark/>
          </w:tcPr>
          <w:p w14:paraId="7843A16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0.55</w:t>
            </w:r>
          </w:p>
        </w:tc>
        <w:tc>
          <w:tcPr>
            <w:tcW w:w="992" w:type="dxa"/>
            <w:tcBorders>
              <w:top w:val="nil"/>
              <w:left w:val="nil"/>
              <w:bottom w:val="nil"/>
              <w:right w:val="single" w:sz="4" w:space="0" w:color="auto"/>
            </w:tcBorders>
            <w:shd w:val="clear" w:color="auto" w:fill="auto"/>
            <w:vAlign w:val="center"/>
            <w:hideMark/>
          </w:tcPr>
          <w:p w14:paraId="55942A5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0.65</w:t>
            </w:r>
          </w:p>
        </w:tc>
        <w:tc>
          <w:tcPr>
            <w:tcW w:w="994" w:type="dxa"/>
            <w:tcBorders>
              <w:top w:val="nil"/>
              <w:left w:val="nil"/>
              <w:bottom w:val="nil"/>
              <w:right w:val="single" w:sz="4" w:space="0" w:color="auto"/>
            </w:tcBorders>
            <w:shd w:val="clear" w:color="auto" w:fill="auto"/>
            <w:vAlign w:val="center"/>
            <w:hideMark/>
          </w:tcPr>
          <w:p w14:paraId="3029F6F2"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0.91</w:t>
            </w:r>
          </w:p>
        </w:tc>
      </w:tr>
      <w:tr w:rsidR="001F585F" w:rsidRPr="00E80EAB" w14:paraId="5F0D2EFE"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19E2A3AE"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W3</w:t>
            </w:r>
          </w:p>
        </w:tc>
        <w:tc>
          <w:tcPr>
            <w:tcW w:w="1428" w:type="dxa"/>
            <w:tcBorders>
              <w:top w:val="nil"/>
              <w:left w:val="nil"/>
              <w:bottom w:val="nil"/>
              <w:right w:val="single" w:sz="4" w:space="0" w:color="auto"/>
            </w:tcBorders>
            <w:shd w:val="clear" w:color="auto" w:fill="auto"/>
            <w:noWrap/>
            <w:vAlign w:val="center"/>
            <w:hideMark/>
          </w:tcPr>
          <w:p w14:paraId="26ADFDC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0.40 ± 0.03</w:t>
            </w:r>
          </w:p>
        </w:tc>
        <w:tc>
          <w:tcPr>
            <w:tcW w:w="1276" w:type="dxa"/>
            <w:tcBorders>
              <w:top w:val="nil"/>
              <w:left w:val="single" w:sz="4" w:space="0" w:color="auto"/>
              <w:bottom w:val="nil"/>
              <w:right w:val="nil"/>
            </w:tcBorders>
            <w:shd w:val="clear" w:color="auto" w:fill="auto"/>
            <w:noWrap/>
            <w:vAlign w:val="center"/>
            <w:hideMark/>
          </w:tcPr>
          <w:p w14:paraId="7BECFA7A"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0.31 ± 0.01</w:t>
            </w:r>
          </w:p>
        </w:tc>
        <w:tc>
          <w:tcPr>
            <w:tcW w:w="992" w:type="dxa"/>
            <w:tcBorders>
              <w:top w:val="nil"/>
              <w:left w:val="single" w:sz="4" w:space="0" w:color="auto"/>
              <w:bottom w:val="nil"/>
              <w:right w:val="nil"/>
            </w:tcBorders>
            <w:shd w:val="clear" w:color="auto" w:fill="auto"/>
            <w:noWrap/>
            <w:vAlign w:val="center"/>
            <w:hideMark/>
          </w:tcPr>
          <w:p w14:paraId="4D5215F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w:t>
            </w:r>
            <w:r>
              <w:rPr>
                <w:rFonts w:ascii="Times New Roman" w:hAnsi="Times New Roman"/>
                <w:color w:val="000000"/>
                <w:lang w:val="en-GB" w:bidi="ar-SA"/>
              </w:rPr>
              <w:t>0</w:t>
            </w:r>
          </w:p>
        </w:tc>
        <w:tc>
          <w:tcPr>
            <w:tcW w:w="851" w:type="dxa"/>
            <w:tcBorders>
              <w:top w:val="nil"/>
              <w:left w:val="single" w:sz="4" w:space="0" w:color="auto"/>
              <w:bottom w:val="nil"/>
              <w:right w:val="single" w:sz="4" w:space="0" w:color="auto"/>
            </w:tcBorders>
            <w:shd w:val="clear" w:color="auto" w:fill="auto"/>
            <w:noWrap/>
            <w:vAlign w:val="center"/>
            <w:hideMark/>
          </w:tcPr>
          <w:p w14:paraId="6121006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0.53</w:t>
            </w:r>
          </w:p>
        </w:tc>
        <w:tc>
          <w:tcPr>
            <w:tcW w:w="992" w:type="dxa"/>
            <w:tcBorders>
              <w:top w:val="nil"/>
              <w:left w:val="nil"/>
              <w:bottom w:val="nil"/>
              <w:right w:val="single" w:sz="4" w:space="0" w:color="auto"/>
            </w:tcBorders>
            <w:shd w:val="clear" w:color="auto" w:fill="auto"/>
            <w:vAlign w:val="center"/>
            <w:hideMark/>
          </w:tcPr>
          <w:p w14:paraId="4A18D27F"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0.39</w:t>
            </w:r>
          </w:p>
        </w:tc>
        <w:tc>
          <w:tcPr>
            <w:tcW w:w="994" w:type="dxa"/>
            <w:tcBorders>
              <w:top w:val="nil"/>
              <w:left w:val="nil"/>
              <w:bottom w:val="nil"/>
              <w:right w:val="single" w:sz="4" w:space="0" w:color="auto"/>
            </w:tcBorders>
            <w:shd w:val="clear" w:color="auto" w:fill="auto"/>
            <w:vAlign w:val="center"/>
            <w:hideMark/>
          </w:tcPr>
          <w:p w14:paraId="355027A2"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w:t>
            </w:r>
            <w:r>
              <w:rPr>
                <w:rFonts w:ascii="Times New Roman" w:hAnsi="Times New Roman"/>
                <w:color w:val="000000"/>
                <w:lang w:val="en-GB" w:bidi="ar-SA"/>
              </w:rPr>
              <w:t>0</w:t>
            </w:r>
          </w:p>
        </w:tc>
      </w:tr>
      <w:tr w:rsidR="001F585F" w:rsidRPr="00E80EAB" w14:paraId="39D1EA3F"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17D0A882"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W4</w:t>
            </w:r>
          </w:p>
        </w:tc>
        <w:tc>
          <w:tcPr>
            <w:tcW w:w="1428" w:type="dxa"/>
            <w:tcBorders>
              <w:top w:val="nil"/>
              <w:left w:val="nil"/>
              <w:bottom w:val="nil"/>
              <w:right w:val="single" w:sz="4" w:space="0" w:color="auto"/>
            </w:tcBorders>
            <w:shd w:val="clear" w:color="auto" w:fill="auto"/>
            <w:noWrap/>
            <w:vAlign w:val="center"/>
            <w:hideMark/>
          </w:tcPr>
          <w:p w14:paraId="3ADD3BB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0.29 ± 0.02</w:t>
            </w:r>
          </w:p>
        </w:tc>
        <w:tc>
          <w:tcPr>
            <w:tcW w:w="1276" w:type="dxa"/>
            <w:tcBorders>
              <w:top w:val="nil"/>
              <w:left w:val="single" w:sz="4" w:space="0" w:color="auto"/>
              <w:bottom w:val="nil"/>
              <w:right w:val="nil"/>
            </w:tcBorders>
            <w:shd w:val="clear" w:color="auto" w:fill="auto"/>
            <w:noWrap/>
            <w:vAlign w:val="center"/>
            <w:hideMark/>
          </w:tcPr>
          <w:p w14:paraId="54490066"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0.28 ± 0.01</w:t>
            </w:r>
          </w:p>
        </w:tc>
        <w:tc>
          <w:tcPr>
            <w:tcW w:w="992" w:type="dxa"/>
            <w:tcBorders>
              <w:top w:val="nil"/>
              <w:left w:val="single" w:sz="4" w:space="0" w:color="auto"/>
              <w:bottom w:val="nil"/>
              <w:right w:val="nil"/>
            </w:tcBorders>
            <w:shd w:val="clear" w:color="auto" w:fill="auto"/>
            <w:noWrap/>
            <w:vAlign w:val="center"/>
            <w:hideMark/>
          </w:tcPr>
          <w:p w14:paraId="0FA11AE1"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0.71</w:t>
            </w:r>
          </w:p>
        </w:tc>
        <w:tc>
          <w:tcPr>
            <w:tcW w:w="851" w:type="dxa"/>
            <w:tcBorders>
              <w:top w:val="nil"/>
              <w:left w:val="single" w:sz="4" w:space="0" w:color="auto"/>
              <w:bottom w:val="nil"/>
              <w:right w:val="single" w:sz="4" w:space="0" w:color="auto"/>
            </w:tcBorders>
            <w:shd w:val="clear" w:color="auto" w:fill="auto"/>
            <w:noWrap/>
            <w:vAlign w:val="center"/>
            <w:hideMark/>
          </w:tcPr>
          <w:p w14:paraId="3290EAB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0.63</w:t>
            </w:r>
          </w:p>
        </w:tc>
        <w:tc>
          <w:tcPr>
            <w:tcW w:w="992" w:type="dxa"/>
            <w:tcBorders>
              <w:top w:val="nil"/>
              <w:left w:val="nil"/>
              <w:bottom w:val="nil"/>
              <w:right w:val="single" w:sz="4" w:space="0" w:color="auto"/>
            </w:tcBorders>
            <w:shd w:val="clear" w:color="auto" w:fill="auto"/>
            <w:vAlign w:val="center"/>
            <w:hideMark/>
          </w:tcPr>
          <w:p w14:paraId="7C88C15F"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0.38</w:t>
            </w:r>
          </w:p>
        </w:tc>
        <w:tc>
          <w:tcPr>
            <w:tcW w:w="994" w:type="dxa"/>
            <w:tcBorders>
              <w:top w:val="nil"/>
              <w:left w:val="nil"/>
              <w:bottom w:val="nil"/>
              <w:right w:val="single" w:sz="4" w:space="0" w:color="auto"/>
            </w:tcBorders>
            <w:shd w:val="clear" w:color="auto" w:fill="auto"/>
            <w:vAlign w:val="center"/>
            <w:hideMark/>
          </w:tcPr>
          <w:p w14:paraId="256F4C61"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0.41</w:t>
            </w:r>
          </w:p>
        </w:tc>
      </w:tr>
      <w:tr w:rsidR="001F585F" w:rsidRPr="00E80EAB" w14:paraId="1F6A6414" w14:textId="77777777" w:rsidTr="00B55EA9">
        <w:trPr>
          <w:trHeight w:val="315"/>
        </w:trPr>
        <w:tc>
          <w:tcPr>
            <w:tcW w:w="840" w:type="dxa"/>
            <w:tcBorders>
              <w:top w:val="nil"/>
              <w:left w:val="single" w:sz="4" w:space="0" w:color="auto"/>
              <w:bottom w:val="nil"/>
              <w:right w:val="single" w:sz="4" w:space="0" w:color="auto"/>
            </w:tcBorders>
            <w:shd w:val="clear" w:color="auto" w:fill="auto"/>
            <w:noWrap/>
            <w:vAlign w:val="center"/>
            <w:hideMark/>
          </w:tcPr>
          <w:p w14:paraId="451457E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W5</w:t>
            </w:r>
          </w:p>
        </w:tc>
        <w:tc>
          <w:tcPr>
            <w:tcW w:w="1428" w:type="dxa"/>
            <w:tcBorders>
              <w:top w:val="nil"/>
              <w:left w:val="nil"/>
              <w:bottom w:val="nil"/>
              <w:right w:val="single" w:sz="4" w:space="0" w:color="auto"/>
            </w:tcBorders>
            <w:shd w:val="clear" w:color="auto" w:fill="auto"/>
            <w:noWrap/>
            <w:vAlign w:val="center"/>
            <w:hideMark/>
          </w:tcPr>
          <w:p w14:paraId="387C99F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0.42 ± 0.02</w:t>
            </w:r>
          </w:p>
        </w:tc>
        <w:tc>
          <w:tcPr>
            <w:tcW w:w="1276" w:type="dxa"/>
            <w:tcBorders>
              <w:top w:val="nil"/>
              <w:left w:val="single" w:sz="4" w:space="0" w:color="auto"/>
              <w:bottom w:val="nil"/>
              <w:right w:val="nil"/>
            </w:tcBorders>
            <w:shd w:val="clear" w:color="auto" w:fill="auto"/>
            <w:noWrap/>
            <w:vAlign w:val="center"/>
            <w:hideMark/>
          </w:tcPr>
          <w:p w14:paraId="1F2BBEA0"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0.35 ± 0.03</w:t>
            </w:r>
          </w:p>
        </w:tc>
        <w:tc>
          <w:tcPr>
            <w:tcW w:w="992" w:type="dxa"/>
            <w:tcBorders>
              <w:top w:val="nil"/>
              <w:left w:val="single" w:sz="4" w:space="0" w:color="auto"/>
              <w:bottom w:val="nil"/>
              <w:right w:val="nil"/>
            </w:tcBorders>
            <w:shd w:val="clear" w:color="auto" w:fill="auto"/>
            <w:noWrap/>
            <w:vAlign w:val="center"/>
            <w:hideMark/>
          </w:tcPr>
          <w:p w14:paraId="6C3CB971"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0.56</w:t>
            </w:r>
          </w:p>
        </w:tc>
        <w:tc>
          <w:tcPr>
            <w:tcW w:w="851" w:type="dxa"/>
            <w:tcBorders>
              <w:top w:val="nil"/>
              <w:left w:val="single" w:sz="4" w:space="0" w:color="auto"/>
              <w:bottom w:val="nil"/>
              <w:right w:val="single" w:sz="4" w:space="0" w:color="auto"/>
            </w:tcBorders>
            <w:shd w:val="clear" w:color="auto" w:fill="auto"/>
            <w:noWrap/>
            <w:vAlign w:val="center"/>
            <w:hideMark/>
          </w:tcPr>
          <w:p w14:paraId="70A32287"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0.59</w:t>
            </w:r>
          </w:p>
        </w:tc>
        <w:tc>
          <w:tcPr>
            <w:tcW w:w="992" w:type="dxa"/>
            <w:tcBorders>
              <w:top w:val="nil"/>
              <w:left w:val="nil"/>
              <w:bottom w:val="nil"/>
              <w:right w:val="single" w:sz="4" w:space="0" w:color="auto"/>
            </w:tcBorders>
            <w:shd w:val="clear" w:color="auto" w:fill="auto"/>
            <w:vAlign w:val="center"/>
            <w:hideMark/>
          </w:tcPr>
          <w:p w14:paraId="3D70864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w:t>
            </w:r>
            <w:r>
              <w:rPr>
                <w:rFonts w:ascii="Times New Roman" w:hAnsi="Times New Roman"/>
                <w:color w:val="000000"/>
                <w:lang w:val="en-GB" w:bidi="ar-SA"/>
              </w:rPr>
              <w:t>0</w:t>
            </w:r>
          </w:p>
        </w:tc>
        <w:tc>
          <w:tcPr>
            <w:tcW w:w="994" w:type="dxa"/>
            <w:tcBorders>
              <w:top w:val="nil"/>
              <w:left w:val="nil"/>
              <w:bottom w:val="nil"/>
              <w:right w:val="single" w:sz="4" w:space="0" w:color="auto"/>
            </w:tcBorders>
            <w:shd w:val="clear" w:color="auto" w:fill="auto"/>
            <w:vAlign w:val="center"/>
            <w:hideMark/>
          </w:tcPr>
          <w:p w14:paraId="20DB7D80"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0.41</w:t>
            </w:r>
          </w:p>
        </w:tc>
      </w:tr>
      <w:tr w:rsidR="001F585F" w:rsidRPr="00E80EAB" w14:paraId="1B140A39"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4F8E1F2B"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W6</w:t>
            </w:r>
          </w:p>
        </w:tc>
        <w:tc>
          <w:tcPr>
            <w:tcW w:w="1428" w:type="dxa"/>
            <w:tcBorders>
              <w:top w:val="nil"/>
              <w:left w:val="nil"/>
              <w:bottom w:val="nil"/>
              <w:right w:val="single" w:sz="4" w:space="0" w:color="auto"/>
            </w:tcBorders>
            <w:shd w:val="clear" w:color="auto" w:fill="auto"/>
            <w:noWrap/>
            <w:vAlign w:val="center"/>
            <w:hideMark/>
          </w:tcPr>
          <w:p w14:paraId="1A4E8E8A"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0.28 ± 0.01</w:t>
            </w:r>
          </w:p>
        </w:tc>
        <w:tc>
          <w:tcPr>
            <w:tcW w:w="1276" w:type="dxa"/>
            <w:tcBorders>
              <w:top w:val="nil"/>
              <w:left w:val="single" w:sz="4" w:space="0" w:color="auto"/>
              <w:bottom w:val="nil"/>
              <w:right w:val="nil"/>
            </w:tcBorders>
            <w:shd w:val="clear" w:color="auto" w:fill="auto"/>
            <w:noWrap/>
            <w:vAlign w:val="center"/>
            <w:hideMark/>
          </w:tcPr>
          <w:p w14:paraId="52BEF66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0.22 ± 0.02</w:t>
            </w:r>
          </w:p>
        </w:tc>
        <w:tc>
          <w:tcPr>
            <w:tcW w:w="992" w:type="dxa"/>
            <w:tcBorders>
              <w:top w:val="nil"/>
              <w:left w:val="single" w:sz="4" w:space="0" w:color="auto"/>
              <w:bottom w:val="nil"/>
              <w:right w:val="nil"/>
            </w:tcBorders>
            <w:shd w:val="clear" w:color="auto" w:fill="auto"/>
            <w:noWrap/>
            <w:vAlign w:val="center"/>
            <w:hideMark/>
          </w:tcPr>
          <w:p w14:paraId="02FFEF6B"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0.52</w:t>
            </w:r>
          </w:p>
        </w:tc>
        <w:tc>
          <w:tcPr>
            <w:tcW w:w="851" w:type="dxa"/>
            <w:tcBorders>
              <w:top w:val="nil"/>
              <w:left w:val="single" w:sz="4" w:space="0" w:color="auto"/>
              <w:bottom w:val="nil"/>
              <w:right w:val="single" w:sz="4" w:space="0" w:color="auto"/>
            </w:tcBorders>
            <w:shd w:val="clear" w:color="auto" w:fill="auto"/>
            <w:noWrap/>
            <w:vAlign w:val="center"/>
            <w:hideMark/>
          </w:tcPr>
          <w:p w14:paraId="2F90841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0.54</w:t>
            </w:r>
          </w:p>
        </w:tc>
        <w:tc>
          <w:tcPr>
            <w:tcW w:w="992" w:type="dxa"/>
            <w:tcBorders>
              <w:top w:val="nil"/>
              <w:left w:val="nil"/>
              <w:bottom w:val="nil"/>
              <w:right w:val="single" w:sz="4" w:space="0" w:color="auto"/>
            </w:tcBorders>
            <w:shd w:val="clear" w:color="auto" w:fill="auto"/>
            <w:vAlign w:val="center"/>
            <w:hideMark/>
          </w:tcPr>
          <w:p w14:paraId="5628EE67"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0.37</w:t>
            </w:r>
          </w:p>
        </w:tc>
        <w:tc>
          <w:tcPr>
            <w:tcW w:w="994" w:type="dxa"/>
            <w:tcBorders>
              <w:top w:val="nil"/>
              <w:left w:val="nil"/>
              <w:bottom w:val="nil"/>
              <w:right w:val="single" w:sz="4" w:space="0" w:color="auto"/>
            </w:tcBorders>
            <w:shd w:val="clear" w:color="auto" w:fill="auto"/>
            <w:vAlign w:val="center"/>
            <w:hideMark/>
          </w:tcPr>
          <w:p w14:paraId="7B4EDA27"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0.33</w:t>
            </w:r>
          </w:p>
        </w:tc>
      </w:tr>
      <w:tr w:rsidR="001F585F" w:rsidRPr="00E80EAB" w14:paraId="1B5AF3E9"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6AD8F084"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W7</w:t>
            </w:r>
          </w:p>
        </w:tc>
        <w:tc>
          <w:tcPr>
            <w:tcW w:w="1428" w:type="dxa"/>
            <w:tcBorders>
              <w:top w:val="nil"/>
              <w:left w:val="nil"/>
              <w:bottom w:val="nil"/>
              <w:right w:val="single" w:sz="4" w:space="0" w:color="auto"/>
            </w:tcBorders>
            <w:shd w:val="clear" w:color="auto" w:fill="auto"/>
            <w:noWrap/>
            <w:vAlign w:val="center"/>
            <w:hideMark/>
          </w:tcPr>
          <w:p w14:paraId="1F8FE08E"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0.43 ± 0.00</w:t>
            </w:r>
          </w:p>
        </w:tc>
        <w:tc>
          <w:tcPr>
            <w:tcW w:w="1276" w:type="dxa"/>
            <w:tcBorders>
              <w:top w:val="nil"/>
              <w:left w:val="single" w:sz="4" w:space="0" w:color="auto"/>
              <w:bottom w:val="nil"/>
              <w:right w:val="nil"/>
            </w:tcBorders>
            <w:shd w:val="clear" w:color="auto" w:fill="auto"/>
            <w:noWrap/>
            <w:vAlign w:val="center"/>
            <w:hideMark/>
          </w:tcPr>
          <w:p w14:paraId="6DA670F0"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0.37 ± 0.07</w:t>
            </w:r>
          </w:p>
        </w:tc>
        <w:tc>
          <w:tcPr>
            <w:tcW w:w="992" w:type="dxa"/>
            <w:tcBorders>
              <w:top w:val="nil"/>
              <w:left w:val="single" w:sz="4" w:space="0" w:color="auto"/>
              <w:bottom w:val="nil"/>
              <w:right w:val="nil"/>
            </w:tcBorders>
            <w:shd w:val="clear" w:color="auto" w:fill="auto"/>
            <w:noWrap/>
            <w:vAlign w:val="center"/>
            <w:hideMark/>
          </w:tcPr>
          <w:p w14:paraId="2547A0B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0.63</w:t>
            </w:r>
          </w:p>
        </w:tc>
        <w:tc>
          <w:tcPr>
            <w:tcW w:w="851" w:type="dxa"/>
            <w:tcBorders>
              <w:top w:val="nil"/>
              <w:left w:val="single" w:sz="4" w:space="0" w:color="auto"/>
              <w:bottom w:val="nil"/>
              <w:right w:val="single" w:sz="4" w:space="0" w:color="auto"/>
            </w:tcBorders>
            <w:shd w:val="clear" w:color="auto" w:fill="auto"/>
            <w:noWrap/>
            <w:vAlign w:val="center"/>
            <w:hideMark/>
          </w:tcPr>
          <w:p w14:paraId="47EDA4A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0.58</w:t>
            </w:r>
          </w:p>
        </w:tc>
        <w:tc>
          <w:tcPr>
            <w:tcW w:w="992" w:type="dxa"/>
            <w:tcBorders>
              <w:top w:val="nil"/>
              <w:left w:val="nil"/>
              <w:bottom w:val="nil"/>
              <w:right w:val="single" w:sz="4" w:space="0" w:color="auto"/>
            </w:tcBorders>
            <w:shd w:val="clear" w:color="auto" w:fill="auto"/>
            <w:vAlign w:val="center"/>
            <w:hideMark/>
          </w:tcPr>
          <w:p w14:paraId="02D2BDDE"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0.54</w:t>
            </w:r>
          </w:p>
        </w:tc>
        <w:tc>
          <w:tcPr>
            <w:tcW w:w="994" w:type="dxa"/>
            <w:tcBorders>
              <w:top w:val="nil"/>
              <w:left w:val="nil"/>
              <w:bottom w:val="nil"/>
              <w:right w:val="single" w:sz="4" w:space="0" w:color="auto"/>
            </w:tcBorders>
            <w:shd w:val="clear" w:color="auto" w:fill="auto"/>
            <w:vAlign w:val="center"/>
            <w:hideMark/>
          </w:tcPr>
          <w:p w14:paraId="69CA9249"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0.4</w:t>
            </w:r>
            <w:r>
              <w:rPr>
                <w:rFonts w:ascii="Times New Roman" w:hAnsi="Times New Roman"/>
                <w:color w:val="000000"/>
                <w:lang w:val="en-GB" w:bidi="ar-SA"/>
              </w:rPr>
              <w:t>0</w:t>
            </w:r>
          </w:p>
        </w:tc>
      </w:tr>
      <w:tr w:rsidR="001F585F" w:rsidRPr="00E80EAB" w14:paraId="51E63A90" w14:textId="77777777" w:rsidTr="00B55EA9">
        <w:trPr>
          <w:trHeight w:val="300"/>
        </w:trPr>
        <w:tc>
          <w:tcPr>
            <w:tcW w:w="840" w:type="dxa"/>
            <w:tcBorders>
              <w:top w:val="nil"/>
              <w:left w:val="single" w:sz="4" w:space="0" w:color="auto"/>
              <w:bottom w:val="nil"/>
              <w:right w:val="single" w:sz="4" w:space="0" w:color="auto"/>
            </w:tcBorders>
            <w:shd w:val="clear" w:color="auto" w:fill="auto"/>
            <w:noWrap/>
            <w:vAlign w:val="center"/>
            <w:hideMark/>
          </w:tcPr>
          <w:p w14:paraId="0B4BDFA7"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W8</w:t>
            </w:r>
          </w:p>
        </w:tc>
        <w:tc>
          <w:tcPr>
            <w:tcW w:w="1428" w:type="dxa"/>
            <w:tcBorders>
              <w:top w:val="nil"/>
              <w:left w:val="nil"/>
              <w:bottom w:val="nil"/>
              <w:right w:val="single" w:sz="4" w:space="0" w:color="auto"/>
            </w:tcBorders>
            <w:shd w:val="clear" w:color="auto" w:fill="auto"/>
            <w:noWrap/>
            <w:vAlign w:val="center"/>
            <w:hideMark/>
          </w:tcPr>
          <w:p w14:paraId="78CFD15F"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0.37 ± 0.00</w:t>
            </w:r>
          </w:p>
        </w:tc>
        <w:tc>
          <w:tcPr>
            <w:tcW w:w="1276" w:type="dxa"/>
            <w:tcBorders>
              <w:top w:val="nil"/>
              <w:left w:val="single" w:sz="4" w:space="0" w:color="auto"/>
              <w:bottom w:val="nil"/>
              <w:right w:val="nil"/>
            </w:tcBorders>
            <w:shd w:val="clear" w:color="auto" w:fill="auto"/>
            <w:noWrap/>
            <w:vAlign w:val="center"/>
            <w:hideMark/>
          </w:tcPr>
          <w:p w14:paraId="57A02332"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0.33 ± 0.03</w:t>
            </w:r>
          </w:p>
        </w:tc>
        <w:tc>
          <w:tcPr>
            <w:tcW w:w="992" w:type="dxa"/>
            <w:tcBorders>
              <w:top w:val="nil"/>
              <w:left w:val="single" w:sz="4" w:space="0" w:color="auto"/>
              <w:bottom w:val="nil"/>
              <w:right w:val="nil"/>
            </w:tcBorders>
            <w:shd w:val="clear" w:color="auto" w:fill="auto"/>
            <w:noWrap/>
            <w:vAlign w:val="center"/>
            <w:hideMark/>
          </w:tcPr>
          <w:p w14:paraId="35730E68"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0.51</w:t>
            </w:r>
          </w:p>
        </w:tc>
        <w:tc>
          <w:tcPr>
            <w:tcW w:w="851" w:type="dxa"/>
            <w:tcBorders>
              <w:top w:val="nil"/>
              <w:left w:val="single" w:sz="4" w:space="0" w:color="auto"/>
              <w:bottom w:val="nil"/>
              <w:right w:val="single" w:sz="4" w:space="0" w:color="auto"/>
            </w:tcBorders>
            <w:shd w:val="clear" w:color="auto" w:fill="auto"/>
            <w:noWrap/>
            <w:vAlign w:val="center"/>
            <w:hideMark/>
          </w:tcPr>
          <w:p w14:paraId="19FC6C13"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0.55</w:t>
            </w:r>
          </w:p>
        </w:tc>
        <w:tc>
          <w:tcPr>
            <w:tcW w:w="992" w:type="dxa"/>
            <w:tcBorders>
              <w:top w:val="nil"/>
              <w:left w:val="nil"/>
              <w:bottom w:val="nil"/>
              <w:right w:val="single" w:sz="4" w:space="0" w:color="auto"/>
            </w:tcBorders>
            <w:shd w:val="clear" w:color="auto" w:fill="auto"/>
            <w:vAlign w:val="center"/>
            <w:hideMark/>
          </w:tcPr>
          <w:p w14:paraId="03CAC28A"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0.36</w:t>
            </w:r>
          </w:p>
        </w:tc>
        <w:tc>
          <w:tcPr>
            <w:tcW w:w="994" w:type="dxa"/>
            <w:tcBorders>
              <w:top w:val="nil"/>
              <w:left w:val="nil"/>
              <w:bottom w:val="nil"/>
              <w:right w:val="single" w:sz="4" w:space="0" w:color="auto"/>
            </w:tcBorders>
            <w:shd w:val="clear" w:color="auto" w:fill="auto"/>
            <w:vAlign w:val="center"/>
            <w:hideMark/>
          </w:tcPr>
          <w:p w14:paraId="1495CD00"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0.54</w:t>
            </w:r>
          </w:p>
        </w:tc>
      </w:tr>
      <w:tr w:rsidR="001F585F" w:rsidRPr="00E80EAB" w14:paraId="45F66F25" w14:textId="77777777" w:rsidTr="00B55EA9">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8617DAF"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W9</w:t>
            </w:r>
          </w:p>
        </w:tc>
        <w:tc>
          <w:tcPr>
            <w:tcW w:w="1428" w:type="dxa"/>
            <w:tcBorders>
              <w:top w:val="nil"/>
              <w:left w:val="nil"/>
              <w:bottom w:val="single" w:sz="4" w:space="0" w:color="auto"/>
              <w:right w:val="single" w:sz="4" w:space="0" w:color="auto"/>
            </w:tcBorders>
            <w:shd w:val="clear" w:color="auto" w:fill="auto"/>
            <w:noWrap/>
            <w:vAlign w:val="center"/>
            <w:hideMark/>
          </w:tcPr>
          <w:p w14:paraId="1F1F4E1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0.40 ± 0.01</w:t>
            </w:r>
          </w:p>
        </w:tc>
        <w:tc>
          <w:tcPr>
            <w:tcW w:w="1276" w:type="dxa"/>
            <w:tcBorders>
              <w:top w:val="nil"/>
              <w:left w:val="single" w:sz="4" w:space="0" w:color="auto"/>
              <w:bottom w:val="single" w:sz="4" w:space="0" w:color="auto"/>
              <w:right w:val="nil"/>
            </w:tcBorders>
            <w:shd w:val="clear" w:color="auto" w:fill="auto"/>
            <w:noWrap/>
            <w:vAlign w:val="center"/>
            <w:hideMark/>
          </w:tcPr>
          <w:p w14:paraId="0F04501B"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bidi="ar-SA"/>
              </w:rPr>
              <w:t>0.29 ± 0.01</w:t>
            </w:r>
          </w:p>
        </w:tc>
        <w:tc>
          <w:tcPr>
            <w:tcW w:w="992" w:type="dxa"/>
            <w:tcBorders>
              <w:top w:val="nil"/>
              <w:left w:val="single" w:sz="4" w:space="0" w:color="auto"/>
              <w:bottom w:val="single" w:sz="4" w:space="0" w:color="auto"/>
              <w:right w:val="nil"/>
            </w:tcBorders>
            <w:shd w:val="clear" w:color="auto" w:fill="auto"/>
            <w:noWrap/>
            <w:vAlign w:val="center"/>
            <w:hideMark/>
          </w:tcPr>
          <w:p w14:paraId="3381DDAC"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0.53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1821DC5D"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0.6</w:t>
            </w:r>
            <w:r>
              <w:rPr>
                <w:rFonts w:ascii="Times New Roman" w:hAnsi="Times New Roman"/>
                <w:color w:val="000000"/>
                <w:lang w:val="en-GB" w:bidi="ar-SA"/>
              </w:rPr>
              <w:t>0</w:t>
            </w:r>
          </w:p>
        </w:tc>
        <w:tc>
          <w:tcPr>
            <w:tcW w:w="992" w:type="dxa"/>
            <w:tcBorders>
              <w:top w:val="nil"/>
              <w:left w:val="nil"/>
              <w:bottom w:val="single" w:sz="4" w:space="0" w:color="auto"/>
              <w:right w:val="single" w:sz="4" w:space="0" w:color="auto"/>
            </w:tcBorders>
            <w:shd w:val="clear" w:color="auto" w:fill="auto"/>
            <w:vAlign w:val="center"/>
            <w:hideMark/>
          </w:tcPr>
          <w:p w14:paraId="660F9D32"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0.25</w:t>
            </w:r>
          </w:p>
        </w:tc>
        <w:tc>
          <w:tcPr>
            <w:tcW w:w="994" w:type="dxa"/>
            <w:tcBorders>
              <w:top w:val="nil"/>
              <w:left w:val="nil"/>
              <w:bottom w:val="single" w:sz="4" w:space="0" w:color="auto"/>
              <w:right w:val="single" w:sz="4" w:space="0" w:color="auto"/>
            </w:tcBorders>
            <w:shd w:val="clear" w:color="auto" w:fill="auto"/>
            <w:vAlign w:val="center"/>
            <w:hideMark/>
          </w:tcPr>
          <w:p w14:paraId="000E76F6" w14:textId="77777777" w:rsidR="001F585F" w:rsidRPr="00E80EAB" w:rsidRDefault="001F585F" w:rsidP="00B55EA9">
            <w:pPr>
              <w:spacing w:after="0" w:line="240" w:lineRule="auto"/>
              <w:jc w:val="center"/>
              <w:rPr>
                <w:rFonts w:ascii="Times New Roman" w:hAnsi="Times New Roman"/>
                <w:color w:val="000000"/>
                <w:lang w:bidi="ar-SA"/>
              </w:rPr>
            </w:pPr>
            <w:r w:rsidRPr="00E80EAB">
              <w:rPr>
                <w:rFonts w:ascii="Times New Roman" w:hAnsi="Times New Roman"/>
                <w:color w:val="000000"/>
                <w:lang w:val="en-GB" w:bidi="ar-SA"/>
              </w:rPr>
              <w:t>0.33</w:t>
            </w:r>
          </w:p>
        </w:tc>
      </w:tr>
    </w:tbl>
    <w:p w14:paraId="1A12A5A1" w14:textId="77777777" w:rsidR="001F585F" w:rsidRDefault="001F585F" w:rsidP="001F585F">
      <w:pPr>
        <w:pStyle w:val="NoSpacing"/>
        <w:spacing w:line="360" w:lineRule="auto"/>
        <w:rPr>
          <w:rFonts w:ascii="Times New Roman" w:hAnsi="Times New Roman"/>
          <w:b/>
          <w:color w:val="000000"/>
          <w:lang w:val="en-GB"/>
        </w:rPr>
      </w:pPr>
    </w:p>
    <w:p w14:paraId="5868C1AA" w14:textId="77777777" w:rsidR="001F585F" w:rsidRPr="006E1463" w:rsidRDefault="001F585F" w:rsidP="001F585F">
      <w:pPr>
        <w:pStyle w:val="NoSpacing"/>
        <w:spacing w:line="360" w:lineRule="auto"/>
        <w:rPr>
          <w:rFonts w:ascii="Times New Roman" w:hAnsi="Times New Roman"/>
          <w:b/>
          <w:color w:val="000000"/>
          <w:lang w:val="en-GB"/>
        </w:rPr>
      </w:pPr>
    </w:p>
    <w:p w14:paraId="45DA8F18" w14:textId="77777777" w:rsidR="001F585F" w:rsidRPr="006E1463" w:rsidRDefault="001F585F" w:rsidP="001F585F">
      <w:pPr>
        <w:spacing w:after="0" w:line="360" w:lineRule="auto"/>
        <w:jc w:val="both"/>
        <w:rPr>
          <w:rFonts w:ascii="Times New Roman" w:hAnsi="Times New Roman"/>
          <w:color w:val="000000"/>
          <w:lang w:val="en-GB"/>
        </w:rPr>
      </w:pPr>
      <w:r>
        <w:rPr>
          <w:rFonts w:ascii="Times New Roman" w:hAnsi="Times New Roman"/>
          <w:noProof/>
          <w:color w:val="000000"/>
          <w:lang w:val="hr-HR" w:eastAsia="hr-HR" w:bidi="ar-SA"/>
        </w:rPr>
        <w:drawing>
          <wp:inline distT="0" distB="0" distL="0" distR="0" wp14:anchorId="396E2ECA" wp14:editId="5305CB2E">
            <wp:extent cx="4037330" cy="2185035"/>
            <wp:effectExtent l="0" t="0" r="1270" b="5715"/>
            <wp:docPr id="4" name="Picture 4" descr="Fig-S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S1b"/>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7330" cy="2185035"/>
                    </a:xfrm>
                    <a:prstGeom prst="rect">
                      <a:avLst/>
                    </a:prstGeom>
                    <a:noFill/>
                    <a:ln>
                      <a:noFill/>
                    </a:ln>
                  </pic:spPr>
                </pic:pic>
              </a:graphicData>
            </a:graphic>
          </wp:inline>
        </w:drawing>
      </w:r>
    </w:p>
    <w:p w14:paraId="6CB05A9E" w14:textId="77777777" w:rsidR="001F585F" w:rsidRDefault="001F585F" w:rsidP="001F585F">
      <w:pPr>
        <w:spacing w:after="0" w:line="360" w:lineRule="auto"/>
        <w:rPr>
          <w:rFonts w:ascii="Times New Roman" w:hAnsi="Times New Roman"/>
          <w:b/>
          <w:color w:val="000000"/>
          <w:lang w:val="en-GB"/>
        </w:rPr>
      </w:pPr>
    </w:p>
    <w:p w14:paraId="44914381" w14:textId="5587598E" w:rsidR="001F585F" w:rsidRPr="00CD008E" w:rsidRDefault="00DE38F1" w:rsidP="001F585F">
      <w:pPr>
        <w:spacing w:after="0" w:line="360" w:lineRule="auto"/>
        <w:rPr>
          <w:rFonts w:ascii="Times New Roman" w:hAnsi="Times New Roman"/>
          <w:color w:val="000000"/>
          <w:lang w:val="en-GB"/>
        </w:rPr>
      </w:pPr>
      <w:r>
        <w:rPr>
          <w:rFonts w:ascii="Times New Roman" w:hAnsi="Times New Roman"/>
          <w:b/>
          <w:color w:val="000000"/>
          <w:lang w:val="en-GB"/>
        </w:rPr>
        <w:t>Figure S3</w:t>
      </w:r>
      <w:r w:rsidR="001F585F" w:rsidRPr="00CD008E">
        <w:rPr>
          <w:rFonts w:ascii="Times New Roman" w:hAnsi="Times New Roman"/>
          <w:b/>
          <w:color w:val="000000"/>
          <w:lang w:val="en-GB"/>
        </w:rPr>
        <w:t xml:space="preserve">. </w:t>
      </w:r>
      <w:r w:rsidR="001F585F" w:rsidRPr="00CD008E">
        <w:rPr>
          <w:rFonts w:ascii="Times New Roman" w:hAnsi="Times New Roman"/>
          <w:color w:val="000000"/>
          <w:lang w:val="en-GB"/>
        </w:rPr>
        <w:t>The CDOM absorption coefficient at 254 nm, a</w:t>
      </w:r>
      <w:r w:rsidR="001F585F" w:rsidRPr="00CD008E">
        <w:rPr>
          <w:rFonts w:ascii="Times New Roman" w:hAnsi="Times New Roman"/>
          <w:color w:val="000000"/>
          <w:vertAlign w:val="subscript"/>
          <w:lang w:val="en-GB"/>
        </w:rPr>
        <w:t>CDOM</w:t>
      </w:r>
      <w:r w:rsidR="001F585F" w:rsidRPr="00CD008E">
        <w:rPr>
          <w:rFonts w:ascii="Times New Roman" w:hAnsi="Times New Roman"/>
          <w:color w:val="000000"/>
          <w:lang w:val="en-GB"/>
        </w:rPr>
        <w:t>(254) - (A) April 2015 (IV’2015) and (B) (September 2016) IX’2016 in the SML (circles) and ULW (squares) (Drozdowska et al., 2017).</w:t>
      </w:r>
    </w:p>
    <w:p w14:paraId="13D7791E" w14:textId="77777777" w:rsidR="001F585F" w:rsidRPr="00CD008E" w:rsidRDefault="001F585F" w:rsidP="001F585F">
      <w:pPr>
        <w:pStyle w:val="NoSpacing"/>
        <w:spacing w:line="360" w:lineRule="auto"/>
        <w:rPr>
          <w:lang w:val="en-GB"/>
        </w:rPr>
      </w:pPr>
      <w:r w:rsidRPr="00CD008E">
        <w:rPr>
          <w:lang w:val="en-GB"/>
        </w:rPr>
        <w:br w:type="page"/>
      </w:r>
    </w:p>
    <w:p w14:paraId="4C4E31CA" w14:textId="77777777" w:rsidR="001F585F" w:rsidRPr="00CD008E" w:rsidRDefault="001F585F" w:rsidP="001F585F">
      <w:pPr>
        <w:pStyle w:val="NoSpacing"/>
        <w:spacing w:line="360" w:lineRule="auto"/>
        <w:rPr>
          <w:lang w:val="en-GB"/>
        </w:rPr>
      </w:pPr>
    </w:p>
    <w:p w14:paraId="6ED8ED91" w14:textId="77777777" w:rsidR="001F585F" w:rsidRPr="00CD008E" w:rsidRDefault="001F585F" w:rsidP="001F585F">
      <w:pPr>
        <w:spacing w:after="0" w:line="360" w:lineRule="auto"/>
        <w:jc w:val="both"/>
        <w:rPr>
          <w:rFonts w:ascii="Times New Roman" w:hAnsi="Times New Roman"/>
          <w:color w:val="000000"/>
          <w:lang w:val="en-GB"/>
        </w:rPr>
      </w:pPr>
      <w:r w:rsidRPr="00CD008E">
        <w:rPr>
          <w:rFonts w:ascii="Times New Roman" w:hAnsi="Times New Roman"/>
          <w:noProof/>
          <w:color w:val="000000"/>
          <w:lang w:val="hr-HR" w:eastAsia="hr-HR" w:bidi="ar-SA"/>
        </w:rPr>
        <w:drawing>
          <wp:inline distT="0" distB="0" distL="0" distR="0" wp14:anchorId="20508EB6" wp14:editId="4D7F9E47">
            <wp:extent cx="3717290" cy="2072005"/>
            <wp:effectExtent l="0" t="0" r="0" b="4445"/>
            <wp:docPr id="5" name="Picture 5" descr="Fig-S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S2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17290" cy="2072005"/>
                    </a:xfrm>
                    <a:prstGeom prst="rect">
                      <a:avLst/>
                    </a:prstGeom>
                    <a:noFill/>
                    <a:ln>
                      <a:noFill/>
                    </a:ln>
                  </pic:spPr>
                </pic:pic>
              </a:graphicData>
            </a:graphic>
          </wp:inline>
        </w:drawing>
      </w:r>
    </w:p>
    <w:p w14:paraId="131ED60E" w14:textId="77777777" w:rsidR="001F585F" w:rsidRPr="00CD008E" w:rsidRDefault="001F585F" w:rsidP="001F585F">
      <w:pPr>
        <w:spacing w:after="0" w:line="360" w:lineRule="auto"/>
        <w:rPr>
          <w:rFonts w:ascii="Times New Roman" w:hAnsi="Times New Roman"/>
          <w:b/>
          <w:color w:val="000000"/>
          <w:lang w:val="en-GB"/>
        </w:rPr>
      </w:pPr>
    </w:p>
    <w:p w14:paraId="21068CA9" w14:textId="7277CCBD" w:rsidR="001F585F" w:rsidRPr="00CD008E" w:rsidRDefault="00DE38F1" w:rsidP="001F585F">
      <w:pPr>
        <w:spacing w:after="0" w:line="360" w:lineRule="auto"/>
        <w:rPr>
          <w:rFonts w:ascii="Times New Roman" w:hAnsi="Times New Roman"/>
          <w:color w:val="000000"/>
          <w:lang w:val="en-GB"/>
        </w:rPr>
      </w:pPr>
      <w:r>
        <w:rPr>
          <w:rFonts w:ascii="Times New Roman" w:hAnsi="Times New Roman"/>
          <w:b/>
          <w:color w:val="000000"/>
          <w:lang w:val="en-GB"/>
        </w:rPr>
        <w:t>Figure S4</w:t>
      </w:r>
      <w:r w:rsidR="001F585F" w:rsidRPr="00CD008E">
        <w:rPr>
          <w:rFonts w:ascii="Times New Roman" w:hAnsi="Times New Roman"/>
          <w:b/>
          <w:color w:val="000000"/>
          <w:lang w:val="en-GB"/>
        </w:rPr>
        <w:t>.</w:t>
      </w:r>
      <w:r w:rsidR="001F585F" w:rsidRPr="00CD008E">
        <w:rPr>
          <w:rFonts w:ascii="Times New Roman" w:hAnsi="Times New Roman"/>
          <w:color w:val="000000"/>
          <w:lang w:val="en-GB"/>
        </w:rPr>
        <w:t xml:space="preserve"> The spectral slope ratio, S</w:t>
      </w:r>
      <w:r w:rsidR="001F585F" w:rsidRPr="00CD008E">
        <w:rPr>
          <w:rFonts w:ascii="Times New Roman" w:hAnsi="Times New Roman"/>
          <w:color w:val="000000"/>
          <w:vertAlign w:val="subscript"/>
          <w:lang w:val="en-GB"/>
        </w:rPr>
        <w:t>R</w:t>
      </w:r>
      <w:r w:rsidR="001F585F" w:rsidRPr="00CD008E">
        <w:rPr>
          <w:rFonts w:ascii="Times New Roman" w:hAnsi="Times New Roman"/>
          <w:color w:val="000000"/>
          <w:lang w:val="en-GB"/>
        </w:rPr>
        <w:t>, of CDOM absorption coefficient curve, S</w:t>
      </w:r>
      <w:r w:rsidR="001F585F" w:rsidRPr="00CD008E">
        <w:rPr>
          <w:rFonts w:ascii="Times New Roman" w:hAnsi="Times New Roman"/>
          <w:color w:val="000000"/>
          <w:vertAlign w:val="subscript"/>
          <w:lang w:val="en-GB"/>
        </w:rPr>
        <w:t>R</w:t>
      </w:r>
      <w:r w:rsidR="001F585F" w:rsidRPr="00CD008E">
        <w:rPr>
          <w:rFonts w:ascii="Times New Roman" w:hAnsi="Times New Roman"/>
          <w:color w:val="000000"/>
          <w:lang w:val="en-GB"/>
        </w:rPr>
        <w:t xml:space="preserve"> - (A) April 2015 (IV’2015) and (B) September 2016 (IX’2016) in the SML (circles) and ULW (squares) (Drozdowska et al., 2017).</w:t>
      </w:r>
    </w:p>
    <w:p w14:paraId="134F045E" w14:textId="77777777" w:rsidR="001F585F" w:rsidRPr="00CD008E" w:rsidRDefault="001F585F" w:rsidP="001F585F">
      <w:pPr>
        <w:spacing w:after="0" w:line="360" w:lineRule="auto"/>
        <w:rPr>
          <w:rFonts w:ascii="Times New Roman" w:hAnsi="Times New Roman"/>
          <w:color w:val="000000"/>
          <w:lang w:val="en-GB"/>
        </w:rPr>
      </w:pPr>
    </w:p>
    <w:p w14:paraId="59673CE0" w14:textId="77777777" w:rsidR="001F585F" w:rsidRPr="00CD008E" w:rsidRDefault="001F585F" w:rsidP="001F585F">
      <w:pPr>
        <w:spacing w:after="0" w:line="360" w:lineRule="auto"/>
        <w:jc w:val="both"/>
        <w:rPr>
          <w:rFonts w:ascii="Times New Roman" w:hAnsi="Times New Roman"/>
          <w:color w:val="000000"/>
          <w:lang w:val="en-GB"/>
        </w:rPr>
      </w:pPr>
      <w:r w:rsidRPr="00CD008E">
        <w:rPr>
          <w:rFonts w:ascii="Times New Roman" w:hAnsi="Times New Roman"/>
          <w:noProof/>
          <w:color w:val="000000"/>
          <w:lang w:val="hr-HR" w:eastAsia="hr-HR" w:bidi="ar-SA"/>
        </w:rPr>
        <w:drawing>
          <wp:inline distT="0" distB="0" distL="0" distR="0" wp14:anchorId="33E7F28B" wp14:editId="645095C9">
            <wp:extent cx="5124450" cy="3562350"/>
            <wp:effectExtent l="0" t="0" r="0" b="0"/>
            <wp:docPr id="2" name="Picture 2" descr="Fig-S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3b"/>
                    <pic:cNvPicPr>
                      <a:picLocks noChangeAspect="1" noChangeArrowheads="1"/>
                    </pic:cNvPicPr>
                  </pic:nvPicPr>
                  <pic:blipFill>
                    <a:blip r:embed="rId23" cstate="print">
                      <a:extLst>
                        <a:ext uri="{28A0092B-C50C-407E-A947-70E740481C1C}">
                          <a14:useLocalDpi xmlns:a14="http://schemas.microsoft.com/office/drawing/2010/main" val="0"/>
                        </a:ext>
                      </a:extLst>
                    </a:blip>
                    <a:srcRect t="2856" r="22154"/>
                    <a:stretch>
                      <a:fillRect/>
                    </a:stretch>
                  </pic:blipFill>
                  <pic:spPr bwMode="auto">
                    <a:xfrm>
                      <a:off x="0" y="0"/>
                      <a:ext cx="5124450" cy="3562350"/>
                    </a:xfrm>
                    <a:prstGeom prst="rect">
                      <a:avLst/>
                    </a:prstGeom>
                    <a:noFill/>
                    <a:ln>
                      <a:noFill/>
                    </a:ln>
                  </pic:spPr>
                </pic:pic>
              </a:graphicData>
            </a:graphic>
          </wp:inline>
        </w:drawing>
      </w:r>
    </w:p>
    <w:p w14:paraId="68973617" w14:textId="77777777" w:rsidR="001F585F" w:rsidRPr="00CD008E" w:rsidRDefault="001F585F" w:rsidP="001F585F">
      <w:pPr>
        <w:spacing w:after="0" w:line="360" w:lineRule="auto"/>
        <w:rPr>
          <w:rFonts w:ascii="Times New Roman" w:hAnsi="Times New Roman"/>
          <w:b/>
          <w:color w:val="000000"/>
          <w:lang w:val="en-GB"/>
        </w:rPr>
      </w:pPr>
    </w:p>
    <w:p w14:paraId="0C02EC98" w14:textId="610A6188" w:rsidR="001F585F" w:rsidRPr="00CD008E" w:rsidRDefault="001F585F" w:rsidP="001F585F">
      <w:pPr>
        <w:spacing w:after="0" w:line="360" w:lineRule="auto"/>
        <w:rPr>
          <w:rFonts w:ascii="Times New Roman" w:hAnsi="Times New Roman"/>
          <w:color w:val="000000"/>
          <w:lang w:val="en-GB"/>
        </w:rPr>
      </w:pPr>
      <w:r w:rsidRPr="00CD008E">
        <w:rPr>
          <w:rFonts w:ascii="Times New Roman" w:hAnsi="Times New Roman"/>
          <w:b/>
          <w:color w:val="000000"/>
          <w:lang w:val="en-GB"/>
        </w:rPr>
        <w:t>Figure S</w:t>
      </w:r>
      <w:r w:rsidR="00DE38F1">
        <w:rPr>
          <w:rFonts w:ascii="Times New Roman" w:hAnsi="Times New Roman"/>
          <w:b/>
          <w:color w:val="000000"/>
          <w:lang w:val="en-GB"/>
        </w:rPr>
        <w:t>5</w:t>
      </w:r>
      <w:r w:rsidRPr="00CD008E">
        <w:rPr>
          <w:rFonts w:ascii="Times New Roman" w:hAnsi="Times New Roman"/>
          <w:b/>
          <w:color w:val="000000"/>
          <w:lang w:val="en-GB"/>
        </w:rPr>
        <w:t>.</w:t>
      </w:r>
      <w:r w:rsidRPr="00CD008E">
        <w:rPr>
          <w:rFonts w:ascii="Times New Roman" w:hAnsi="Times New Roman"/>
          <w:color w:val="000000"/>
          <w:lang w:val="en-GB"/>
        </w:rPr>
        <w:t xml:space="preserve"> Fluorescence intensities of main FDOM components (A, C, M and T) and their percentage composition:  in (A)-(D) April 2015 (IV’2015) and (E)-(H) September 2016 (IX’2016) (Drozdowska et al., 2017).</w:t>
      </w:r>
    </w:p>
    <w:p w14:paraId="673B4DB2" w14:textId="77777777" w:rsidR="001F585F" w:rsidRPr="00CD008E" w:rsidRDefault="001F585F" w:rsidP="001F585F">
      <w:pPr>
        <w:pStyle w:val="NoSpacing"/>
        <w:spacing w:line="360" w:lineRule="auto"/>
        <w:rPr>
          <w:lang w:val="en-GB"/>
        </w:rPr>
      </w:pPr>
    </w:p>
    <w:p w14:paraId="692094A1" w14:textId="77777777" w:rsidR="001F585F" w:rsidRPr="00CD008E" w:rsidRDefault="001F585F" w:rsidP="001F585F">
      <w:pPr>
        <w:pStyle w:val="NoSpacing"/>
        <w:spacing w:line="360" w:lineRule="auto"/>
        <w:rPr>
          <w:lang w:val="en-GB"/>
        </w:rPr>
      </w:pPr>
    </w:p>
    <w:p w14:paraId="21F2E511" w14:textId="77777777" w:rsidR="001F585F" w:rsidRPr="00CD008E" w:rsidRDefault="001F585F" w:rsidP="001F585F">
      <w:pPr>
        <w:spacing w:after="0" w:line="360" w:lineRule="auto"/>
        <w:rPr>
          <w:rFonts w:ascii="Times New Roman" w:hAnsi="Times New Roman"/>
          <w:color w:val="000000"/>
          <w:lang w:val="en-GB"/>
        </w:rPr>
      </w:pPr>
      <w:r w:rsidRPr="005A1059">
        <w:rPr>
          <w:rFonts w:ascii="Times New Roman" w:hAnsi="Times New Roman"/>
          <w:noProof/>
          <w:color w:val="000000"/>
          <w:lang w:val="hr-HR" w:eastAsia="hr-HR" w:bidi="ar-SA"/>
        </w:rPr>
        <w:lastRenderedPageBreak/>
        <w:drawing>
          <wp:inline distT="0" distB="0" distL="0" distR="0" wp14:anchorId="028F3151" wp14:editId="4A63961D">
            <wp:extent cx="3027045" cy="259524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7045" cy="2595245"/>
                    </a:xfrm>
                    <a:prstGeom prst="rect">
                      <a:avLst/>
                    </a:prstGeom>
                    <a:noFill/>
                    <a:ln>
                      <a:noFill/>
                    </a:ln>
                  </pic:spPr>
                </pic:pic>
              </a:graphicData>
            </a:graphic>
          </wp:inline>
        </w:drawing>
      </w:r>
    </w:p>
    <w:p w14:paraId="7E4A8B53" w14:textId="37B5F47A" w:rsidR="001F585F" w:rsidRPr="00595CAA" w:rsidRDefault="001F585F" w:rsidP="001F585F">
      <w:pPr>
        <w:spacing w:after="0" w:line="360" w:lineRule="auto"/>
        <w:rPr>
          <w:lang w:val="en-GB"/>
        </w:rPr>
      </w:pPr>
      <w:r w:rsidRPr="00CD008E">
        <w:rPr>
          <w:rFonts w:ascii="Times New Roman" w:hAnsi="Times New Roman"/>
          <w:b/>
          <w:color w:val="000000"/>
          <w:lang w:val="en-GB"/>
        </w:rPr>
        <w:t>Figure S</w:t>
      </w:r>
      <w:r w:rsidR="00DE38F1">
        <w:rPr>
          <w:rFonts w:ascii="Times New Roman" w:hAnsi="Times New Roman"/>
          <w:b/>
          <w:color w:val="000000"/>
          <w:lang w:val="en-GB"/>
        </w:rPr>
        <w:t>6</w:t>
      </w:r>
      <w:r w:rsidRPr="00CD008E">
        <w:rPr>
          <w:rFonts w:ascii="Times New Roman" w:hAnsi="Times New Roman"/>
          <w:b/>
          <w:color w:val="000000"/>
          <w:lang w:val="en-GB"/>
        </w:rPr>
        <w:t xml:space="preserve">. </w:t>
      </w:r>
      <w:r w:rsidRPr="00CD008E">
        <w:rPr>
          <w:rFonts w:ascii="Times New Roman" w:hAnsi="Times New Roman"/>
          <w:color w:val="000000"/>
          <w:lang w:val="en-GB"/>
        </w:rPr>
        <w:t>Correlation between SAS concentration a</w:t>
      </w:r>
      <w:r w:rsidRPr="006E1463">
        <w:rPr>
          <w:rFonts w:ascii="Times New Roman" w:hAnsi="Times New Roman"/>
          <w:color w:val="000000"/>
          <w:lang w:val="en-GB"/>
        </w:rPr>
        <w:t>nd the absorption coefficient at 254 nm (</w:t>
      </w:r>
      <w:r w:rsidRPr="006E1463">
        <w:rPr>
          <w:rFonts w:ascii="Times New Roman" w:hAnsi="Times New Roman"/>
          <w:color w:val="000000"/>
        </w:rPr>
        <w:t>a</w:t>
      </w:r>
      <w:r w:rsidRPr="006E1463">
        <w:rPr>
          <w:rFonts w:ascii="Times New Roman" w:hAnsi="Times New Roman"/>
          <w:color w:val="000000"/>
          <w:vertAlign w:val="subscript"/>
        </w:rPr>
        <w:t>CDOM</w:t>
      </w:r>
      <w:r w:rsidRPr="006E1463">
        <w:rPr>
          <w:rFonts w:ascii="Times New Roman" w:hAnsi="Times New Roman"/>
          <w:color w:val="000000"/>
        </w:rPr>
        <w:t xml:space="preserve"> (254)) in the SML (</w:t>
      </w:r>
      <w:r>
        <w:rPr>
          <w:rFonts w:ascii="Times New Roman" w:hAnsi="Times New Roman"/>
          <w:color w:val="000000"/>
        </w:rPr>
        <w:t xml:space="preserve">red </w:t>
      </w:r>
      <w:r w:rsidRPr="006E1463">
        <w:rPr>
          <w:rFonts w:ascii="Times New Roman" w:hAnsi="Times New Roman"/>
          <w:color w:val="000000"/>
        </w:rPr>
        <w:t>circle</w:t>
      </w:r>
      <w:r>
        <w:rPr>
          <w:rFonts w:ascii="Times New Roman" w:hAnsi="Times New Roman"/>
          <w:color w:val="000000"/>
        </w:rPr>
        <w:t>s</w:t>
      </w:r>
      <w:r w:rsidRPr="006E1463">
        <w:rPr>
          <w:rFonts w:ascii="Times New Roman" w:hAnsi="Times New Roman"/>
          <w:color w:val="000000"/>
        </w:rPr>
        <w:t>) and ULW (</w:t>
      </w:r>
      <w:r>
        <w:rPr>
          <w:rFonts w:ascii="Times New Roman" w:hAnsi="Times New Roman"/>
          <w:color w:val="000000"/>
        </w:rPr>
        <w:t xml:space="preserve">black </w:t>
      </w:r>
      <w:r w:rsidRPr="006E1463">
        <w:rPr>
          <w:rFonts w:ascii="Times New Roman" w:hAnsi="Times New Roman"/>
          <w:color w:val="000000"/>
        </w:rPr>
        <w:t>squares</w:t>
      </w:r>
      <w:r w:rsidRPr="006E1463">
        <w:rPr>
          <w:rFonts w:ascii="Times New Roman" w:hAnsi="Times New Roman"/>
          <w:color w:val="000000"/>
          <w:lang w:val="en-GB"/>
        </w:rPr>
        <w:t>).</w:t>
      </w:r>
    </w:p>
    <w:p w14:paraId="2F0AB86C" w14:textId="77777777" w:rsidR="001F585F" w:rsidRPr="001F585F" w:rsidRDefault="001F585F" w:rsidP="001F585F">
      <w:pPr>
        <w:pStyle w:val="NoSpacing"/>
        <w:rPr>
          <w:lang w:val="en-GB" w:bidi="en-US"/>
        </w:rPr>
      </w:pPr>
    </w:p>
    <w:sectPr w:rsidR="001F585F" w:rsidRPr="001F585F" w:rsidSect="00643E0B">
      <w:endnotePr>
        <w:numFmt w:val="decimal"/>
      </w:endnotePr>
      <w:type w:val="continuous"/>
      <w:pgSz w:w="11906" w:h="16838"/>
      <w:pgMar w:top="1418" w:right="1418" w:bottom="1418" w:left="1418"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753328" w14:textId="77777777" w:rsidR="001B49B5" w:rsidRDefault="001B49B5" w:rsidP="008A6B60">
      <w:pPr>
        <w:spacing w:after="0" w:line="240" w:lineRule="auto"/>
      </w:pPr>
      <w:r>
        <w:separator/>
      </w:r>
    </w:p>
  </w:endnote>
  <w:endnote w:type="continuationSeparator" w:id="0">
    <w:p w14:paraId="108D3E40" w14:textId="77777777" w:rsidR="001B49B5" w:rsidRDefault="001B49B5" w:rsidP="008A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haris sil">
    <w:altName w:val="Arial"/>
    <w:panose1 w:val="00000000000000000000"/>
    <w:charset w:val="00"/>
    <w:family w:val="swiss"/>
    <w:notTrueType/>
    <w:pitch w:val="default"/>
    <w:sig w:usb0="00000003" w:usb1="00000000" w:usb2="00000000" w:usb3="00000000" w:csb0="00000001" w:csb1="00000000"/>
  </w:font>
  <w:font w:name="AdvTimes">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BB1287" w14:textId="0E7F664B" w:rsidR="003B6C83" w:rsidRDefault="003B6C83">
    <w:pPr>
      <w:pStyle w:val="Footer"/>
      <w:jc w:val="center"/>
    </w:pPr>
    <w:r>
      <w:fldChar w:fldCharType="begin"/>
    </w:r>
    <w:r>
      <w:instrText xml:space="preserve"> PAGE   \* MERGEFORMAT </w:instrText>
    </w:r>
    <w:r>
      <w:fldChar w:fldCharType="separate"/>
    </w:r>
    <w:r w:rsidR="00B91574">
      <w:rPr>
        <w:noProof/>
      </w:rPr>
      <w:t>4</w:t>
    </w:r>
    <w:r>
      <w:rPr>
        <w:noProof/>
      </w:rPr>
      <w:fldChar w:fldCharType="end"/>
    </w:r>
  </w:p>
  <w:p w14:paraId="17C280D7" w14:textId="77777777" w:rsidR="003B6C83" w:rsidRDefault="003B6C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50CCF3" w14:textId="77777777" w:rsidR="001B49B5" w:rsidRDefault="001B49B5" w:rsidP="008A6B60">
      <w:pPr>
        <w:spacing w:after="0" w:line="240" w:lineRule="auto"/>
      </w:pPr>
      <w:r>
        <w:separator/>
      </w:r>
    </w:p>
  </w:footnote>
  <w:footnote w:type="continuationSeparator" w:id="0">
    <w:p w14:paraId="0109434F" w14:textId="77777777" w:rsidR="001B49B5" w:rsidRDefault="001B49B5" w:rsidP="008A6B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15501"/>
    <w:multiLevelType w:val="multilevel"/>
    <w:tmpl w:val="C03A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D953B7"/>
    <w:multiLevelType w:val="hybridMultilevel"/>
    <w:tmpl w:val="3EE679A8"/>
    <w:lvl w:ilvl="0" w:tplc="715C463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E947B0"/>
    <w:multiLevelType w:val="hybridMultilevel"/>
    <w:tmpl w:val="E59ACA52"/>
    <w:lvl w:ilvl="0" w:tplc="715C4638">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8CC1CC8"/>
    <w:multiLevelType w:val="multilevel"/>
    <w:tmpl w:val="9612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7541B6"/>
    <w:multiLevelType w:val="hybridMultilevel"/>
    <w:tmpl w:val="3BB61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C9108E6"/>
    <w:multiLevelType w:val="hybridMultilevel"/>
    <w:tmpl w:val="EE92F62E"/>
    <w:lvl w:ilvl="0" w:tplc="C54ED5C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activeWritingStyle w:appName="MSWord" w:lang="en-GB" w:vendorID="64" w:dllVersion="0" w:nlCheck="1" w:checkStyle="1"/>
  <w:activeWritingStyle w:appName="MSWord" w:lang="en-GB"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EDD"/>
    <w:rsid w:val="00000B50"/>
    <w:rsid w:val="00000B5A"/>
    <w:rsid w:val="00000BC8"/>
    <w:rsid w:val="00002043"/>
    <w:rsid w:val="00002638"/>
    <w:rsid w:val="00002AC7"/>
    <w:rsid w:val="000033A9"/>
    <w:rsid w:val="00003749"/>
    <w:rsid w:val="00003F57"/>
    <w:rsid w:val="0000485B"/>
    <w:rsid w:val="00007517"/>
    <w:rsid w:val="00007EA7"/>
    <w:rsid w:val="000107D7"/>
    <w:rsid w:val="00012D07"/>
    <w:rsid w:val="00015AA1"/>
    <w:rsid w:val="00015CD8"/>
    <w:rsid w:val="000160E3"/>
    <w:rsid w:val="00016395"/>
    <w:rsid w:val="00016C74"/>
    <w:rsid w:val="00017DF4"/>
    <w:rsid w:val="00023865"/>
    <w:rsid w:val="00024A6B"/>
    <w:rsid w:val="00024C66"/>
    <w:rsid w:val="00024CB8"/>
    <w:rsid w:val="0002507F"/>
    <w:rsid w:val="00025E5A"/>
    <w:rsid w:val="000269E1"/>
    <w:rsid w:val="00033559"/>
    <w:rsid w:val="00034812"/>
    <w:rsid w:val="0003594A"/>
    <w:rsid w:val="00037075"/>
    <w:rsid w:val="00037847"/>
    <w:rsid w:val="0004072F"/>
    <w:rsid w:val="000412E5"/>
    <w:rsid w:val="00042947"/>
    <w:rsid w:val="00043788"/>
    <w:rsid w:val="00045C51"/>
    <w:rsid w:val="00047115"/>
    <w:rsid w:val="00047C1C"/>
    <w:rsid w:val="00047D15"/>
    <w:rsid w:val="00050515"/>
    <w:rsid w:val="00050D71"/>
    <w:rsid w:val="00052325"/>
    <w:rsid w:val="00052DBD"/>
    <w:rsid w:val="00053EF0"/>
    <w:rsid w:val="00054F64"/>
    <w:rsid w:val="00055549"/>
    <w:rsid w:val="0005602A"/>
    <w:rsid w:val="00056628"/>
    <w:rsid w:val="00056F1F"/>
    <w:rsid w:val="0005770A"/>
    <w:rsid w:val="0006065D"/>
    <w:rsid w:val="0006200D"/>
    <w:rsid w:val="0006227E"/>
    <w:rsid w:val="0006282A"/>
    <w:rsid w:val="00062FA3"/>
    <w:rsid w:val="0006488A"/>
    <w:rsid w:val="000655B1"/>
    <w:rsid w:val="00065CAE"/>
    <w:rsid w:val="00065F94"/>
    <w:rsid w:val="0006675B"/>
    <w:rsid w:val="00067B7F"/>
    <w:rsid w:val="00067C8D"/>
    <w:rsid w:val="000700B7"/>
    <w:rsid w:val="00070BCC"/>
    <w:rsid w:val="00070FE1"/>
    <w:rsid w:val="00071670"/>
    <w:rsid w:val="0007201A"/>
    <w:rsid w:val="000728DE"/>
    <w:rsid w:val="00073539"/>
    <w:rsid w:val="00073639"/>
    <w:rsid w:val="0007388D"/>
    <w:rsid w:val="00075936"/>
    <w:rsid w:val="00076676"/>
    <w:rsid w:val="00076BC1"/>
    <w:rsid w:val="000805D8"/>
    <w:rsid w:val="0008227F"/>
    <w:rsid w:val="000823BC"/>
    <w:rsid w:val="000838B9"/>
    <w:rsid w:val="000839A5"/>
    <w:rsid w:val="00083BE8"/>
    <w:rsid w:val="00083D16"/>
    <w:rsid w:val="000848C4"/>
    <w:rsid w:val="00085FF8"/>
    <w:rsid w:val="000901D9"/>
    <w:rsid w:val="00090869"/>
    <w:rsid w:val="00090E30"/>
    <w:rsid w:val="00093CE9"/>
    <w:rsid w:val="00093EA3"/>
    <w:rsid w:val="00093F12"/>
    <w:rsid w:val="00093F83"/>
    <w:rsid w:val="00094A79"/>
    <w:rsid w:val="00096AE2"/>
    <w:rsid w:val="000A136D"/>
    <w:rsid w:val="000A2B23"/>
    <w:rsid w:val="000A4E19"/>
    <w:rsid w:val="000A508C"/>
    <w:rsid w:val="000A521B"/>
    <w:rsid w:val="000A554C"/>
    <w:rsid w:val="000A615C"/>
    <w:rsid w:val="000A6368"/>
    <w:rsid w:val="000A68C4"/>
    <w:rsid w:val="000A6F6F"/>
    <w:rsid w:val="000A7F40"/>
    <w:rsid w:val="000B13D2"/>
    <w:rsid w:val="000B23B6"/>
    <w:rsid w:val="000B274C"/>
    <w:rsid w:val="000B3D3B"/>
    <w:rsid w:val="000B5C56"/>
    <w:rsid w:val="000B7EB0"/>
    <w:rsid w:val="000C0097"/>
    <w:rsid w:val="000C028B"/>
    <w:rsid w:val="000C0C72"/>
    <w:rsid w:val="000C1C69"/>
    <w:rsid w:val="000C5933"/>
    <w:rsid w:val="000C64A9"/>
    <w:rsid w:val="000C6600"/>
    <w:rsid w:val="000D0062"/>
    <w:rsid w:val="000D17A0"/>
    <w:rsid w:val="000D2403"/>
    <w:rsid w:val="000D24AB"/>
    <w:rsid w:val="000D4A8F"/>
    <w:rsid w:val="000D642C"/>
    <w:rsid w:val="000D68C0"/>
    <w:rsid w:val="000D7A34"/>
    <w:rsid w:val="000E21F0"/>
    <w:rsid w:val="000E4640"/>
    <w:rsid w:val="000E577F"/>
    <w:rsid w:val="000E5795"/>
    <w:rsid w:val="000E7B35"/>
    <w:rsid w:val="000F0675"/>
    <w:rsid w:val="000F4A03"/>
    <w:rsid w:val="000F523A"/>
    <w:rsid w:val="000F7604"/>
    <w:rsid w:val="00102EB2"/>
    <w:rsid w:val="00102FD3"/>
    <w:rsid w:val="0010543C"/>
    <w:rsid w:val="00105475"/>
    <w:rsid w:val="001064B2"/>
    <w:rsid w:val="001067B2"/>
    <w:rsid w:val="00106D3F"/>
    <w:rsid w:val="00111A22"/>
    <w:rsid w:val="0011217B"/>
    <w:rsid w:val="001125D1"/>
    <w:rsid w:val="0011396D"/>
    <w:rsid w:val="0012075F"/>
    <w:rsid w:val="00120A2C"/>
    <w:rsid w:val="00122AF7"/>
    <w:rsid w:val="001231DE"/>
    <w:rsid w:val="00125924"/>
    <w:rsid w:val="00127599"/>
    <w:rsid w:val="001309D0"/>
    <w:rsid w:val="00130CBC"/>
    <w:rsid w:val="00130E2E"/>
    <w:rsid w:val="001322D8"/>
    <w:rsid w:val="0013511D"/>
    <w:rsid w:val="00137909"/>
    <w:rsid w:val="0014302D"/>
    <w:rsid w:val="00143F9C"/>
    <w:rsid w:val="0014538E"/>
    <w:rsid w:val="0014550E"/>
    <w:rsid w:val="00146633"/>
    <w:rsid w:val="001469B1"/>
    <w:rsid w:val="00147047"/>
    <w:rsid w:val="00147A9E"/>
    <w:rsid w:val="0015071E"/>
    <w:rsid w:val="00150D83"/>
    <w:rsid w:val="00152259"/>
    <w:rsid w:val="00152743"/>
    <w:rsid w:val="00152785"/>
    <w:rsid w:val="00152AD4"/>
    <w:rsid w:val="00154B17"/>
    <w:rsid w:val="00155368"/>
    <w:rsid w:val="0015671E"/>
    <w:rsid w:val="001579FB"/>
    <w:rsid w:val="0016080A"/>
    <w:rsid w:val="00160D03"/>
    <w:rsid w:val="00163572"/>
    <w:rsid w:val="001643BF"/>
    <w:rsid w:val="001656D6"/>
    <w:rsid w:val="00166454"/>
    <w:rsid w:val="001672C5"/>
    <w:rsid w:val="001718BE"/>
    <w:rsid w:val="0017410E"/>
    <w:rsid w:val="00175CEB"/>
    <w:rsid w:val="00176DB3"/>
    <w:rsid w:val="00177271"/>
    <w:rsid w:val="0018266C"/>
    <w:rsid w:val="00183CBA"/>
    <w:rsid w:val="0018488B"/>
    <w:rsid w:val="00185184"/>
    <w:rsid w:val="00185847"/>
    <w:rsid w:val="0018620F"/>
    <w:rsid w:val="001876A6"/>
    <w:rsid w:val="001879D6"/>
    <w:rsid w:val="00190E9E"/>
    <w:rsid w:val="001910E4"/>
    <w:rsid w:val="001924E9"/>
    <w:rsid w:val="00193462"/>
    <w:rsid w:val="00194784"/>
    <w:rsid w:val="001962D4"/>
    <w:rsid w:val="001965F4"/>
    <w:rsid w:val="001A17A5"/>
    <w:rsid w:val="001A1D21"/>
    <w:rsid w:val="001A200E"/>
    <w:rsid w:val="001A2990"/>
    <w:rsid w:val="001A34C8"/>
    <w:rsid w:val="001A432B"/>
    <w:rsid w:val="001A4C52"/>
    <w:rsid w:val="001A5B0F"/>
    <w:rsid w:val="001A5D96"/>
    <w:rsid w:val="001A5FFE"/>
    <w:rsid w:val="001A6817"/>
    <w:rsid w:val="001A6D83"/>
    <w:rsid w:val="001B01E3"/>
    <w:rsid w:val="001B0A51"/>
    <w:rsid w:val="001B0BAF"/>
    <w:rsid w:val="001B19BD"/>
    <w:rsid w:val="001B397C"/>
    <w:rsid w:val="001B4354"/>
    <w:rsid w:val="001B49B5"/>
    <w:rsid w:val="001B4E21"/>
    <w:rsid w:val="001B6003"/>
    <w:rsid w:val="001B7CD0"/>
    <w:rsid w:val="001C075A"/>
    <w:rsid w:val="001C0893"/>
    <w:rsid w:val="001C0ED8"/>
    <w:rsid w:val="001C22D5"/>
    <w:rsid w:val="001C2806"/>
    <w:rsid w:val="001C3043"/>
    <w:rsid w:val="001C4389"/>
    <w:rsid w:val="001C4500"/>
    <w:rsid w:val="001C4970"/>
    <w:rsid w:val="001C5106"/>
    <w:rsid w:val="001C5534"/>
    <w:rsid w:val="001C79E2"/>
    <w:rsid w:val="001D042D"/>
    <w:rsid w:val="001D0813"/>
    <w:rsid w:val="001D0BD2"/>
    <w:rsid w:val="001D4AAC"/>
    <w:rsid w:val="001D5223"/>
    <w:rsid w:val="001D6ABC"/>
    <w:rsid w:val="001D6B8D"/>
    <w:rsid w:val="001D7186"/>
    <w:rsid w:val="001E00D1"/>
    <w:rsid w:val="001E05F6"/>
    <w:rsid w:val="001E291A"/>
    <w:rsid w:val="001E2C28"/>
    <w:rsid w:val="001E34C4"/>
    <w:rsid w:val="001E44D4"/>
    <w:rsid w:val="001F0319"/>
    <w:rsid w:val="001F041F"/>
    <w:rsid w:val="001F270A"/>
    <w:rsid w:val="001F30F3"/>
    <w:rsid w:val="001F4209"/>
    <w:rsid w:val="001F57A3"/>
    <w:rsid w:val="001F585F"/>
    <w:rsid w:val="001F7A37"/>
    <w:rsid w:val="00201F09"/>
    <w:rsid w:val="00203BB8"/>
    <w:rsid w:val="00203DFE"/>
    <w:rsid w:val="0020503B"/>
    <w:rsid w:val="00205651"/>
    <w:rsid w:val="002079E6"/>
    <w:rsid w:val="00216C3C"/>
    <w:rsid w:val="002178C1"/>
    <w:rsid w:val="002214F7"/>
    <w:rsid w:val="0022219F"/>
    <w:rsid w:val="002235D2"/>
    <w:rsid w:val="002237ED"/>
    <w:rsid w:val="00231B63"/>
    <w:rsid w:val="00232499"/>
    <w:rsid w:val="00233BC9"/>
    <w:rsid w:val="00233F01"/>
    <w:rsid w:val="0023579E"/>
    <w:rsid w:val="00235D36"/>
    <w:rsid w:val="00236AEE"/>
    <w:rsid w:val="0024107B"/>
    <w:rsid w:val="002426F9"/>
    <w:rsid w:val="00242ADD"/>
    <w:rsid w:val="00242D06"/>
    <w:rsid w:val="0024487E"/>
    <w:rsid w:val="00245690"/>
    <w:rsid w:val="00246839"/>
    <w:rsid w:val="002472AC"/>
    <w:rsid w:val="002504D2"/>
    <w:rsid w:val="00250D87"/>
    <w:rsid w:val="00251633"/>
    <w:rsid w:val="00252829"/>
    <w:rsid w:val="00252D05"/>
    <w:rsid w:val="002535F3"/>
    <w:rsid w:val="002545C4"/>
    <w:rsid w:val="00256D10"/>
    <w:rsid w:val="002574FF"/>
    <w:rsid w:val="0025755E"/>
    <w:rsid w:val="00260660"/>
    <w:rsid w:val="00260F5F"/>
    <w:rsid w:val="00261524"/>
    <w:rsid w:val="0026234E"/>
    <w:rsid w:val="00262BFB"/>
    <w:rsid w:val="002634A7"/>
    <w:rsid w:val="00266876"/>
    <w:rsid w:val="00270480"/>
    <w:rsid w:val="00270CA5"/>
    <w:rsid w:val="00272747"/>
    <w:rsid w:val="00274BCF"/>
    <w:rsid w:val="00274F55"/>
    <w:rsid w:val="002758E8"/>
    <w:rsid w:val="00275A6B"/>
    <w:rsid w:val="00276B3D"/>
    <w:rsid w:val="00281F84"/>
    <w:rsid w:val="00282BEA"/>
    <w:rsid w:val="00283D5D"/>
    <w:rsid w:val="00284862"/>
    <w:rsid w:val="00285A84"/>
    <w:rsid w:val="002863EF"/>
    <w:rsid w:val="00286839"/>
    <w:rsid w:val="00286A1A"/>
    <w:rsid w:val="002909F6"/>
    <w:rsid w:val="00290BA4"/>
    <w:rsid w:val="00293AFA"/>
    <w:rsid w:val="00294734"/>
    <w:rsid w:val="00294B33"/>
    <w:rsid w:val="0029692D"/>
    <w:rsid w:val="002A1C98"/>
    <w:rsid w:val="002A39BB"/>
    <w:rsid w:val="002A4A39"/>
    <w:rsid w:val="002A520C"/>
    <w:rsid w:val="002A5358"/>
    <w:rsid w:val="002A7508"/>
    <w:rsid w:val="002B05FF"/>
    <w:rsid w:val="002B0908"/>
    <w:rsid w:val="002B1546"/>
    <w:rsid w:val="002B23C8"/>
    <w:rsid w:val="002B2B18"/>
    <w:rsid w:val="002B31C4"/>
    <w:rsid w:val="002B40BB"/>
    <w:rsid w:val="002B4142"/>
    <w:rsid w:val="002B4651"/>
    <w:rsid w:val="002B7E8B"/>
    <w:rsid w:val="002C0BCF"/>
    <w:rsid w:val="002C1987"/>
    <w:rsid w:val="002C1CD4"/>
    <w:rsid w:val="002C1F69"/>
    <w:rsid w:val="002C201B"/>
    <w:rsid w:val="002C355C"/>
    <w:rsid w:val="002C5A0F"/>
    <w:rsid w:val="002C65DF"/>
    <w:rsid w:val="002C706B"/>
    <w:rsid w:val="002D0B2F"/>
    <w:rsid w:val="002D235D"/>
    <w:rsid w:val="002D330A"/>
    <w:rsid w:val="002D4215"/>
    <w:rsid w:val="002D549B"/>
    <w:rsid w:val="002D54FA"/>
    <w:rsid w:val="002D6BD3"/>
    <w:rsid w:val="002E1506"/>
    <w:rsid w:val="002E1F2A"/>
    <w:rsid w:val="002E3598"/>
    <w:rsid w:val="002E3ABA"/>
    <w:rsid w:val="002E5E26"/>
    <w:rsid w:val="002E6E86"/>
    <w:rsid w:val="002F3383"/>
    <w:rsid w:val="002F3FED"/>
    <w:rsid w:val="002F4994"/>
    <w:rsid w:val="002F53FC"/>
    <w:rsid w:val="002F562C"/>
    <w:rsid w:val="002F5ED6"/>
    <w:rsid w:val="002F5F65"/>
    <w:rsid w:val="002F6B69"/>
    <w:rsid w:val="0030044B"/>
    <w:rsid w:val="00300F8B"/>
    <w:rsid w:val="00301004"/>
    <w:rsid w:val="003012E1"/>
    <w:rsid w:val="003015EF"/>
    <w:rsid w:val="00303874"/>
    <w:rsid w:val="00304494"/>
    <w:rsid w:val="0030453A"/>
    <w:rsid w:val="00304AD9"/>
    <w:rsid w:val="00305887"/>
    <w:rsid w:val="00306EF6"/>
    <w:rsid w:val="00307006"/>
    <w:rsid w:val="00307430"/>
    <w:rsid w:val="00310FB7"/>
    <w:rsid w:val="00311062"/>
    <w:rsid w:val="003141B8"/>
    <w:rsid w:val="00315552"/>
    <w:rsid w:val="00315D41"/>
    <w:rsid w:val="00317540"/>
    <w:rsid w:val="00317D85"/>
    <w:rsid w:val="00317FF7"/>
    <w:rsid w:val="00321644"/>
    <w:rsid w:val="003219BC"/>
    <w:rsid w:val="00324201"/>
    <w:rsid w:val="00324882"/>
    <w:rsid w:val="00324D6A"/>
    <w:rsid w:val="00325596"/>
    <w:rsid w:val="003258B8"/>
    <w:rsid w:val="00325BFD"/>
    <w:rsid w:val="0032650F"/>
    <w:rsid w:val="003267D8"/>
    <w:rsid w:val="00327534"/>
    <w:rsid w:val="00332515"/>
    <w:rsid w:val="0033320D"/>
    <w:rsid w:val="003342B8"/>
    <w:rsid w:val="0033584A"/>
    <w:rsid w:val="0033726D"/>
    <w:rsid w:val="00337C5A"/>
    <w:rsid w:val="00342617"/>
    <w:rsid w:val="0034456E"/>
    <w:rsid w:val="00346B3E"/>
    <w:rsid w:val="00347745"/>
    <w:rsid w:val="003479BD"/>
    <w:rsid w:val="0035244E"/>
    <w:rsid w:val="0035397A"/>
    <w:rsid w:val="00354BC2"/>
    <w:rsid w:val="003571C8"/>
    <w:rsid w:val="00361838"/>
    <w:rsid w:val="00363D17"/>
    <w:rsid w:val="00363FB2"/>
    <w:rsid w:val="00365AEC"/>
    <w:rsid w:val="00365E69"/>
    <w:rsid w:val="0036775D"/>
    <w:rsid w:val="003708E0"/>
    <w:rsid w:val="00370DB6"/>
    <w:rsid w:val="00371061"/>
    <w:rsid w:val="0037158E"/>
    <w:rsid w:val="00373741"/>
    <w:rsid w:val="00373D61"/>
    <w:rsid w:val="00374027"/>
    <w:rsid w:val="0037432C"/>
    <w:rsid w:val="003743D4"/>
    <w:rsid w:val="00376456"/>
    <w:rsid w:val="00380186"/>
    <w:rsid w:val="003805D2"/>
    <w:rsid w:val="00380A35"/>
    <w:rsid w:val="00380D85"/>
    <w:rsid w:val="00381A64"/>
    <w:rsid w:val="0038467F"/>
    <w:rsid w:val="00384E06"/>
    <w:rsid w:val="003868E0"/>
    <w:rsid w:val="003871CD"/>
    <w:rsid w:val="00387DC2"/>
    <w:rsid w:val="003927B1"/>
    <w:rsid w:val="003932C5"/>
    <w:rsid w:val="003949D1"/>
    <w:rsid w:val="00394A78"/>
    <w:rsid w:val="003953EC"/>
    <w:rsid w:val="00397306"/>
    <w:rsid w:val="00397AFA"/>
    <w:rsid w:val="003A07E1"/>
    <w:rsid w:val="003A0AD8"/>
    <w:rsid w:val="003A2F59"/>
    <w:rsid w:val="003A3B4B"/>
    <w:rsid w:val="003A3CBD"/>
    <w:rsid w:val="003A5AA6"/>
    <w:rsid w:val="003B0599"/>
    <w:rsid w:val="003B0A94"/>
    <w:rsid w:val="003B0F1C"/>
    <w:rsid w:val="003B28FA"/>
    <w:rsid w:val="003B2A47"/>
    <w:rsid w:val="003B3722"/>
    <w:rsid w:val="003B6C83"/>
    <w:rsid w:val="003B6CDE"/>
    <w:rsid w:val="003B7E53"/>
    <w:rsid w:val="003C0D23"/>
    <w:rsid w:val="003C22C7"/>
    <w:rsid w:val="003C260D"/>
    <w:rsid w:val="003C288A"/>
    <w:rsid w:val="003C4F25"/>
    <w:rsid w:val="003C54CD"/>
    <w:rsid w:val="003D1B68"/>
    <w:rsid w:val="003D239B"/>
    <w:rsid w:val="003D5295"/>
    <w:rsid w:val="003D6E48"/>
    <w:rsid w:val="003D796C"/>
    <w:rsid w:val="003E1452"/>
    <w:rsid w:val="003E16F5"/>
    <w:rsid w:val="003E237D"/>
    <w:rsid w:val="003E24C8"/>
    <w:rsid w:val="003E26CB"/>
    <w:rsid w:val="003E488E"/>
    <w:rsid w:val="003E4CDD"/>
    <w:rsid w:val="003E5E21"/>
    <w:rsid w:val="003F0348"/>
    <w:rsid w:val="003F066E"/>
    <w:rsid w:val="003F1550"/>
    <w:rsid w:val="003F1F89"/>
    <w:rsid w:val="003F22B1"/>
    <w:rsid w:val="003F3019"/>
    <w:rsid w:val="003F4AF9"/>
    <w:rsid w:val="003F5D75"/>
    <w:rsid w:val="003F63E9"/>
    <w:rsid w:val="003F6C8F"/>
    <w:rsid w:val="003F73DD"/>
    <w:rsid w:val="003F7A2B"/>
    <w:rsid w:val="003F7B2C"/>
    <w:rsid w:val="00400B4A"/>
    <w:rsid w:val="00400C0F"/>
    <w:rsid w:val="00402936"/>
    <w:rsid w:val="004029B2"/>
    <w:rsid w:val="00402E40"/>
    <w:rsid w:val="004032D0"/>
    <w:rsid w:val="004034CB"/>
    <w:rsid w:val="00403B14"/>
    <w:rsid w:val="00404286"/>
    <w:rsid w:val="0040667C"/>
    <w:rsid w:val="00414077"/>
    <w:rsid w:val="00415797"/>
    <w:rsid w:val="004158FB"/>
    <w:rsid w:val="004200F1"/>
    <w:rsid w:val="004215BA"/>
    <w:rsid w:val="00421828"/>
    <w:rsid w:val="00423484"/>
    <w:rsid w:val="004275A8"/>
    <w:rsid w:val="0042768E"/>
    <w:rsid w:val="0042790B"/>
    <w:rsid w:val="00431525"/>
    <w:rsid w:val="00431FAD"/>
    <w:rsid w:val="00432D7D"/>
    <w:rsid w:val="004337F5"/>
    <w:rsid w:val="0043420F"/>
    <w:rsid w:val="004347BE"/>
    <w:rsid w:val="00434AB4"/>
    <w:rsid w:val="00436610"/>
    <w:rsid w:val="004372E3"/>
    <w:rsid w:val="004403EE"/>
    <w:rsid w:val="00441B36"/>
    <w:rsid w:val="00442B41"/>
    <w:rsid w:val="004463C4"/>
    <w:rsid w:val="00451618"/>
    <w:rsid w:val="0046031D"/>
    <w:rsid w:val="00462237"/>
    <w:rsid w:val="00463889"/>
    <w:rsid w:val="00464800"/>
    <w:rsid w:val="00465EC6"/>
    <w:rsid w:val="00466F55"/>
    <w:rsid w:val="00467428"/>
    <w:rsid w:val="004677B1"/>
    <w:rsid w:val="004677E4"/>
    <w:rsid w:val="00471A9F"/>
    <w:rsid w:val="00472B2B"/>
    <w:rsid w:val="0047597D"/>
    <w:rsid w:val="004765AB"/>
    <w:rsid w:val="00480D03"/>
    <w:rsid w:val="0048130D"/>
    <w:rsid w:val="00483182"/>
    <w:rsid w:val="00486807"/>
    <w:rsid w:val="00487FF8"/>
    <w:rsid w:val="004911BC"/>
    <w:rsid w:val="00491261"/>
    <w:rsid w:val="00491572"/>
    <w:rsid w:val="004938FE"/>
    <w:rsid w:val="00495E67"/>
    <w:rsid w:val="004971A1"/>
    <w:rsid w:val="004A2325"/>
    <w:rsid w:val="004A239D"/>
    <w:rsid w:val="004A2ED3"/>
    <w:rsid w:val="004A375F"/>
    <w:rsid w:val="004A3E4A"/>
    <w:rsid w:val="004A4208"/>
    <w:rsid w:val="004A6D35"/>
    <w:rsid w:val="004B0F3D"/>
    <w:rsid w:val="004B1B77"/>
    <w:rsid w:val="004B1FE2"/>
    <w:rsid w:val="004B3B4F"/>
    <w:rsid w:val="004B42E8"/>
    <w:rsid w:val="004B639F"/>
    <w:rsid w:val="004B7753"/>
    <w:rsid w:val="004B79D3"/>
    <w:rsid w:val="004B7C24"/>
    <w:rsid w:val="004C06A2"/>
    <w:rsid w:val="004C36A4"/>
    <w:rsid w:val="004C42D9"/>
    <w:rsid w:val="004C4C69"/>
    <w:rsid w:val="004C5B12"/>
    <w:rsid w:val="004C6064"/>
    <w:rsid w:val="004D1D22"/>
    <w:rsid w:val="004D22A5"/>
    <w:rsid w:val="004D3827"/>
    <w:rsid w:val="004D4205"/>
    <w:rsid w:val="004D57F0"/>
    <w:rsid w:val="004D7647"/>
    <w:rsid w:val="004D7EF4"/>
    <w:rsid w:val="004E087D"/>
    <w:rsid w:val="004E1AFC"/>
    <w:rsid w:val="004E251A"/>
    <w:rsid w:val="004E2C15"/>
    <w:rsid w:val="004E3282"/>
    <w:rsid w:val="004E484A"/>
    <w:rsid w:val="004E511D"/>
    <w:rsid w:val="004F2984"/>
    <w:rsid w:val="004F3E6C"/>
    <w:rsid w:val="004F45EA"/>
    <w:rsid w:val="004F4854"/>
    <w:rsid w:val="004F5446"/>
    <w:rsid w:val="004F6749"/>
    <w:rsid w:val="004F71DE"/>
    <w:rsid w:val="005011E9"/>
    <w:rsid w:val="0050131D"/>
    <w:rsid w:val="00501D50"/>
    <w:rsid w:val="00502FE6"/>
    <w:rsid w:val="00503757"/>
    <w:rsid w:val="00503772"/>
    <w:rsid w:val="005073B9"/>
    <w:rsid w:val="00507948"/>
    <w:rsid w:val="0051145F"/>
    <w:rsid w:val="00512517"/>
    <w:rsid w:val="00512FAD"/>
    <w:rsid w:val="00513C29"/>
    <w:rsid w:val="00514F39"/>
    <w:rsid w:val="0051538F"/>
    <w:rsid w:val="005208B1"/>
    <w:rsid w:val="00522F20"/>
    <w:rsid w:val="00525B5A"/>
    <w:rsid w:val="005262F1"/>
    <w:rsid w:val="00527212"/>
    <w:rsid w:val="005275BD"/>
    <w:rsid w:val="00532733"/>
    <w:rsid w:val="0053293E"/>
    <w:rsid w:val="005379F1"/>
    <w:rsid w:val="00537DCA"/>
    <w:rsid w:val="00540FF9"/>
    <w:rsid w:val="0054123A"/>
    <w:rsid w:val="00543414"/>
    <w:rsid w:val="005440D0"/>
    <w:rsid w:val="005456F2"/>
    <w:rsid w:val="005467DB"/>
    <w:rsid w:val="00546CB1"/>
    <w:rsid w:val="0054788B"/>
    <w:rsid w:val="00550842"/>
    <w:rsid w:val="00552D42"/>
    <w:rsid w:val="00553D3E"/>
    <w:rsid w:val="0055455C"/>
    <w:rsid w:val="0055602E"/>
    <w:rsid w:val="00556215"/>
    <w:rsid w:val="0055729C"/>
    <w:rsid w:val="005574D2"/>
    <w:rsid w:val="00560A34"/>
    <w:rsid w:val="00560ADA"/>
    <w:rsid w:val="00560B02"/>
    <w:rsid w:val="00560EFD"/>
    <w:rsid w:val="00561E85"/>
    <w:rsid w:val="00561FBC"/>
    <w:rsid w:val="00563E7C"/>
    <w:rsid w:val="0056445D"/>
    <w:rsid w:val="00565454"/>
    <w:rsid w:val="00572348"/>
    <w:rsid w:val="0057236B"/>
    <w:rsid w:val="005756B0"/>
    <w:rsid w:val="00575902"/>
    <w:rsid w:val="00575A4A"/>
    <w:rsid w:val="005760AC"/>
    <w:rsid w:val="0057656E"/>
    <w:rsid w:val="00576591"/>
    <w:rsid w:val="005774E2"/>
    <w:rsid w:val="00577B20"/>
    <w:rsid w:val="00577E1C"/>
    <w:rsid w:val="00582FDA"/>
    <w:rsid w:val="00583A1F"/>
    <w:rsid w:val="00583EFC"/>
    <w:rsid w:val="00584453"/>
    <w:rsid w:val="005859BF"/>
    <w:rsid w:val="0058734E"/>
    <w:rsid w:val="00592321"/>
    <w:rsid w:val="00593F31"/>
    <w:rsid w:val="005949A2"/>
    <w:rsid w:val="00594A38"/>
    <w:rsid w:val="00595542"/>
    <w:rsid w:val="005A06B0"/>
    <w:rsid w:val="005A1B9C"/>
    <w:rsid w:val="005A2596"/>
    <w:rsid w:val="005A28E9"/>
    <w:rsid w:val="005A3498"/>
    <w:rsid w:val="005A4571"/>
    <w:rsid w:val="005A5124"/>
    <w:rsid w:val="005A53C3"/>
    <w:rsid w:val="005A5745"/>
    <w:rsid w:val="005A5A16"/>
    <w:rsid w:val="005A6DD9"/>
    <w:rsid w:val="005A7858"/>
    <w:rsid w:val="005B0DA9"/>
    <w:rsid w:val="005B37BF"/>
    <w:rsid w:val="005B4383"/>
    <w:rsid w:val="005B5580"/>
    <w:rsid w:val="005B677A"/>
    <w:rsid w:val="005C160E"/>
    <w:rsid w:val="005C1B1A"/>
    <w:rsid w:val="005C267D"/>
    <w:rsid w:val="005C59CD"/>
    <w:rsid w:val="005C68A5"/>
    <w:rsid w:val="005C7755"/>
    <w:rsid w:val="005C781D"/>
    <w:rsid w:val="005D0BBB"/>
    <w:rsid w:val="005D10F2"/>
    <w:rsid w:val="005D1804"/>
    <w:rsid w:val="005D6BA8"/>
    <w:rsid w:val="005D740F"/>
    <w:rsid w:val="005D7418"/>
    <w:rsid w:val="005E02D7"/>
    <w:rsid w:val="005E0532"/>
    <w:rsid w:val="005E073B"/>
    <w:rsid w:val="005E0AB5"/>
    <w:rsid w:val="005E1309"/>
    <w:rsid w:val="005E4D06"/>
    <w:rsid w:val="005E5C1C"/>
    <w:rsid w:val="005E5CB2"/>
    <w:rsid w:val="005F6C6A"/>
    <w:rsid w:val="0060149A"/>
    <w:rsid w:val="006016C2"/>
    <w:rsid w:val="00602401"/>
    <w:rsid w:val="00602512"/>
    <w:rsid w:val="0060264E"/>
    <w:rsid w:val="00603FBE"/>
    <w:rsid w:val="00605325"/>
    <w:rsid w:val="006058A4"/>
    <w:rsid w:val="00605CCE"/>
    <w:rsid w:val="00607ADC"/>
    <w:rsid w:val="00611FA0"/>
    <w:rsid w:val="006130E1"/>
    <w:rsid w:val="006168A9"/>
    <w:rsid w:val="00620168"/>
    <w:rsid w:val="006209AD"/>
    <w:rsid w:val="0062273A"/>
    <w:rsid w:val="00623A6C"/>
    <w:rsid w:val="00623F9A"/>
    <w:rsid w:val="00624B92"/>
    <w:rsid w:val="00625E1B"/>
    <w:rsid w:val="0062713E"/>
    <w:rsid w:val="00630644"/>
    <w:rsid w:val="00631267"/>
    <w:rsid w:val="00632743"/>
    <w:rsid w:val="0063594B"/>
    <w:rsid w:val="00636D4F"/>
    <w:rsid w:val="00636EF7"/>
    <w:rsid w:val="00637046"/>
    <w:rsid w:val="00637700"/>
    <w:rsid w:val="00641936"/>
    <w:rsid w:val="00642D65"/>
    <w:rsid w:val="00643465"/>
    <w:rsid w:val="00643E0B"/>
    <w:rsid w:val="00645D6B"/>
    <w:rsid w:val="00646853"/>
    <w:rsid w:val="00646971"/>
    <w:rsid w:val="00650D2D"/>
    <w:rsid w:val="00650E4A"/>
    <w:rsid w:val="00652379"/>
    <w:rsid w:val="00652AF4"/>
    <w:rsid w:val="00652D90"/>
    <w:rsid w:val="00653CD4"/>
    <w:rsid w:val="00653DF3"/>
    <w:rsid w:val="00656173"/>
    <w:rsid w:val="00656496"/>
    <w:rsid w:val="00656E83"/>
    <w:rsid w:val="00657198"/>
    <w:rsid w:val="006600A3"/>
    <w:rsid w:val="00660D56"/>
    <w:rsid w:val="00662012"/>
    <w:rsid w:val="00662653"/>
    <w:rsid w:val="00662A47"/>
    <w:rsid w:val="00662DC8"/>
    <w:rsid w:val="00664FD9"/>
    <w:rsid w:val="00665052"/>
    <w:rsid w:val="00665CD1"/>
    <w:rsid w:val="00666F29"/>
    <w:rsid w:val="0066779C"/>
    <w:rsid w:val="0067173C"/>
    <w:rsid w:val="0067200C"/>
    <w:rsid w:val="0067367B"/>
    <w:rsid w:val="00673C5C"/>
    <w:rsid w:val="006744B8"/>
    <w:rsid w:val="00674D3F"/>
    <w:rsid w:val="00677AFD"/>
    <w:rsid w:val="00677B25"/>
    <w:rsid w:val="0068192B"/>
    <w:rsid w:val="0068196E"/>
    <w:rsid w:val="006821D0"/>
    <w:rsid w:val="00684036"/>
    <w:rsid w:val="00684F9E"/>
    <w:rsid w:val="00684FA7"/>
    <w:rsid w:val="00685846"/>
    <w:rsid w:val="006860DF"/>
    <w:rsid w:val="00686280"/>
    <w:rsid w:val="0068688D"/>
    <w:rsid w:val="00690B72"/>
    <w:rsid w:val="006924D6"/>
    <w:rsid w:val="006928B6"/>
    <w:rsid w:val="006940FD"/>
    <w:rsid w:val="00694D91"/>
    <w:rsid w:val="00695D21"/>
    <w:rsid w:val="00696428"/>
    <w:rsid w:val="00696D69"/>
    <w:rsid w:val="006A248E"/>
    <w:rsid w:val="006A26B5"/>
    <w:rsid w:val="006A3F55"/>
    <w:rsid w:val="006A4A3D"/>
    <w:rsid w:val="006A7307"/>
    <w:rsid w:val="006A751B"/>
    <w:rsid w:val="006B02CD"/>
    <w:rsid w:val="006B0E44"/>
    <w:rsid w:val="006B10F0"/>
    <w:rsid w:val="006B1AF4"/>
    <w:rsid w:val="006B2A1F"/>
    <w:rsid w:val="006B2D55"/>
    <w:rsid w:val="006B3531"/>
    <w:rsid w:val="006B4D32"/>
    <w:rsid w:val="006B5F28"/>
    <w:rsid w:val="006B65BD"/>
    <w:rsid w:val="006C1ABF"/>
    <w:rsid w:val="006C1B34"/>
    <w:rsid w:val="006C390B"/>
    <w:rsid w:val="006C3A0B"/>
    <w:rsid w:val="006C43E7"/>
    <w:rsid w:val="006C56FC"/>
    <w:rsid w:val="006C68C8"/>
    <w:rsid w:val="006C74B8"/>
    <w:rsid w:val="006C75CA"/>
    <w:rsid w:val="006C7F91"/>
    <w:rsid w:val="006D0714"/>
    <w:rsid w:val="006D0854"/>
    <w:rsid w:val="006D1442"/>
    <w:rsid w:val="006D3199"/>
    <w:rsid w:val="006D6823"/>
    <w:rsid w:val="006D6F17"/>
    <w:rsid w:val="006D70C7"/>
    <w:rsid w:val="006D7BCE"/>
    <w:rsid w:val="006E1463"/>
    <w:rsid w:val="006E16BA"/>
    <w:rsid w:val="006E1D7B"/>
    <w:rsid w:val="006E2E99"/>
    <w:rsid w:val="006E4C3C"/>
    <w:rsid w:val="006E6145"/>
    <w:rsid w:val="006E7176"/>
    <w:rsid w:val="006E7EF6"/>
    <w:rsid w:val="006F01D5"/>
    <w:rsid w:val="006F148B"/>
    <w:rsid w:val="006F19F7"/>
    <w:rsid w:val="006F221C"/>
    <w:rsid w:val="006F44B3"/>
    <w:rsid w:val="006F54A8"/>
    <w:rsid w:val="00702E72"/>
    <w:rsid w:val="007052E4"/>
    <w:rsid w:val="00705603"/>
    <w:rsid w:val="00706569"/>
    <w:rsid w:val="00710425"/>
    <w:rsid w:val="00711C38"/>
    <w:rsid w:val="0071252C"/>
    <w:rsid w:val="00715101"/>
    <w:rsid w:val="00720418"/>
    <w:rsid w:val="00720AF3"/>
    <w:rsid w:val="00720BA3"/>
    <w:rsid w:val="007239A5"/>
    <w:rsid w:val="00726937"/>
    <w:rsid w:val="00726A15"/>
    <w:rsid w:val="00727CC4"/>
    <w:rsid w:val="007325A0"/>
    <w:rsid w:val="00733CB1"/>
    <w:rsid w:val="007346DB"/>
    <w:rsid w:val="00735B16"/>
    <w:rsid w:val="0074003B"/>
    <w:rsid w:val="00741656"/>
    <w:rsid w:val="0074239D"/>
    <w:rsid w:val="00743899"/>
    <w:rsid w:val="007458F6"/>
    <w:rsid w:val="00746736"/>
    <w:rsid w:val="00750B5F"/>
    <w:rsid w:val="00751A09"/>
    <w:rsid w:val="00751B9C"/>
    <w:rsid w:val="007521EA"/>
    <w:rsid w:val="00752896"/>
    <w:rsid w:val="00752C75"/>
    <w:rsid w:val="00753306"/>
    <w:rsid w:val="00756B10"/>
    <w:rsid w:val="00756DBA"/>
    <w:rsid w:val="007579A1"/>
    <w:rsid w:val="0076081A"/>
    <w:rsid w:val="00761963"/>
    <w:rsid w:val="007633FC"/>
    <w:rsid w:val="00764CCF"/>
    <w:rsid w:val="00765E5E"/>
    <w:rsid w:val="007664DA"/>
    <w:rsid w:val="007700ED"/>
    <w:rsid w:val="007705AE"/>
    <w:rsid w:val="00770940"/>
    <w:rsid w:val="0077109D"/>
    <w:rsid w:val="007725AC"/>
    <w:rsid w:val="0077493B"/>
    <w:rsid w:val="00775E6F"/>
    <w:rsid w:val="00775E8C"/>
    <w:rsid w:val="00775FB3"/>
    <w:rsid w:val="0077617F"/>
    <w:rsid w:val="00776E6D"/>
    <w:rsid w:val="007774B9"/>
    <w:rsid w:val="007801D1"/>
    <w:rsid w:val="00780C60"/>
    <w:rsid w:val="00780F96"/>
    <w:rsid w:val="0078203A"/>
    <w:rsid w:val="00782580"/>
    <w:rsid w:val="00783E94"/>
    <w:rsid w:val="00784B3A"/>
    <w:rsid w:val="00785ECE"/>
    <w:rsid w:val="007876DD"/>
    <w:rsid w:val="00790DBB"/>
    <w:rsid w:val="00791B5F"/>
    <w:rsid w:val="0079232D"/>
    <w:rsid w:val="00793663"/>
    <w:rsid w:val="00795CEC"/>
    <w:rsid w:val="007A0729"/>
    <w:rsid w:val="007A0936"/>
    <w:rsid w:val="007A2C71"/>
    <w:rsid w:val="007A4C6A"/>
    <w:rsid w:val="007A4C72"/>
    <w:rsid w:val="007A4EAA"/>
    <w:rsid w:val="007A552D"/>
    <w:rsid w:val="007A5C75"/>
    <w:rsid w:val="007A6558"/>
    <w:rsid w:val="007A6A5F"/>
    <w:rsid w:val="007A7352"/>
    <w:rsid w:val="007A740B"/>
    <w:rsid w:val="007A7555"/>
    <w:rsid w:val="007B02B6"/>
    <w:rsid w:val="007B152B"/>
    <w:rsid w:val="007B2AE3"/>
    <w:rsid w:val="007B34A9"/>
    <w:rsid w:val="007B4319"/>
    <w:rsid w:val="007B5D53"/>
    <w:rsid w:val="007C057E"/>
    <w:rsid w:val="007C074A"/>
    <w:rsid w:val="007C531F"/>
    <w:rsid w:val="007C7F07"/>
    <w:rsid w:val="007D04D4"/>
    <w:rsid w:val="007D0FD9"/>
    <w:rsid w:val="007D1B69"/>
    <w:rsid w:val="007D3044"/>
    <w:rsid w:val="007D3D49"/>
    <w:rsid w:val="007D64FC"/>
    <w:rsid w:val="007D734F"/>
    <w:rsid w:val="007E387E"/>
    <w:rsid w:val="007E3DF2"/>
    <w:rsid w:val="007E76EE"/>
    <w:rsid w:val="007E7B84"/>
    <w:rsid w:val="007E7E44"/>
    <w:rsid w:val="007F0566"/>
    <w:rsid w:val="007F1B85"/>
    <w:rsid w:val="007F2051"/>
    <w:rsid w:val="007F2510"/>
    <w:rsid w:val="007F34AE"/>
    <w:rsid w:val="007F6EEB"/>
    <w:rsid w:val="007F74F3"/>
    <w:rsid w:val="007F760D"/>
    <w:rsid w:val="007F7BCF"/>
    <w:rsid w:val="008002E3"/>
    <w:rsid w:val="008010E0"/>
    <w:rsid w:val="00801DCF"/>
    <w:rsid w:val="00803418"/>
    <w:rsid w:val="008039D8"/>
    <w:rsid w:val="00804721"/>
    <w:rsid w:val="008052E2"/>
    <w:rsid w:val="00806B1E"/>
    <w:rsid w:val="00810562"/>
    <w:rsid w:val="008112D6"/>
    <w:rsid w:val="00812051"/>
    <w:rsid w:val="00816D49"/>
    <w:rsid w:val="00816E1E"/>
    <w:rsid w:val="00821CEB"/>
    <w:rsid w:val="00822EB7"/>
    <w:rsid w:val="0082318E"/>
    <w:rsid w:val="0082413A"/>
    <w:rsid w:val="00824303"/>
    <w:rsid w:val="0082578F"/>
    <w:rsid w:val="008330A6"/>
    <w:rsid w:val="0083397C"/>
    <w:rsid w:val="00834B26"/>
    <w:rsid w:val="00835AD8"/>
    <w:rsid w:val="00836893"/>
    <w:rsid w:val="00836A7F"/>
    <w:rsid w:val="008400BB"/>
    <w:rsid w:val="00840FD5"/>
    <w:rsid w:val="0084125C"/>
    <w:rsid w:val="008425C3"/>
    <w:rsid w:val="00844B85"/>
    <w:rsid w:val="00845203"/>
    <w:rsid w:val="00845DC5"/>
    <w:rsid w:val="008465AA"/>
    <w:rsid w:val="008466B4"/>
    <w:rsid w:val="00846FCB"/>
    <w:rsid w:val="00847226"/>
    <w:rsid w:val="00847428"/>
    <w:rsid w:val="00855A5E"/>
    <w:rsid w:val="0086002C"/>
    <w:rsid w:val="0086057A"/>
    <w:rsid w:val="00861223"/>
    <w:rsid w:val="008617B6"/>
    <w:rsid w:val="00865FDE"/>
    <w:rsid w:val="008679B6"/>
    <w:rsid w:val="008714E7"/>
    <w:rsid w:val="00873602"/>
    <w:rsid w:val="00875D65"/>
    <w:rsid w:val="008777CA"/>
    <w:rsid w:val="00882FD2"/>
    <w:rsid w:val="008831C3"/>
    <w:rsid w:val="00883666"/>
    <w:rsid w:val="008845B5"/>
    <w:rsid w:val="0089028D"/>
    <w:rsid w:val="008905A4"/>
    <w:rsid w:val="0089157B"/>
    <w:rsid w:val="00891FF3"/>
    <w:rsid w:val="00892C96"/>
    <w:rsid w:val="00892D8D"/>
    <w:rsid w:val="00893C5D"/>
    <w:rsid w:val="00893D3C"/>
    <w:rsid w:val="008956B1"/>
    <w:rsid w:val="00896158"/>
    <w:rsid w:val="008963C1"/>
    <w:rsid w:val="008A0640"/>
    <w:rsid w:val="008A0FE5"/>
    <w:rsid w:val="008A1E64"/>
    <w:rsid w:val="008A3691"/>
    <w:rsid w:val="008A3905"/>
    <w:rsid w:val="008A3D38"/>
    <w:rsid w:val="008A4A75"/>
    <w:rsid w:val="008A6B60"/>
    <w:rsid w:val="008A7985"/>
    <w:rsid w:val="008A79C4"/>
    <w:rsid w:val="008B2405"/>
    <w:rsid w:val="008B2B4F"/>
    <w:rsid w:val="008B5BC9"/>
    <w:rsid w:val="008B5E8A"/>
    <w:rsid w:val="008B6110"/>
    <w:rsid w:val="008B6537"/>
    <w:rsid w:val="008B6901"/>
    <w:rsid w:val="008C0EC6"/>
    <w:rsid w:val="008C297E"/>
    <w:rsid w:val="008C2AB9"/>
    <w:rsid w:val="008C3378"/>
    <w:rsid w:val="008C3FC7"/>
    <w:rsid w:val="008C6531"/>
    <w:rsid w:val="008C6815"/>
    <w:rsid w:val="008C7EC9"/>
    <w:rsid w:val="008D08E2"/>
    <w:rsid w:val="008D138F"/>
    <w:rsid w:val="008D18BD"/>
    <w:rsid w:val="008D1D80"/>
    <w:rsid w:val="008D4CB1"/>
    <w:rsid w:val="008D538F"/>
    <w:rsid w:val="008D7532"/>
    <w:rsid w:val="008D756E"/>
    <w:rsid w:val="008D7E6D"/>
    <w:rsid w:val="008E036B"/>
    <w:rsid w:val="008E087F"/>
    <w:rsid w:val="008E5D49"/>
    <w:rsid w:val="008E5EFB"/>
    <w:rsid w:val="008E70AC"/>
    <w:rsid w:val="008E737C"/>
    <w:rsid w:val="008F05BA"/>
    <w:rsid w:val="008F0DC6"/>
    <w:rsid w:val="008F0E0E"/>
    <w:rsid w:val="008F1D3D"/>
    <w:rsid w:val="008F2F8B"/>
    <w:rsid w:val="008F31AB"/>
    <w:rsid w:val="008F3DB3"/>
    <w:rsid w:val="008F3E14"/>
    <w:rsid w:val="008F4D6B"/>
    <w:rsid w:val="008F5E62"/>
    <w:rsid w:val="008F7E61"/>
    <w:rsid w:val="00900DFF"/>
    <w:rsid w:val="00901F9B"/>
    <w:rsid w:val="00903712"/>
    <w:rsid w:val="00903CA4"/>
    <w:rsid w:val="00904455"/>
    <w:rsid w:val="00906B04"/>
    <w:rsid w:val="009106D5"/>
    <w:rsid w:val="00911D03"/>
    <w:rsid w:val="00912183"/>
    <w:rsid w:val="00914191"/>
    <w:rsid w:val="00914952"/>
    <w:rsid w:val="00914BEA"/>
    <w:rsid w:val="00916732"/>
    <w:rsid w:val="00922104"/>
    <w:rsid w:val="009226CE"/>
    <w:rsid w:val="009238F0"/>
    <w:rsid w:val="00923FF7"/>
    <w:rsid w:val="00925137"/>
    <w:rsid w:val="00926F05"/>
    <w:rsid w:val="00926FA9"/>
    <w:rsid w:val="00927546"/>
    <w:rsid w:val="009275FE"/>
    <w:rsid w:val="0093155C"/>
    <w:rsid w:val="009324BB"/>
    <w:rsid w:val="00932AC3"/>
    <w:rsid w:val="009355BD"/>
    <w:rsid w:val="009374D7"/>
    <w:rsid w:val="009403B3"/>
    <w:rsid w:val="00941A4E"/>
    <w:rsid w:val="00944926"/>
    <w:rsid w:val="00944DAE"/>
    <w:rsid w:val="009461FB"/>
    <w:rsid w:val="00946DBA"/>
    <w:rsid w:val="00946EBB"/>
    <w:rsid w:val="009470A4"/>
    <w:rsid w:val="00947163"/>
    <w:rsid w:val="0094749C"/>
    <w:rsid w:val="00947CA6"/>
    <w:rsid w:val="00947CF9"/>
    <w:rsid w:val="009519BD"/>
    <w:rsid w:val="00952ED8"/>
    <w:rsid w:val="00953E73"/>
    <w:rsid w:val="00955B9A"/>
    <w:rsid w:val="0095714E"/>
    <w:rsid w:val="00957AA5"/>
    <w:rsid w:val="00961737"/>
    <w:rsid w:val="009618AD"/>
    <w:rsid w:val="00962790"/>
    <w:rsid w:val="00962DFB"/>
    <w:rsid w:val="0096614A"/>
    <w:rsid w:val="00966356"/>
    <w:rsid w:val="00966967"/>
    <w:rsid w:val="00966C71"/>
    <w:rsid w:val="00970DFA"/>
    <w:rsid w:val="00971115"/>
    <w:rsid w:val="00976B27"/>
    <w:rsid w:val="00982C03"/>
    <w:rsid w:val="00983D43"/>
    <w:rsid w:val="0098417B"/>
    <w:rsid w:val="00984B70"/>
    <w:rsid w:val="009852BF"/>
    <w:rsid w:val="0099080B"/>
    <w:rsid w:val="00990F10"/>
    <w:rsid w:val="009939C3"/>
    <w:rsid w:val="00995151"/>
    <w:rsid w:val="00995FC7"/>
    <w:rsid w:val="009A0238"/>
    <w:rsid w:val="009A1000"/>
    <w:rsid w:val="009A2136"/>
    <w:rsid w:val="009A2905"/>
    <w:rsid w:val="009A3A8B"/>
    <w:rsid w:val="009A4717"/>
    <w:rsid w:val="009A48E7"/>
    <w:rsid w:val="009A542A"/>
    <w:rsid w:val="009A78D7"/>
    <w:rsid w:val="009A7939"/>
    <w:rsid w:val="009B07C9"/>
    <w:rsid w:val="009B08F4"/>
    <w:rsid w:val="009B10E8"/>
    <w:rsid w:val="009B1D49"/>
    <w:rsid w:val="009B1F1F"/>
    <w:rsid w:val="009B39DC"/>
    <w:rsid w:val="009B3C31"/>
    <w:rsid w:val="009B4D07"/>
    <w:rsid w:val="009B54F2"/>
    <w:rsid w:val="009B6188"/>
    <w:rsid w:val="009B7369"/>
    <w:rsid w:val="009B765C"/>
    <w:rsid w:val="009C0032"/>
    <w:rsid w:val="009C1AB1"/>
    <w:rsid w:val="009C1CBD"/>
    <w:rsid w:val="009C3947"/>
    <w:rsid w:val="009C4332"/>
    <w:rsid w:val="009C53A6"/>
    <w:rsid w:val="009C60CE"/>
    <w:rsid w:val="009D0D4F"/>
    <w:rsid w:val="009D2937"/>
    <w:rsid w:val="009D35F4"/>
    <w:rsid w:val="009D3B1F"/>
    <w:rsid w:val="009D579A"/>
    <w:rsid w:val="009D59D4"/>
    <w:rsid w:val="009D6310"/>
    <w:rsid w:val="009D6C2B"/>
    <w:rsid w:val="009D6CCA"/>
    <w:rsid w:val="009D7653"/>
    <w:rsid w:val="009E07CB"/>
    <w:rsid w:val="009E0AD6"/>
    <w:rsid w:val="009E211D"/>
    <w:rsid w:val="009E6383"/>
    <w:rsid w:val="009F0A76"/>
    <w:rsid w:val="009F1B07"/>
    <w:rsid w:val="009F2163"/>
    <w:rsid w:val="009F2D35"/>
    <w:rsid w:val="009F317C"/>
    <w:rsid w:val="009F31CF"/>
    <w:rsid w:val="009F3506"/>
    <w:rsid w:val="009F54B9"/>
    <w:rsid w:val="00A0311B"/>
    <w:rsid w:val="00A03CA9"/>
    <w:rsid w:val="00A03FE5"/>
    <w:rsid w:val="00A04829"/>
    <w:rsid w:val="00A04CD9"/>
    <w:rsid w:val="00A04FCB"/>
    <w:rsid w:val="00A0678D"/>
    <w:rsid w:val="00A0692C"/>
    <w:rsid w:val="00A06BEE"/>
    <w:rsid w:val="00A06C21"/>
    <w:rsid w:val="00A06F4C"/>
    <w:rsid w:val="00A10F24"/>
    <w:rsid w:val="00A116BF"/>
    <w:rsid w:val="00A116F5"/>
    <w:rsid w:val="00A11AD0"/>
    <w:rsid w:val="00A13336"/>
    <w:rsid w:val="00A13B37"/>
    <w:rsid w:val="00A14C31"/>
    <w:rsid w:val="00A14CBA"/>
    <w:rsid w:val="00A14DC2"/>
    <w:rsid w:val="00A22BC1"/>
    <w:rsid w:val="00A2625A"/>
    <w:rsid w:val="00A26EBC"/>
    <w:rsid w:val="00A27019"/>
    <w:rsid w:val="00A31310"/>
    <w:rsid w:val="00A32210"/>
    <w:rsid w:val="00A32C3D"/>
    <w:rsid w:val="00A32DF7"/>
    <w:rsid w:val="00A338AA"/>
    <w:rsid w:val="00A3727C"/>
    <w:rsid w:val="00A37A35"/>
    <w:rsid w:val="00A41398"/>
    <w:rsid w:val="00A41800"/>
    <w:rsid w:val="00A44349"/>
    <w:rsid w:val="00A502B4"/>
    <w:rsid w:val="00A528D8"/>
    <w:rsid w:val="00A545FD"/>
    <w:rsid w:val="00A54BE1"/>
    <w:rsid w:val="00A57406"/>
    <w:rsid w:val="00A606BC"/>
    <w:rsid w:val="00A62C10"/>
    <w:rsid w:val="00A63AF5"/>
    <w:rsid w:val="00A641CC"/>
    <w:rsid w:val="00A65188"/>
    <w:rsid w:val="00A6582C"/>
    <w:rsid w:val="00A65863"/>
    <w:rsid w:val="00A65DB1"/>
    <w:rsid w:val="00A660E5"/>
    <w:rsid w:val="00A672F5"/>
    <w:rsid w:val="00A708A2"/>
    <w:rsid w:val="00A71807"/>
    <w:rsid w:val="00A72942"/>
    <w:rsid w:val="00A72973"/>
    <w:rsid w:val="00A72B34"/>
    <w:rsid w:val="00A72BA9"/>
    <w:rsid w:val="00A73692"/>
    <w:rsid w:val="00A759F6"/>
    <w:rsid w:val="00A763C5"/>
    <w:rsid w:val="00A77E32"/>
    <w:rsid w:val="00A8050F"/>
    <w:rsid w:val="00A82ADA"/>
    <w:rsid w:val="00A82AE4"/>
    <w:rsid w:val="00A85B61"/>
    <w:rsid w:val="00A85E5D"/>
    <w:rsid w:val="00A90641"/>
    <w:rsid w:val="00A94485"/>
    <w:rsid w:val="00A96491"/>
    <w:rsid w:val="00A96ABA"/>
    <w:rsid w:val="00AA0C56"/>
    <w:rsid w:val="00AA19DF"/>
    <w:rsid w:val="00AA27DE"/>
    <w:rsid w:val="00AA39C6"/>
    <w:rsid w:val="00AA3B4F"/>
    <w:rsid w:val="00AA476D"/>
    <w:rsid w:val="00AA4A01"/>
    <w:rsid w:val="00AA5E57"/>
    <w:rsid w:val="00AA673E"/>
    <w:rsid w:val="00AB0301"/>
    <w:rsid w:val="00AB12CF"/>
    <w:rsid w:val="00AB1A3A"/>
    <w:rsid w:val="00AB1EFF"/>
    <w:rsid w:val="00AB5E7E"/>
    <w:rsid w:val="00AB6B2C"/>
    <w:rsid w:val="00AB711D"/>
    <w:rsid w:val="00AB7D58"/>
    <w:rsid w:val="00AC1FF1"/>
    <w:rsid w:val="00AC3C5C"/>
    <w:rsid w:val="00AC3DE6"/>
    <w:rsid w:val="00AC5A24"/>
    <w:rsid w:val="00AC64D0"/>
    <w:rsid w:val="00AD309F"/>
    <w:rsid w:val="00AD414F"/>
    <w:rsid w:val="00AD43A4"/>
    <w:rsid w:val="00AD4F59"/>
    <w:rsid w:val="00AD5C8E"/>
    <w:rsid w:val="00AD5F32"/>
    <w:rsid w:val="00AD63A9"/>
    <w:rsid w:val="00AD7836"/>
    <w:rsid w:val="00AD78FF"/>
    <w:rsid w:val="00AE117F"/>
    <w:rsid w:val="00AE46CE"/>
    <w:rsid w:val="00AE7579"/>
    <w:rsid w:val="00AE7F68"/>
    <w:rsid w:val="00AF02C4"/>
    <w:rsid w:val="00AF36A3"/>
    <w:rsid w:val="00AF4A7D"/>
    <w:rsid w:val="00AF4CFC"/>
    <w:rsid w:val="00AF57C1"/>
    <w:rsid w:val="00AF5AE6"/>
    <w:rsid w:val="00B00D91"/>
    <w:rsid w:val="00B021D1"/>
    <w:rsid w:val="00B025EC"/>
    <w:rsid w:val="00B03548"/>
    <w:rsid w:val="00B03FEF"/>
    <w:rsid w:val="00B06ED8"/>
    <w:rsid w:val="00B06EFD"/>
    <w:rsid w:val="00B071B3"/>
    <w:rsid w:val="00B10802"/>
    <w:rsid w:val="00B10AA4"/>
    <w:rsid w:val="00B114EC"/>
    <w:rsid w:val="00B13722"/>
    <w:rsid w:val="00B146DA"/>
    <w:rsid w:val="00B15051"/>
    <w:rsid w:val="00B167DD"/>
    <w:rsid w:val="00B16D0E"/>
    <w:rsid w:val="00B17A86"/>
    <w:rsid w:val="00B17B5B"/>
    <w:rsid w:val="00B20AA8"/>
    <w:rsid w:val="00B20D28"/>
    <w:rsid w:val="00B20D3A"/>
    <w:rsid w:val="00B21234"/>
    <w:rsid w:val="00B216AB"/>
    <w:rsid w:val="00B2361B"/>
    <w:rsid w:val="00B23B05"/>
    <w:rsid w:val="00B30D2B"/>
    <w:rsid w:val="00B319C1"/>
    <w:rsid w:val="00B32B0D"/>
    <w:rsid w:val="00B34A5F"/>
    <w:rsid w:val="00B34D21"/>
    <w:rsid w:val="00B3576E"/>
    <w:rsid w:val="00B35FC7"/>
    <w:rsid w:val="00B3660D"/>
    <w:rsid w:val="00B40A62"/>
    <w:rsid w:val="00B411C6"/>
    <w:rsid w:val="00B41302"/>
    <w:rsid w:val="00B41D08"/>
    <w:rsid w:val="00B42917"/>
    <w:rsid w:val="00B43D23"/>
    <w:rsid w:val="00B44894"/>
    <w:rsid w:val="00B44C30"/>
    <w:rsid w:val="00B4504F"/>
    <w:rsid w:val="00B46BC9"/>
    <w:rsid w:val="00B46D8E"/>
    <w:rsid w:val="00B473A3"/>
    <w:rsid w:val="00B47CE2"/>
    <w:rsid w:val="00B50684"/>
    <w:rsid w:val="00B510A8"/>
    <w:rsid w:val="00B51124"/>
    <w:rsid w:val="00B52A74"/>
    <w:rsid w:val="00B54117"/>
    <w:rsid w:val="00B54F2E"/>
    <w:rsid w:val="00B55123"/>
    <w:rsid w:val="00B5516B"/>
    <w:rsid w:val="00B55EA9"/>
    <w:rsid w:val="00B56362"/>
    <w:rsid w:val="00B57877"/>
    <w:rsid w:val="00B57E1A"/>
    <w:rsid w:val="00B60F1A"/>
    <w:rsid w:val="00B61DC0"/>
    <w:rsid w:val="00B620F4"/>
    <w:rsid w:val="00B62714"/>
    <w:rsid w:val="00B65B12"/>
    <w:rsid w:val="00B6671B"/>
    <w:rsid w:val="00B70F61"/>
    <w:rsid w:val="00B725DC"/>
    <w:rsid w:val="00B7344B"/>
    <w:rsid w:val="00B750B4"/>
    <w:rsid w:val="00B771D8"/>
    <w:rsid w:val="00B81D9F"/>
    <w:rsid w:val="00B83772"/>
    <w:rsid w:val="00B8446D"/>
    <w:rsid w:val="00B84AF4"/>
    <w:rsid w:val="00B859D9"/>
    <w:rsid w:val="00B91574"/>
    <w:rsid w:val="00B92538"/>
    <w:rsid w:val="00B9288E"/>
    <w:rsid w:val="00B92995"/>
    <w:rsid w:val="00B92C7A"/>
    <w:rsid w:val="00B93277"/>
    <w:rsid w:val="00B935F5"/>
    <w:rsid w:val="00BA0418"/>
    <w:rsid w:val="00BA0696"/>
    <w:rsid w:val="00BA153F"/>
    <w:rsid w:val="00BA1E40"/>
    <w:rsid w:val="00BA2B40"/>
    <w:rsid w:val="00BA387C"/>
    <w:rsid w:val="00BA429B"/>
    <w:rsid w:val="00BA6E2D"/>
    <w:rsid w:val="00BA6FC2"/>
    <w:rsid w:val="00BB06D3"/>
    <w:rsid w:val="00BB0A34"/>
    <w:rsid w:val="00BB2517"/>
    <w:rsid w:val="00BB76AE"/>
    <w:rsid w:val="00BB7E05"/>
    <w:rsid w:val="00BB7EEC"/>
    <w:rsid w:val="00BC0C1B"/>
    <w:rsid w:val="00BC1C8E"/>
    <w:rsid w:val="00BC3149"/>
    <w:rsid w:val="00BC39C0"/>
    <w:rsid w:val="00BC39D8"/>
    <w:rsid w:val="00BC421A"/>
    <w:rsid w:val="00BC462B"/>
    <w:rsid w:val="00BC6554"/>
    <w:rsid w:val="00BD1372"/>
    <w:rsid w:val="00BD1A1A"/>
    <w:rsid w:val="00BD1E85"/>
    <w:rsid w:val="00BD2029"/>
    <w:rsid w:val="00BD2CA2"/>
    <w:rsid w:val="00BD55D2"/>
    <w:rsid w:val="00BD6678"/>
    <w:rsid w:val="00BE10CD"/>
    <w:rsid w:val="00BE17C2"/>
    <w:rsid w:val="00BE37F3"/>
    <w:rsid w:val="00BE39CF"/>
    <w:rsid w:val="00BE425B"/>
    <w:rsid w:val="00BE480F"/>
    <w:rsid w:val="00BE7044"/>
    <w:rsid w:val="00BF0469"/>
    <w:rsid w:val="00BF24AB"/>
    <w:rsid w:val="00BF28ED"/>
    <w:rsid w:val="00BF3EB9"/>
    <w:rsid w:val="00BF4F32"/>
    <w:rsid w:val="00BF528E"/>
    <w:rsid w:val="00BF5556"/>
    <w:rsid w:val="00BF5D76"/>
    <w:rsid w:val="00BF6A80"/>
    <w:rsid w:val="00C00623"/>
    <w:rsid w:val="00C011A8"/>
    <w:rsid w:val="00C01250"/>
    <w:rsid w:val="00C03160"/>
    <w:rsid w:val="00C03A9A"/>
    <w:rsid w:val="00C03CC0"/>
    <w:rsid w:val="00C043E6"/>
    <w:rsid w:val="00C066CA"/>
    <w:rsid w:val="00C06EFF"/>
    <w:rsid w:val="00C073AF"/>
    <w:rsid w:val="00C07E24"/>
    <w:rsid w:val="00C103D1"/>
    <w:rsid w:val="00C108D5"/>
    <w:rsid w:val="00C11ED0"/>
    <w:rsid w:val="00C1227B"/>
    <w:rsid w:val="00C1321A"/>
    <w:rsid w:val="00C13B44"/>
    <w:rsid w:val="00C15768"/>
    <w:rsid w:val="00C16919"/>
    <w:rsid w:val="00C202CA"/>
    <w:rsid w:val="00C21ACF"/>
    <w:rsid w:val="00C21BEB"/>
    <w:rsid w:val="00C26AE8"/>
    <w:rsid w:val="00C2730B"/>
    <w:rsid w:val="00C27A87"/>
    <w:rsid w:val="00C30DE2"/>
    <w:rsid w:val="00C31211"/>
    <w:rsid w:val="00C3145E"/>
    <w:rsid w:val="00C31BE6"/>
    <w:rsid w:val="00C32089"/>
    <w:rsid w:val="00C32597"/>
    <w:rsid w:val="00C33208"/>
    <w:rsid w:val="00C3365F"/>
    <w:rsid w:val="00C34AE9"/>
    <w:rsid w:val="00C37734"/>
    <w:rsid w:val="00C41976"/>
    <w:rsid w:val="00C41B9C"/>
    <w:rsid w:val="00C42526"/>
    <w:rsid w:val="00C43EBA"/>
    <w:rsid w:val="00C451CA"/>
    <w:rsid w:val="00C458AA"/>
    <w:rsid w:val="00C45F0B"/>
    <w:rsid w:val="00C46AA1"/>
    <w:rsid w:val="00C506B6"/>
    <w:rsid w:val="00C523E0"/>
    <w:rsid w:val="00C533CE"/>
    <w:rsid w:val="00C56684"/>
    <w:rsid w:val="00C601F1"/>
    <w:rsid w:val="00C606D8"/>
    <w:rsid w:val="00C63159"/>
    <w:rsid w:val="00C63FC0"/>
    <w:rsid w:val="00C6551A"/>
    <w:rsid w:val="00C65CD4"/>
    <w:rsid w:val="00C66F75"/>
    <w:rsid w:val="00C70758"/>
    <w:rsid w:val="00C72C0F"/>
    <w:rsid w:val="00C72D7D"/>
    <w:rsid w:val="00C7430E"/>
    <w:rsid w:val="00C74CD4"/>
    <w:rsid w:val="00C74F3D"/>
    <w:rsid w:val="00C75CDD"/>
    <w:rsid w:val="00C77D73"/>
    <w:rsid w:val="00C77FF9"/>
    <w:rsid w:val="00C80AA8"/>
    <w:rsid w:val="00C8242B"/>
    <w:rsid w:val="00C826B1"/>
    <w:rsid w:val="00C82FE4"/>
    <w:rsid w:val="00C85740"/>
    <w:rsid w:val="00C86956"/>
    <w:rsid w:val="00C86AE1"/>
    <w:rsid w:val="00C87AE5"/>
    <w:rsid w:val="00C908BA"/>
    <w:rsid w:val="00C91EC3"/>
    <w:rsid w:val="00C92E7C"/>
    <w:rsid w:val="00C95D27"/>
    <w:rsid w:val="00C97011"/>
    <w:rsid w:val="00CA1F68"/>
    <w:rsid w:val="00CA442F"/>
    <w:rsid w:val="00CA50CA"/>
    <w:rsid w:val="00CA701C"/>
    <w:rsid w:val="00CA7B57"/>
    <w:rsid w:val="00CB01B9"/>
    <w:rsid w:val="00CB11FF"/>
    <w:rsid w:val="00CB1673"/>
    <w:rsid w:val="00CB1F9D"/>
    <w:rsid w:val="00CB299B"/>
    <w:rsid w:val="00CB4578"/>
    <w:rsid w:val="00CB5173"/>
    <w:rsid w:val="00CB56B3"/>
    <w:rsid w:val="00CB5CA7"/>
    <w:rsid w:val="00CB6E98"/>
    <w:rsid w:val="00CB7019"/>
    <w:rsid w:val="00CC1CD1"/>
    <w:rsid w:val="00CC20C5"/>
    <w:rsid w:val="00CC239E"/>
    <w:rsid w:val="00CC47A7"/>
    <w:rsid w:val="00CC4A93"/>
    <w:rsid w:val="00CC6066"/>
    <w:rsid w:val="00CC6B26"/>
    <w:rsid w:val="00CD0163"/>
    <w:rsid w:val="00CD0C0B"/>
    <w:rsid w:val="00CD1BA8"/>
    <w:rsid w:val="00CD3552"/>
    <w:rsid w:val="00CD39A4"/>
    <w:rsid w:val="00CD53C2"/>
    <w:rsid w:val="00CD5FE8"/>
    <w:rsid w:val="00CD62F8"/>
    <w:rsid w:val="00CE0C58"/>
    <w:rsid w:val="00CE11B9"/>
    <w:rsid w:val="00CE568A"/>
    <w:rsid w:val="00CE6186"/>
    <w:rsid w:val="00CE6C93"/>
    <w:rsid w:val="00CF01E9"/>
    <w:rsid w:val="00CF1219"/>
    <w:rsid w:val="00CF17B3"/>
    <w:rsid w:val="00CF2072"/>
    <w:rsid w:val="00CF2CB3"/>
    <w:rsid w:val="00CF34C6"/>
    <w:rsid w:val="00CF3D00"/>
    <w:rsid w:val="00CF48EB"/>
    <w:rsid w:val="00CF48FB"/>
    <w:rsid w:val="00CF52D7"/>
    <w:rsid w:val="00CF5D1C"/>
    <w:rsid w:val="00CF5E9E"/>
    <w:rsid w:val="00D01446"/>
    <w:rsid w:val="00D01F53"/>
    <w:rsid w:val="00D03E26"/>
    <w:rsid w:val="00D0486F"/>
    <w:rsid w:val="00D04B5F"/>
    <w:rsid w:val="00D05213"/>
    <w:rsid w:val="00D05A80"/>
    <w:rsid w:val="00D06AA7"/>
    <w:rsid w:val="00D06E5A"/>
    <w:rsid w:val="00D074ED"/>
    <w:rsid w:val="00D07677"/>
    <w:rsid w:val="00D11DE1"/>
    <w:rsid w:val="00D11E62"/>
    <w:rsid w:val="00D1490A"/>
    <w:rsid w:val="00D14FBE"/>
    <w:rsid w:val="00D15D5A"/>
    <w:rsid w:val="00D16101"/>
    <w:rsid w:val="00D21312"/>
    <w:rsid w:val="00D21576"/>
    <w:rsid w:val="00D24EED"/>
    <w:rsid w:val="00D2566F"/>
    <w:rsid w:val="00D258E9"/>
    <w:rsid w:val="00D27B10"/>
    <w:rsid w:val="00D30E48"/>
    <w:rsid w:val="00D326BF"/>
    <w:rsid w:val="00D35098"/>
    <w:rsid w:val="00D35FBE"/>
    <w:rsid w:val="00D364D1"/>
    <w:rsid w:val="00D37FCC"/>
    <w:rsid w:val="00D407F8"/>
    <w:rsid w:val="00D415C3"/>
    <w:rsid w:val="00D41B6C"/>
    <w:rsid w:val="00D428FC"/>
    <w:rsid w:val="00D433F0"/>
    <w:rsid w:val="00D43EA0"/>
    <w:rsid w:val="00D45F72"/>
    <w:rsid w:val="00D465F8"/>
    <w:rsid w:val="00D46C07"/>
    <w:rsid w:val="00D50728"/>
    <w:rsid w:val="00D5339F"/>
    <w:rsid w:val="00D57163"/>
    <w:rsid w:val="00D611B7"/>
    <w:rsid w:val="00D61A41"/>
    <w:rsid w:val="00D62E07"/>
    <w:rsid w:val="00D64289"/>
    <w:rsid w:val="00D64E2F"/>
    <w:rsid w:val="00D64E86"/>
    <w:rsid w:val="00D65433"/>
    <w:rsid w:val="00D657FB"/>
    <w:rsid w:val="00D708ED"/>
    <w:rsid w:val="00D719FA"/>
    <w:rsid w:val="00D71B58"/>
    <w:rsid w:val="00D72BE1"/>
    <w:rsid w:val="00D73079"/>
    <w:rsid w:val="00D77DE6"/>
    <w:rsid w:val="00D81210"/>
    <w:rsid w:val="00D82E71"/>
    <w:rsid w:val="00D83E17"/>
    <w:rsid w:val="00D83F61"/>
    <w:rsid w:val="00D8530F"/>
    <w:rsid w:val="00D87355"/>
    <w:rsid w:val="00D8794F"/>
    <w:rsid w:val="00D901D3"/>
    <w:rsid w:val="00D92292"/>
    <w:rsid w:val="00D940AA"/>
    <w:rsid w:val="00D94850"/>
    <w:rsid w:val="00DA3BA7"/>
    <w:rsid w:val="00DA4CCA"/>
    <w:rsid w:val="00DA5CF8"/>
    <w:rsid w:val="00DA6C76"/>
    <w:rsid w:val="00DA6DF1"/>
    <w:rsid w:val="00DA7B2B"/>
    <w:rsid w:val="00DB16AD"/>
    <w:rsid w:val="00DB2CDC"/>
    <w:rsid w:val="00DB3F3C"/>
    <w:rsid w:val="00DB5F4B"/>
    <w:rsid w:val="00DB6F04"/>
    <w:rsid w:val="00DC070F"/>
    <w:rsid w:val="00DC19BD"/>
    <w:rsid w:val="00DC4D23"/>
    <w:rsid w:val="00DC576F"/>
    <w:rsid w:val="00DC65AD"/>
    <w:rsid w:val="00DC7215"/>
    <w:rsid w:val="00DC7D07"/>
    <w:rsid w:val="00DD0037"/>
    <w:rsid w:val="00DD0641"/>
    <w:rsid w:val="00DD19DE"/>
    <w:rsid w:val="00DD2231"/>
    <w:rsid w:val="00DD3CA1"/>
    <w:rsid w:val="00DD43B5"/>
    <w:rsid w:val="00DD66D8"/>
    <w:rsid w:val="00DD6BCB"/>
    <w:rsid w:val="00DE17CD"/>
    <w:rsid w:val="00DE2557"/>
    <w:rsid w:val="00DE38F1"/>
    <w:rsid w:val="00DE40D6"/>
    <w:rsid w:val="00DE4297"/>
    <w:rsid w:val="00DE68C0"/>
    <w:rsid w:val="00DF10B5"/>
    <w:rsid w:val="00DF12BF"/>
    <w:rsid w:val="00DF1FE8"/>
    <w:rsid w:val="00DF5CC1"/>
    <w:rsid w:val="00DF6203"/>
    <w:rsid w:val="00DF788B"/>
    <w:rsid w:val="00E03C96"/>
    <w:rsid w:val="00E04AF3"/>
    <w:rsid w:val="00E04E10"/>
    <w:rsid w:val="00E0568F"/>
    <w:rsid w:val="00E056E6"/>
    <w:rsid w:val="00E05FDF"/>
    <w:rsid w:val="00E07D92"/>
    <w:rsid w:val="00E1168A"/>
    <w:rsid w:val="00E118BB"/>
    <w:rsid w:val="00E11DD9"/>
    <w:rsid w:val="00E12219"/>
    <w:rsid w:val="00E123E5"/>
    <w:rsid w:val="00E151AE"/>
    <w:rsid w:val="00E15C85"/>
    <w:rsid w:val="00E15D49"/>
    <w:rsid w:val="00E2101E"/>
    <w:rsid w:val="00E2293D"/>
    <w:rsid w:val="00E22D53"/>
    <w:rsid w:val="00E25822"/>
    <w:rsid w:val="00E25A26"/>
    <w:rsid w:val="00E26A44"/>
    <w:rsid w:val="00E26ADA"/>
    <w:rsid w:val="00E26D0B"/>
    <w:rsid w:val="00E26FF4"/>
    <w:rsid w:val="00E306CA"/>
    <w:rsid w:val="00E31161"/>
    <w:rsid w:val="00E3152D"/>
    <w:rsid w:val="00E31AB8"/>
    <w:rsid w:val="00E32BE8"/>
    <w:rsid w:val="00E340D5"/>
    <w:rsid w:val="00E3589E"/>
    <w:rsid w:val="00E37B9E"/>
    <w:rsid w:val="00E41653"/>
    <w:rsid w:val="00E41A7B"/>
    <w:rsid w:val="00E42390"/>
    <w:rsid w:val="00E4260B"/>
    <w:rsid w:val="00E42858"/>
    <w:rsid w:val="00E45225"/>
    <w:rsid w:val="00E479B5"/>
    <w:rsid w:val="00E47F93"/>
    <w:rsid w:val="00E50701"/>
    <w:rsid w:val="00E51152"/>
    <w:rsid w:val="00E511F3"/>
    <w:rsid w:val="00E53CD7"/>
    <w:rsid w:val="00E551DA"/>
    <w:rsid w:val="00E55773"/>
    <w:rsid w:val="00E56118"/>
    <w:rsid w:val="00E56D9E"/>
    <w:rsid w:val="00E60195"/>
    <w:rsid w:val="00E60243"/>
    <w:rsid w:val="00E60ADC"/>
    <w:rsid w:val="00E61774"/>
    <w:rsid w:val="00E66C80"/>
    <w:rsid w:val="00E67A3A"/>
    <w:rsid w:val="00E71381"/>
    <w:rsid w:val="00E72DE3"/>
    <w:rsid w:val="00E72E47"/>
    <w:rsid w:val="00E733E1"/>
    <w:rsid w:val="00E74614"/>
    <w:rsid w:val="00E75503"/>
    <w:rsid w:val="00E7630F"/>
    <w:rsid w:val="00E769F3"/>
    <w:rsid w:val="00E77F42"/>
    <w:rsid w:val="00E82129"/>
    <w:rsid w:val="00E83149"/>
    <w:rsid w:val="00E832D4"/>
    <w:rsid w:val="00E86EC6"/>
    <w:rsid w:val="00E909D4"/>
    <w:rsid w:val="00E90B1C"/>
    <w:rsid w:val="00E90B9D"/>
    <w:rsid w:val="00E9259F"/>
    <w:rsid w:val="00E92EF1"/>
    <w:rsid w:val="00E92F14"/>
    <w:rsid w:val="00E93C9A"/>
    <w:rsid w:val="00E942E2"/>
    <w:rsid w:val="00E966F9"/>
    <w:rsid w:val="00EA10CD"/>
    <w:rsid w:val="00EA1BAE"/>
    <w:rsid w:val="00EA25EE"/>
    <w:rsid w:val="00EA26CC"/>
    <w:rsid w:val="00EA481D"/>
    <w:rsid w:val="00EA619E"/>
    <w:rsid w:val="00EA7096"/>
    <w:rsid w:val="00EB1F0B"/>
    <w:rsid w:val="00EB3E10"/>
    <w:rsid w:val="00EB4EA0"/>
    <w:rsid w:val="00EB61CB"/>
    <w:rsid w:val="00EB6D57"/>
    <w:rsid w:val="00EB6EBA"/>
    <w:rsid w:val="00EB7136"/>
    <w:rsid w:val="00EC2982"/>
    <w:rsid w:val="00EC3199"/>
    <w:rsid w:val="00EC48C9"/>
    <w:rsid w:val="00EC4961"/>
    <w:rsid w:val="00EC4AF4"/>
    <w:rsid w:val="00EC5C21"/>
    <w:rsid w:val="00ED0E58"/>
    <w:rsid w:val="00ED1022"/>
    <w:rsid w:val="00ED1F6F"/>
    <w:rsid w:val="00ED24EC"/>
    <w:rsid w:val="00ED5B3D"/>
    <w:rsid w:val="00ED5E93"/>
    <w:rsid w:val="00ED795A"/>
    <w:rsid w:val="00EE058B"/>
    <w:rsid w:val="00EE0B08"/>
    <w:rsid w:val="00EE0CD9"/>
    <w:rsid w:val="00EE120C"/>
    <w:rsid w:val="00EE2FA9"/>
    <w:rsid w:val="00EE3312"/>
    <w:rsid w:val="00EE3624"/>
    <w:rsid w:val="00EE3DA1"/>
    <w:rsid w:val="00EE3F84"/>
    <w:rsid w:val="00EE41AC"/>
    <w:rsid w:val="00EE5A60"/>
    <w:rsid w:val="00EE5D87"/>
    <w:rsid w:val="00EF1233"/>
    <w:rsid w:val="00EF1376"/>
    <w:rsid w:val="00EF1F1A"/>
    <w:rsid w:val="00EF2447"/>
    <w:rsid w:val="00EF2FF1"/>
    <w:rsid w:val="00EF31AA"/>
    <w:rsid w:val="00EF336A"/>
    <w:rsid w:val="00EF3647"/>
    <w:rsid w:val="00EF3B16"/>
    <w:rsid w:val="00EF6814"/>
    <w:rsid w:val="00F03E70"/>
    <w:rsid w:val="00F04894"/>
    <w:rsid w:val="00F05425"/>
    <w:rsid w:val="00F06CFE"/>
    <w:rsid w:val="00F07CE5"/>
    <w:rsid w:val="00F10163"/>
    <w:rsid w:val="00F10CB3"/>
    <w:rsid w:val="00F110A4"/>
    <w:rsid w:val="00F118E7"/>
    <w:rsid w:val="00F13EEF"/>
    <w:rsid w:val="00F15508"/>
    <w:rsid w:val="00F15EAA"/>
    <w:rsid w:val="00F1698E"/>
    <w:rsid w:val="00F1732C"/>
    <w:rsid w:val="00F21091"/>
    <w:rsid w:val="00F22094"/>
    <w:rsid w:val="00F22F20"/>
    <w:rsid w:val="00F26CD7"/>
    <w:rsid w:val="00F27996"/>
    <w:rsid w:val="00F31E8F"/>
    <w:rsid w:val="00F35030"/>
    <w:rsid w:val="00F37372"/>
    <w:rsid w:val="00F374E8"/>
    <w:rsid w:val="00F37688"/>
    <w:rsid w:val="00F436F9"/>
    <w:rsid w:val="00F444E4"/>
    <w:rsid w:val="00F44608"/>
    <w:rsid w:val="00F454AF"/>
    <w:rsid w:val="00F470A5"/>
    <w:rsid w:val="00F479E6"/>
    <w:rsid w:val="00F50ABD"/>
    <w:rsid w:val="00F5213E"/>
    <w:rsid w:val="00F52794"/>
    <w:rsid w:val="00F54ED6"/>
    <w:rsid w:val="00F56798"/>
    <w:rsid w:val="00F56B73"/>
    <w:rsid w:val="00F60CF5"/>
    <w:rsid w:val="00F60E8A"/>
    <w:rsid w:val="00F6150E"/>
    <w:rsid w:val="00F61D43"/>
    <w:rsid w:val="00F62C9C"/>
    <w:rsid w:val="00F63BD1"/>
    <w:rsid w:val="00F6602C"/>
    <w:rsid w:val="00F7161F"/>
    <w:rsid w:val="00F71E2C"/>
    <w:rsid w:val="00F74685"/>
    <w:rsid w:val="00F746B5"/>
    <w:rsid w:val="00F77E3A"/>
    <w:rsid w:val="00F800AC"/>
    <w:rsid w:val="00F80705"/>
    <w:rsid w:val="00F80EDD"/>
    <w:rsid w:val="00F81D47"/>
    <w:rsid w:val="00F81FA7"/>
    <w:rsid w:val="00F82381"/>
    <w:rsid w:val="00F83648"/>
    <w:rsid w:val="00F83D6E"/>
    <w:rsid w:val="00F844AD"/>
    <w:rsid w:val="00F8453F"/>
    <w:rsid w:val="00F87422"/>
    <w:rsid w:val="00F90755"/>
    <w:rsid w:val="00F915B9"/>
    <w:rsid w:val="00F91F14"/>
    <w:rsid w:val="00F948C1"/>
    <w:rsid w:val="00FA0453"/>
    <w:rsid w:val="00FA12E4"/>
    <w:rsid w:val="00FA16C6"/>
    <w:rsid w:val="00FA18A0"/>
    <w:rsid w:val="00FA240F"/>
    <w:rsid w:val="00FA3354"/>
    <w:rsid w:val="00FA3668"/>
    <w:rsid w:val="00FA3F21"/>
    <w:rsid w:val="00FA6FED"/>
    <w:rsid w:val="00FB212F"/>
    <w:rsid w:val="00FB29FA"/>
    <w:rsid w:val="00FB36D7"/>
    <w:rsid w:val="00FB41F4"/>
    <w:rsid w:val="00FB4A7B"/>
    <w:rsid w:val="00FB4CE8"/>
    <w:rsid w:val="00FB5BED"/>
    <w:rsid w:val="00FB71B2"/>
    <w:rsid w:val="00FC1541"/>
    <w:rsid w:val="00FC2612"/>
    <w:rsid w:val="00FC5A6D"/>
    <w:rsid w:val="00FD0194"/>
    <w:rsid w:val="00FD14A7"/>
    <w:rsid w:val="00FD2521"/>
    <w:rsid w:val="00FD3F31"/>
    <w:rsid w:val="00FD4114"/>
    <w:rsid w:val="00FD47C6"/>
    <w:rsid w:val="00FD4DCF"/>
    <w:rsid w:val="00FD503E"/>
    <w:rsid w:val="00FD6086"/>
    <w:rsid w:val="00FD6BD3"/>
    <w:rsid w:val="00FD75E3"/>
    <w:rsid w:val="00FD7988"/>
    <w:rsid w:val="00FD7AC5"/>
    <w:rsid w:val="00FE0457"/>
    <w:rsid w:val="00FE0B9B"/>
    <w:rsid w:val="00FE2B9C"/>
    <w:rsid w:val="00FE5FBD"/>
    <w:rsid w:val="00FE6ECD"/>
    <w:rsid w:val="00FE6F48"/>
    <w:rsid w:val="00FE735E"/>
    <w:rsid w:val="00FE7A8E"/>
    <w:rsid w:val="00FF105E"/>
    <w:rsid w:val="00FF2248"/>
    <w:rsid w:val="00FF2501"/>
    <w:rsid w:val="00FF28AF"/>
    <w:rsid w:val="00FF3734"/>
    <w:rsid w:val="00FF4578"/>
    <w:rsid w:val="00FF558D"/>
    <w:rsid w:val="00FF5CC2"/>
    <w:rsid w:val="00FF628E"/>
    <w:rsid w:val="00FF6895"/>
    <w:rsid w:val="00FF6DA7"/>
    <w:rsid w:val="00FF731F"/>
    <w:rsid w:val="00FF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73983C"/>
  <w15:docId w15:val="{8C9C770E-4707-42E9-AE49-C78D1D16C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4938FE"/>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261524"/>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autoRedefine/>
    <w:uiPriority w:val="9"/>
    <w:unhideWhenUsed/>
    <w:qFormat/>
    <w:rsid w:val="0006227E"/>
    <w:pPr>
      <w:keepNext/>
      <w:keepLines/>
      <w:spacing w:after="0" w:line="360" w:lineRule="auto"/>
      <w:outlineLvl w:val="1"/>
    </w:pPr>
    <w:rPr>
      <w:rFonts w:ascii="Times New Roman" w:hAnsi="Times New Roman"/>
      <w:b/>
      <w:bCs/>
      <w:color w:val="000000"/>
      <w:lang w:val="en-GB"/>
    </w:rPr>
  </w:style>
  <w:style w:type="paragraph" w:styleId="Heading3">
    <w:name w:val="heading 3"/>
    <w:basedOn w:val="Normal"/>
    <w:next w:val="Normal"/>
    <w:link w:val="Heading3Char"/>
    <w:autoRedefine/>
    <w:uiPriority w:val="9"/>
    <w:unhideWhenUsed/>
    <w:qFormat/>
    <w:rsid w:val="006C1ABF"/>
    <w:pPr>
      <w:keepNext/>
      <w:keepLines/>
      <w:spacing w:after="0" w:line="360" w:lineRule="auto"/>
      <w:jc w:val="both"/>
      <w:outlineLvl w:val="2"/>
    </w:pPr>
    <w:rPr>
      <w:rFonts w:ascii="Times New Roman" w:hAnsi="Times New Roman"/>
      <w:b/>
      <w:color w:val="000000"/>
      <w:lang w:val="en-GB"/>
    </w:rPr>
  </w:style>
  <w:style w:type="paragraph" w:styleId="Heading4">
    <w:name w:val="heading 4"/>
    <w:basedOn w:val="Normal"/>
    <w:next w:val="Normal"/>
    <w:link w:val="Heading4Char"/>
    <w:uiPriority w:val="9"/>
    <w:unhideWhenUsed/>
    <w:qFormat/>
    <w:rsid w:val="00733CB1"/>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007517"/>
    <w:pPr>
      <w:keepNext/>
      <w:keepLines/>
      <w:spacing w:before="200" w:after="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503E"/>
    <w:rPr>
      <w:sz w:val="22"/>
      <w:szCs w:val="22"/>
      <w:lang w:val="hr-HR"/>
    </w:rPr>
  </w:style>
  <w:style w:type="paragraph" w:styleId="BalloonText">
    <w:name w:val="Balloon Text"/>
    <w:basedOn w:val="Normal"/>
    <w:link w:val="BalloonTextChar"/>
    <w:uiPriority w:val="99"/>
    <w:semiHidden/>
    <w:unhideWhenUsed/>
    <w:rsid w:val="00F80E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80EDD"/>
    <w:rPr>
      <w:rFonts w:ascii="Tahoma" w:eastAsia="Times New Roman" w:hAnsi="Tahoma" w:cs="Tahoma"/>
      <w:sz w:val="16"/>
      <w:szCs w:val="16"/>
      <w:lang w:val="en-US" w:bidi="en-US"/>
    </w:rPr>
  </w:style>
  <w:style w:type="character" w:styleId="LineNumber">
    <w:name w:val="line number"/>
    <w:basedOn w:val="DefaultParagraphFont"/>
    <w:uiPriority w:val="99"/>
    <w:semiHidden/>
    <w:unhideWhenUsed/>
    <w:rsid w:val="00F80EDD"/>
  </w:style>
  <w:style w:type="character" w:customStyle="1" w:styleId="Heading1Char">
    <w:name w:val="Heading 1 Char"/>
    <w:link w:val="Heading1"/>
    <w:uiPriority w:val="9"/>
    <w:rsid w:val="00261524"/>
    <w:rPr>
      <w:rFonts w:ascii="Cambria" w:eastAsia="Times New Roman" w:hAnsi="Cambria" w:cs="Times New Roman"/>
      <w:b/>
      <w:bCs/>
      <w:sz w:val="28"/>
      <w:szCs w:val="28"/>
      <w:lang w:val="en-US" w:bidi="en-US"/>
    </w:rPr>
  </w:style>
  <w:style w:type="character" w:customStyle="1" w:styleId="addmd">
    <w:name w:val="addmd"/>
    <w:basedOn w:val="DefaultParagraphFont"/>
    <w:rsid w:val="00261524"/>
  </w:style>
  <w:style w:type="character" w:styleId="Hyperlink">
    <w:name w:val="Hyperlink"/>
    <w:uiPriority w:val="99"/>
    <w:unhideWhenUsed/>
    <w:rsid w:val="00261524"/>
    <w:rPr>
      <w:color w:val="0000FF"/>
      <w:u w:val="single"/>
    </w:rPr>
  </w:style>
  <w:style w:type="character" w:customStyle="1" w:styleId="size-m">
    <w:name w:val="size-m"/>
    <w:basedOn w:val="DefaultParagraphFont"/>
    <w:rsid w:val="00261524"/>
  </w:style>
  <w:style w:type="character" w:customStyle="1" w:styleId="apple-converted-space">
    <w:name w:val="apple-converted-space"/>
    <w:basedOn w:val="DefaultParagraphFont"/>
    <w:rsid w:val="00261524"/>
  </w:style>
  <w:style w:type="character" w:customStyle="1" w:styleId="author">
    <w:name w:val="author"/>
    <w:basedOn w:val="DefaultParagraphFont"/>
    <w:rsid w:val="00261524"/>
  </w:style>
  <w:style w:type="character" w:customStyle="1" w:styleId="author-name">
    <w:name w:val="author-name"/>
    <w:basedOn w:val="DefaultParagraphFont"/>
    <w:rsid w:val="00261524"/>
  </w:style>
  <w:style w:type="character" w:customStyle="1" w:styleId="sr-only">
    <w:name w:val="sr-only"/>
    <w:basedOn w:val="DefaultParagraphFont"/>
    <w:rsid w:val="00261524"/>
  </w:style>
  <w:style w:type="character" w:customStyle="1" w:styleId="author-ref">
    <w:name w:val="author-ref"/>
    <w:basedOn w:val="DefaultParagraphFont"/>
    <w:rsid w:val="00261524"/>
  </w:style>
  <w:style w:type="character" w:customStyle="1" w:styleId="Heading2Char">
    <w:name w:val="Heading 2 Char"/>
    <w:link w:val="Heading2"/>
    <w:uiPriority w:val="9"/>
    <w:rsid w:val="0006227E"/>
    <w:rPr>
      <w:rFonts w:ascii="Times New Roman" w:eastAsia="Times New Roman" w:hAnsi="Times New Roman"/>
      <w:b/>
      <w:bCs/>
      <w:color w:val="000000"/>
      <w:sz w:val="22"/>
      <w:szCs w:val="22"/>
      <w:lang w:val="en-GB" w:bidi="en-US"/>
    </w:rPr>
  </w:style>
  <w:style w:type="paragraph" w:customStyle="1" w:styleId="booktitle">
    <w:name w:val="booktitle"/>
    <w:basedOn w:val="Normal"/>
    <w:rsid w:val="00261524"/>
    <w:pPr>
      <w:spacing w:before="100" w:beforeAutospacing="1" w:after="100" w:afterAutospacing="1" w:line="240" w:lineRule="auto"/>
    </w:pPr>
    <w:rPr>
      <w:rFonts w:ascii="Times New Roman" w:hAnsi="Times New Roman"/>
      <w:sz w:val="24"/>
      <w:szCs w:val="24"/>
      <w:lang w:val="hr-HR" w:eastAsia="hr-HR" w:bidi="ar-SA"/>
    </w:rPr>
  </w:style>
  <w:style w:type="paragraph" w:styleId="NormalWeb">
    <w:name w:val="Normal (Web)"/>
    <w:basedOn w:val="Normal"/>
    <w:uiPriority w:val="99"/>
    <w:semiHidden/>
    <w:unhideWhenUsed/>
    <w:rsid w:val="00261524"/>
    <w:pPr>
      <w:spacing w:before="100" w:beforeAutospacing="1" w:after="100" w:afterAutospacing="1" w:line="240" w:lineRule="auto"/>
    </w:pPr>
    <w:rPr>
      <w:rFonts w:ascii="Times New Roman" w:hAnsi="Times New Roman"/>
      <w:sz w:val="24"/>
      <w:szCs w:val="24"/>
      <w:lang w:val="hr-HR" w:eastAsia="hr-HR" w:bidi="ar-SA"/>
    </w:rPr>
  </w:style>
  <w:style w:type="character" w:customStyle="1" w:styleId="vol-info">
    <w:name w:val="vol-info"/>
    <w:basedOn w:val="DefaultParagraphFont"/>
    <w:rsid w:val="00261524"/>
  </w:style>
  <w:style w:type="character" w:customStyle="1" w:styleId="page-numbers-info">
    <w:name w:val="page-numbers-info"/>
    <w:basedOn w:val="DefaultParagraphFont"/>
    <w:rsid w:val="00261524"/>
  </w:style>
  <w:style w:type="character" w:customStyle="1" w:styleId="authorname">
    <w:name w:val="authorname"/>
    <w:basedOn w:val="DefaultParagraphFont"/>
    <w:rsid w:val="00261524"/>
  </w:style>
  <w:style w:type="character" w:customStyle="1" w:styleId="Heading5Char">
    <w:name w:val="Heading 5 Char"/>
    <w:link w:val="Heading5"/>
    <w:uiPriority w:val="9"/>
    <w:semiHidden/>
    <w:rsid w:val="00007517"/>
    <w:rPr>
      <w:rFonts w:ascii="Cambria" w:eastAsia="Times New Roman" w:hAnsi="Cambria" w:cs="Times New Roman"/>
      <w:color w:val="243F60"/>
      <w:lang w:val="en-US" w:bidi="en-US"/>
    </w:rPr>
  </w:style>
  <w:style w:type="character" w:styleId="HTMLCite">
    <w:name w:val="HTML Cite"/>
    <w:uiPriority w:val="99"/>
    <w:semiHidden/>
    <w:unhideWhenUsed/>
    <w:rsid w:val="005A5124"/>
    <w:rPr>
      <w:i/>
      <w:iCs/>
    </w:rPr>
  </w:style>
  <w:style w:type="character" w:customStyle="1" w:styleId="pubyear">
    <w:name w:val="pubyear"/>
    <w:basedOn w:val="DefaultParagraphFont"/>
    <w:rsid w:val="005A5124"/>
  </w:style>
  <w:style w:type="character" w:customStyle="1" w:styleId="articletitle">
    <w:name w:val="articletitle"/>
    <w:basedOn w:val="DefaultParagraphFont"/>
    <w:rsid w:val="005A5124"/>
  </w:style>
  <w:style w:type="character" w:customStyle="1" w:styleId="journaltitle">
    <w:name w:val="journaltitle"/>
    <w:basedOn w:val="DefaultParagraphFont"/>
    <w:rsid w:val="005A5124"/>
  </w:style>
  <w:style w:type="character" w:customStyle="1" w:styleId="vol">
    <w:name w:val="vol"/>
    <w:basedOn w:val="DefaultParagraphFont"/>
    <w:rsid w:val="005A5124"/>
  </w:style>
  <w:style w:type="character" w:customStyle="1" w:styleId="pagefirst">
    <w:name w:val="pagefirst"/>
    <w:basedOn w:val="DefaultParagraphFont"/>
    <w:rsid w:val="005A5124"/>
  </w:style>
  <w:style w:type="character" w:customStyle="1" w:styleId="pagelast">
    <w:name w:val="pagelast"/>
    <w:basedOn w:val="DefaultParagraphFont"/>
    <w:rsid w:val="005A5124"/>
  </w:style>
  <w:style w:type="character" w:customStyle="1" w:styleId="fn">
    <w:name w:val="fn"/>
    <w:basedOn w:val="DefaultParagraphFont"/>
    <w:rsid w:val="00233F01"/>
  </w:style>
  <w:style w:type="character" w:customStyle="1" w:styleId="Title1">
    <w:name w:val="Title1"/>
    <w:basedOn w:val="DefaultParagraphFont"/>
    <w:rsid w:val="00233F01"/>
  </w:style>
  <w:style w:type="character" w:customStyle="1" w:styleId="source-title">
    <w:name w:val="source-title"/>
    <w:basedOn w:val="DefaultParagraphFont"/>
    <w:rsid w:val="00233F01"/>
  </w:style>
  <w:style w:type="character" w:customStyle="1" w:styleId="volume">
    <w:name w:val="volume"/>
    <w:basedOn w:val="DefaultParagraphFont"/>
    <w:rsid w:val="00233F01"/>
  </w:style>
  <w:style w:type="character" w:customStyle="1" w:styleId="start-page">
    <w:name w:val="start-page"/>
    <w:basedOn w:val="DefaultParagraphFont"/>
    <w:rsid w:val="00233F01"/>
  </w:style>
  <w:style w:type="character" w:customStyle="1" w:styleId="end-page">
    <w:name w:val="end-page"/>
    <w:basedOn w:val="DefaultParagraphFont"/>
    <w:rsid w:val="00233F01"/>
  </w:style>
  <w:style w:type="character" w:customStyle="1" w:styleId="year">
    <w:name w:val="year"/>
    <w:basedOn w:val="DefaultParagraphFont"/>
    <w:rsid w:val="00233F01"/>
  </w:style>
  <w:style w:type="character" w:customStyle="1" w:styleId="pbarticletitle">
    <w:name w:val="pb_article_title"/>
    <w:basedOn w:val="DefaultParagraphFont"/>
    <w:rsid w:val="00F60E8A"/>
  </w:style>
  <w:style w:type="character" w:customStyle="1" w:styleId="pbauthors">
    <w:name w:val="pb_authors"/>
    <w:basedOn w:val="DefaultParagraphFont"/>
    <w:rsid w:val="00F60E8A"/>
  </w:style>
  <w:style w:type="paragraph" w:customStyle="1" w:styleId="volissue">
    <w:name w:val="volissue"/>
    <w:basedOn w:val="Normal"/>
    <w:rsid w:val="005467DB"/>
    <w:pPr>
      <w:spacing w:before="100" w:beforeAutospacing="1" w:after="100" w:afterAutospacing="1" w:line="240" w:lineRule="auto"/>
    </w:pPr>
    <w:rPr>
      <w:rFonts w:ascii="Times New Roman" w:hAnsi="Times New Roman"/>
      <w:sz w:val="24"/>
      <w:szCs w:val="24"/>
      <w:lang w:val="hr-HR" w:eastAsia="hr-HR" w:bidi="ar-SA"/>
    </w:rPr>
  </w:style>
  <w:style w:type="character" w:customStyle="1" w:styleId="Heading4Char">
    <w:name w:val="Heading 4 Char"/>
    <w:link w:val="Heading4"/>
    <w:uiPriority w:val="9"/>
    <w:rsid w:val="00733CB1"/>
    <w:rPr>
      <w:rFonts w:ascii="Cambria" w:eastAsia="Times New Roman" w:hAnsi="Cambria" w:cs="Times New Roman"/>
      <w:b/>
      <w:bCs/>
      <w:i/>
      <w:iCs/>
      <w:color w:val="4F81BD"/>
      <w:lang w:val="en-US" w:bidi="en-US"/>
    </w:rPr>
  </w:style>
  <w:style w:type="character" w:customStyle="1" w:styleId="articletypelabel">
    <w:name w:val="articletypelabel"/>
    <w:basedOn w:val="DefaultParagraphFont"/>
    <w:rsid w:val="00733CB1"/>
  </w:style>
  <w:style w:type="character" w:styleId="Emphasis">
    <w:name w:val="Emphasis"/>
    <w:uiPriority w:val="20"/>
    <w:qFormat/>
    <w:rsid w:val="001876A6"/>
    <w:rPr>
      <w:i/>
      <w:iCs/>
    </w:rPr>
  </w:style>
  <w:style w:type="character" w:styleId="FollowedHyperlink">
    <w:name w:val="FollowedHyperlink"/>
    <w:uiPriority w:val="99"/>
    <w:semiHidden/>
    <w:unhideWhenUsed/>
    <w:rsid w:val="00305887"/>
    <w:rPr>
      <w:color w:val="800080"/>
      <w:u w:val="single"/>
    </w:rPr>
  </w:style>
  <w:style w:type="character" w:styleId="CommentReference">
    <w:name w:val="annotation reference"/>
    <w:uiPriority w:val="99"/>
    <w:semiHidden/>
    <w:unhideWhenUsed/>
    <w:rsid w:val="00C826B1"/>
    <w:rPr>
      <w:sz w:val="16"/>
      <w:szCs w:val="16"/>
    </w:rPr>
  </w:style>
  <w:style w:type="paragraph" w:styleId="CommentText">
    <w:name w:val="annotation text"/>
    <w:basedOn w:val="Normal"/>
    <w:link w:val="CommentTextChar"/>
    <w:uiPriority w:val="99"/>
    <w:unhideWhenUsed/>
    <w:rsid w:val="00C826B1"/>
    <w:pPr>
      <w:spacing w:line="240" w:lineRule="auto"/>
    </w:pPr>
    <w:rPr>
      <w:sz w:val="20"/>
      <w:szCs w:val="20"/>
    </w:rPr>
  </w:style>
  <w:style w:type="character" w:customStyle="1" w:styleId="CommentTextChar">
    <w:name w:val="Comment Text Char"/>
    <w:link w:val="CommentText"/>
    <w:uiPriority w:val="99"/>
    <w:rsid w:val="00C826B1"/>
    <w:rPr>
      <w:rFonts w:eastAsia="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C826B1"/>
    <w:rPr>
      <w:b/>
      <w:bCs/>
    </w:rPr>
  </w:style>
  <w:style w:type="character" w:customStyle="1" w:styleId="CommentSubjectChar">
    <w:name w:val="Comment Subject Char"/>
    <w:link w:val="CommentSubject"/>
    <w:uiPriority w:val="99"/>
    <w:semiHidden/>
    <w:rsid w:val="00C826B1"/>
    <w:rPr>
      <w:rFonts w:eastAsia="Times New Roman"/>
      <w:b/>
      <w:bCs/>
      <w:sz w:val="20"/>
      <w:szCs w:val="20"/>
      <w:lang w:val="en-US" w:bidi="en-US"/>
    </w:rPr>
  </w:style>
  <w:style w:type="paragraph" w:styleId="Revision">
    <w:name w:val="Revision"/>
    <w:hidden/>
    <w:uiPriority w:val="99"/>
    <w:semiHidden/>
    <w:rsid w:val="00373741"/>
    <w:rPr>
      <w:rFonts w:eastAsia="Times New Roman"/>
      <w:sz w:val="22"/>
      <w:szCs w:val="22"/>
      <w:lang w:bidi="en-US"/>
    </w:rPr>
  </w:style>
  <w:style w:type="paragraph" w:styleId="EndnoteText">
    <w:name w:val="endnote text"/>
    <w:basedOn w:val="Normal"/>
    <w:link w:val="EndnoteTextChar"/>
    <w:uiPriority w:val="99"/>
    <w:semiHidden/>
    <w:unhideWhenUsed/>
    <w:rsid w:val="008A6B60"/>
    <w:pPr>
      <w:spacing w:after="0" w:line="240" w:lineRule="auto"/>
    </w:pPr>
    <w:rPr>
      <w:sz w:val="20"/>
      <w:szCs w:val="20"/>
    </w:rPr>
  </w:style>
  <w:style w:type="character" w:customStyle="1" w:styleId="EndnoteTextChar">
    <w:name w:val="Endnote Text Char"/>
    <w:link w:val="EndnoteText"/>
    <w:uiPriority w:val="99"/>
    <w:semiHidden/>
    <w:rsid w:val="008A6B60"/>
    <w:rPr>
      <w:rFonts w:eastAsia="Times New Roman"/>
      <w:sz w:val="20"/>
      <w:szCs w:val="20"/>
      <w:lang w:val="en-US" w:bidi="en-US"/>
    </w:rPr>
  </w:style>
  <w:style w:type="character" w:styleId="EndnoteReference">
    <w:name w:val="endnote reference"/>
    <w:uiPriority w:val="99"/>
    <w:semiHidden/>
    <w:unhideWhenUsed/>
    <w:rsid w:val="008A6B60"/>
    <w:rPr>
      <w:vertAlign w:val="superscript"/>
    </w:rPr>
  </w:style>
  <w:style w:type="paragraph" w:customStyle="1" w:styleId="Default">
    <w:name w:val="Default"/>
    <w:rsid w:val="007A072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71252C"/>
    <w:pPr>
      <w:ind w:left="720"/>
      <w:contextualSpacing/>
    </w:pPr>
  </w:style>
  <w:style w:type="character" w:customStyle="1" w:styleId="Heading3Char">
    <w:name w:val="Heading 3 Char"/>
    <w:link w:val="Heading3"/>
    <w:uiPriority w:val="9"/>
    <w:rsid w:val="006C1ABF"/>
    <w:rPr>
      <w:rFonts w:ascii="Times New Roman" w:eastAsia="Times New Roman" w:hAnsi="Times New Roman" w:cs="Times New Roman"/>
      <w:b/>
      <w:color w:val="000000"/>
      <w:lang w:val="en-GB" w:bidi="en-US"/>
    </w:rPr>
  </w:style>
  <w:style w:type="table" w:styleId="ListTable1Light-Accent3">
    <w:name w:val="List Table 1 Light Accent 3"/>
    <w:basedOn w:val="TableNormal"/>
    <w:uiPriority w:val="46"/>
    <w:rsid w:val="00D65433"/>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Header">
    <w:name w:val="header"/>
    <w:basedOn w:val="Normal"/>
    <w:link w:val="HeaderChar"/>
    <w:uiPriority w:val="99"/>
    <w:unhideWhenUsed/>
    <w:rsid w:val="0056445D"/>
    <w:pPr>
      <w:tabs>
        <w:tab w:val="center" w:pos="4536"/>
        <w:tab w:val="right" w:pos="9072"/>
      </w:tabs>
    </w:pPr>
  </w:style>
  <w:style w:type="character" w:customStyle="1" w:styleId="HeaderChar">
    <w:name w:val="Header Char"/>
    <w:link w:val="Header"/>
    <w:uiPriority w:val="99"/>
    <w:rsid w:val="0056445D"/>
    <w:rPr>
      <w:rFonts w:eastAsia="Times New Roman"/>
      <w:sz w:val="22"/>
      <w:szCs w:val="22"/>
      <w:lang w:val="en-US" w:eastAsia="en-US" w:bidi="en-US"/>
    </w:rPr>
  </w:style>
  <w:style w:type="paragraph" w:styleId="Footer">
    <w:name w:val="footer"/>
    <w:basedOn w:val="Normal"/>
    <w:link w:val="FooterChar"/>
    <w:uiPriority w:val="99"/>
    <w:unhideWhenUsed/>
    <w:rsid w:val="0056445D"/>
    <w:pPr>
      <w:tabs>
        <w:tab w:val="center" w:pos="4536"/>
        <w:tab w:val="right" w:pos="9072"/>
      </w:tabs>
    </w:pPr>
  </w:style>
  <w:style w:type="character" w:customStyle="1" w:styleId="FooterChar">
    <w:name w:val="Footer Char"/>
    <w:link w:val="Footer"/>
    <w:uiPriority w:val="99"/>
    <w:rsid w:val="0056445D"/>
    <w:rPr>
      <w:rFonts w:eastAsia="Times New Roman"/>
      <w:sz w:val="22"/>
      <w:szCs w:val="22"/>
      <w:lang w:val="en-US" w:eastAsia="en-US" w:bidi="en-US"/>
    </w:rPr>
  </w:style>
  <w:style w:type="character" w:customStyle="1" w:styleId="UnresolvedMention">
    <w:name w:val="Unresolved Mention"/>
    <w:basedOn w:val="DefaultParagraphFont"/>
    <w:uiPriority w:val="99"/>
    <w:semiHidden/>
    <w:unhideWhenUsed/>
    <w:rsid w:val="00822E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687">
      <w:bodyDiv w:val="1"/>
      <w:marLeft w:val="0"/>
      <w:marRight w:val="0"/>
      <w:marTop w:val="0"/>
      <w:marBottom w:val="0"/>
      <w:divBdr>
        <w:top w:val="none" w:sz="0" w:space="0" w:color="auto"/>
        <w:left w:val="none" w:sz="0" w:space="0" w:color="auto"/>
        <w:bottom w:val="none" w:sz="0" w:space="0" w:color="auto"/>
        <w:right w:val="none" w:sz="0" w:space="0" w:color="auto"/>
      </w:divBdr>
      <w:divsChild>
        <w:div w:id="1102189338">
          <w:marLeft w:val="0"/>
          <w:marRight w:val="0"/>
          <w:marTop w:val="0"/>
          <w:marBottom w:val="0"/>
          <w:divBdr>
            <w:top w:val="none" w:sz="0" w:space="0" w:color="auto"/>
            <w:left w:val="none" w:sz="0" w:space="0" w:color="auto"/>
            <w:bottom w:val="none" w:sz="0" w:space="0" w:color="auto"/>
            <w:right w:val="none" w:sz="0" w:space="0" w:color="auto"/>
          </w:divBdr>
        </w:div>
        <w:div w:id="1395273029">
          <w:marLeft w:val="0"/>
          <w:marRight w:val="0"/>
          <w:marTop w:val="0"/>
          <w:marBottom w:val="0"/>
          <w:divBdr>
            <w:top w:val="none" w:sz="0" w:space="0" w:color="auto"/>
            <w:left w:val="none" w:sz="0" w:space="0" w:color="auto"/>
            <w:bottom w:val="none" w:sz="0" w:space="0" w:color="auto"/>
            <w:right w:val="none" w:sz="0" w:space="0" w:color="auto"/>
          </w:divBdr>
        </w:div>
        <w:div w:id="1328099284">
          <w:marLeft w:val="0"/>
          <w:marRight w:val="0"/>
          <w:marTop w:val="0"/>
          <w:marBottom w:val="0"/>
          <w:divBdr>
            <w:top w:val="none" w:sz="0" w:space="0" w:color="auto"/>
            <w:left w:val="none" w:sz="0" w:space="0" w:color="auto"/>
            <w:bottom w:val="none" w:sz="0" w:space="0" w:color="auto"/>
            <w:right w:val="none" w:sz="0" w:space="0" w:color="auto"/>
          </w:divBdr>
        </w:div>
      </w:divsChild>
    </w:div>
    <w:div w:id="102770926">
      <w:bodyDiv w:val="1"/>
      <w:marLeft w:val="0"/>
      <w:marRight w:val="0"/>
      <w:marTop w:val="0"/>
      <w:marBottom w:val="0"/>
      <w:divBdr>
        <w:top w:val="none" w:sz="0" w:space="0" w:color="auto"/>
        <w:left w:val="none" w:sz="0" w:space="0" w:color="auto"/>
        <w:bottom w:val="none" w:sz="0" w:space="0" w:color="auto"/>
        <w:right w:val="none" w:sz="0" w:space="0" w:color="auto"/>
      </w:divBdr>
    </w:div>
    <w:div w:id="104886597">
      <w:bodyDiv w:val="1"/>
      <w:marLeft w:val="0"/>
      <w:marRight w:val="0"/>
      <w:marTop w:val="0"/>
      <w:marBottom w:val="0"/>
      <w:divBdr>
        <w:top w:val="none" w:sz="0" w:space="0" w:color="auto"/>
        <w:left w:val="none" w:sz="0" w:space="0" w:color="auto"/>
        <w:bottom w:val="none" w:sz="0" w:space="0" w:color="auto"/>
        <w:right w:val="none" w:sz="0" w:space="0" w:color="auto"/>
      </w:divBdr>
    </w:div>
    <w:div w:id="113838268">
      <w:bodyDiv w:val="1"/>
      <w:marLeft w:val="0"/>
      <w:marRight w:val="0"/>
      <w:marTop w:val="0"/>
      <w:marBottom w:val="0"/>
      <w:divBdr>
        <w:top w:val="none" w:sz="0" w:space="0" w:color="auto"/>
        <w:left w:val="none" w:sz="0" w:space="0" w:color="auto"/>
        <w:bottom w:val="none" w:sz="0" w:space="0" w:color="auto"/>
        <w:right w:val="none" w:sz="0" w:space="0" w:color="auto"/>
      </w:divBdr>
    </w:div>
    <w:div w:id="115687934">
      <w:bodyDiv w:val="1"/>
      <w:marLeft w:val="0"/>
      <w:marRight w:val="0"/>
      <w:marTop w:val="0"/>
      <w:marBottom w:val="0"/>
      <w:divBdr>
        <w:top w:val="none" w:sz="0" w:space="0" w:color="auto"/>
        <w:left w:val="none" w:sz="0" w:space="0" w:color="auto"/>
        <w:bottom w:val="none" w:sz="0" w:space="0" w:color="auto"/>
        <w:right w:val="none" w:sz="0" w:space="0" w:color="auto"/>
      </w:divBdr>
    </w:div>
    <w:div w:id="135418267">
      <w:bodyDiv w:val="1"/>
      <w:marLeft w:val="0"/>
      <w:marRight w:val="0"/>
      <w:marTop w:val="0"/>
      <w:marBottom w:val="0"/>
      <w:divBdr>
        <w:top w:val="none" w:sz="0" w:space="0" w:color="auto"/>
        <w:left w:val="none" w:sz="0" w:space="0" w:color="auto"/>
        <w:bottom w:val="none" w:sz="0" w:space="0" w:color="auto"/>
        <w:right w:val="none" w:sz="0" w:space="0" w:color="auto"/>
      </w:divBdr>
    </w:div>
    <w:div w:id="154538507">
      <w:bodyDiv w:val="1"/>
      <w:marLeft w:val="0"/>
      <w:marRight w:val="0"/>
      <w:marTop w:val="0"/>
      <w:marBottom w:val="0"/>
      <w:divBdr>
        <w:top w:val="none" w:sz="0" w:space="0" w:color="auto"/>
        <w:left w:val="none" w:sz="0" w:space="0" w:color="auto"/>
        <w:bottom w:val="none" w:sz="0" w:space="0" w:color="auto"/>
        <w:right w:val="none" w:sz="0" w:space="0" w:color="auto"/>
      </w:divBdr>
      <w:divsChild>
        <w:div w:id="1054544697">
          <w:marLeft w:val="0"/>
          <w:marRight w:val="0"/>
          <w:marTop w:val="0"/>
          <w:marBottom w:val="0"/>
          <w:divBdr>
            <w:top w:val="none" w:sz="0" w:space="0" w:color="auto"/>
            <w:left w:val="none" w:sz="0" w:space="0" w:color="auto"/>
            <w:bottom w:val="none" w:sz="0" w:space="0" w:color="auto"/>
            <w:right w:val="none" w:sz="0" w:space="0" w:color="auto"/>
          </w:divBdr>
        </w:div>
        <w:div w:id="1110929448">
          <w:marLeft w:val="0"/>
          <w:marRight w:val="0"/>
          <w:marTop w:val="0"/>
          <w:marBottom w:val="0"/>
          <w:divBdr>
            <w:top w:val="none" w:sz="0" w:space="0" w:color="auto"/>
            <w:left w:val="none" w:sz="0" w:space="0" w:color="auto"/>
            <w:bottom w:val="none" w:sz="0" w:space="0" w:color="auto"/>
            <w:right w:val="none" w:sz="0" w:space="0" w:color="auto"/>
          </w:divBdr>
        </w:div>
        <w:div w:id="1207377930">
          <w:marLeft w:val="0"/>
          <w:marRight w:val="0"/>
          <w:marTop w:val="0"/>
          <w:marBottom w:val="0"/>
          <w:divBdr>
            <w:top w:val="none" w:sz="0" w:space="0" w:color="auto"/>
            <w:left w:val="none" w:sz="0" w:space="0" w:color="auto"/>
            <w:bottom w:val="none" w:sz="0" w:space="0" w:color="auto"/>
            <w:right w:val="none" w:sz="0" w:space="0" w:color="auto"/>
          </w:divBdr>
        </w:div>
        <w:div w:id="1325629157">
          <w:marLeft w:val="0"/>
          <w:marRight w:val="0"/>
          <w:marTop w:val="0"/>
          <w:marBottom w:val="0"/>
          <w:divBdr>
            <w:top w:val="none" w:sz="0" w:space="0" w:color="auto"/>
            <w:left w:val="none" w:sz="0" w:space="0" w:color="auto"/>
            <w:bottom w:val="none" w:sz="0" w:space="0" w:color="auto"/>
            <w:right w:val="none" w:sz="0" w:space="0" w:color="auto"/>
          </w:divBdr>
        </w:div>
        <w:div w:id="2101367062">
          <w:marLeft w:val="0"/>
          <w:marRight w:val="0"/>
          <w:marTop w:val="0"/>
          <w:marBottom w:val="0"/>
          <w:divBdr>
            <w:top w:val="none" w:sz="0" w:space="0" w:color="auto"/>
            <w:left w:val="none" w:sz="0" w:space="0" w:color="auto"/>
            <w:bottom w:val="none" w:sz="0" w:space="0" w:color="auto"/>
            <w:right w:val="none" w:sz="0" w:space="0" w:color="auto"/>
          </w:divBdr>
        </w:div>
      </w:divsChild>
    </w:div>
    <w:div w:id="182863939">
      <w:bodyDiv w:val="1"/>
      <w:marLeft w:val="0"/>
      <w:marRight w:val="0"/>
      <w:marTop w:val="0"/>
      <w:marBottom w:val="0"/>
      <w:divBdr>
        <w:top w:val="none" w:sz="0" w:space="0" w:color="auto"/>
        <w:left w:val="none" w:sz="0" w:space="0" w:color="auto"/>
        <w:bottom w:val="none" w:sz="0" w:space="0" w:color="auto"/>
        <w:right w:val="none" w:sz="0" w:space="0" w:color="auto"/>
      </w:divBdr>
    </w:div>
    <w:div w:id="289941648">
      <w:bodyDiv w:val="1"/>
      <w:marLeft w:val="0"/>
      <w:marRight w:val="0"/>
      <w:marTop w:val="0"/>
      <w:marBottom w:val="0"/>
      <w:divBdr>
        <w:top w:val="none" w:sz="0" w:space="0" w:color="auto"/>
        <w:left w:val="none" w:sz="0" w:space="0" w:color="auto"/>
        <w:bottom w:val="none" w:sz="0" w:space="0" w:color="auto"/>
        <w:right w:val="none" w:sz="0" w:space="0" w:color="auto"/>
      </w:divBdr>
      <w:divsChild>
        <w:div w:id="1459226318">
          <w:marLeft w:val="0"/>
          <w:marRight w:val="0"/>
          <w:marTop w:val="0"/>
          <w:marBottom w:val="0"/>
          <w:divBdr>
            <w:top w:val="none" w:sz="0" w:space="0" w:color="auto"/>
            <w:left w:val="none" w:sz="0" w:space="0" w:color="auto"/>
            <w:bottom w:val="none" w:sz="0" w:space="0" w:color="auto"/>
            <w:right w:val="none" w:sz="0" w:space="0" w:color="auto"/>
          </w:divBdr>
        </w:div>
      </w:divsChild>
    </w:div>
    <w:div w:id="351691501">
      <w:bodyDiv w:val="1"/>
      <w:marLeft w:val="0"/>
      <w:marRight w:val="0"/>
      <w:marTop w:val="0"/>
      <w:marBottom w:val="0"/>
      <w:divBdr>
        <w:top w:val="none" w:sz="0" w:space="0" w:color="auto"/>
        <w:left w:val="none" w:sz="0" w:space="0" w:color="auto"/>
        <w:bottom w:val="none" w:sz="0" w:space="0" w:color="auto"/>
        <w:right w:val="none" w:sz="0" w:space="0" w:color="auto"/>
      </w:divBdr>
      <w:divsChild>
        <w:div w:id="36396476">
          <w:marLeft w:val="0"/>
          <w:marRight w:val="0"/>
          <w:marTop w:val="0"/>
          <w:marBottom w:val="0"/>
          <w:divBdr>
            <w:top w:val="none" w:sz="0" w:space="0" w:color="auto"/>
            <w:left w:val="none" w:sz="0" w:space="0" w:color="auto"/>
            <w:bottom w:val="none" w:sz="0" w:space="0" w:color="auto"/>
            <w:right w:val="none" w:sz="0" w:space="0" w:color="auto"/>
          </w:divBdr>
        </w:div>
        <w:div w:id="308947665">
          <w:marLeft w:val="0"/>
          <w:marRight w:val="0"/>
          <w:marTop w:val="0"/>
          <w:marBottom w:val="0"/>
          <w:divBdr>
            <w:top w:val="none" w:sz="0" w:space="0" w:color="auto"/>
            <w:left w:val="none" w:sz="0" w:space="0" w:color="auto"/>
            <w:bottom w:val="none" w:sz="0" w:space="0" w:color="auto"/>
            <w:right w:val="none" w:sz="0" w:space="0" w:color="auto"/>
          </w:divBdr>
        </w:div>
        <w:div w:id="313874111">
          <w:marLeft w:val="0"/>
          <w:marRight w:val="0"/>
          <w:marTop w:val="0"/>
          <w:marBottom w:val="0"/>
          <w:divBdr>
            <w:top w:val="none" w:sz="0" w:space="0" w:color="auto"/>
            <w:left w:val="none" w:sz="0" w:space="0" w:color="auto"/>
            <w:bottom w:val="none" w:sz="0" w:space="0" w:color="auto"/>
            <w:right w:val="none" w:sz="0" w:space="0" w:color="auto"/>
          </w:divBdr>
        </w:div>
        <w:div w:id="662898659">
          <w:marLeft w:val="0"/>
          <w:marRight w:val="0"/>
          <w:marTop w:val="0"/>
          <w:marBottom w:val="0"/>
          <w:divBdr>
            <w:top w:val="none" w:sz="0" w:space="0" w:color="auto"/>
            <w:left w:val="none" w:sz="0" w:space="0" w:color="auto"/>
            <w:bottom w:val="none" w:sz="0" w:space="0" w:color="auto"/>
            <w:right w:val="none" w:sz="0" w:space="0" w:color="auto"/>
          </w:divBdr>
        </w:div>
        <w:div w:id="751243561">
          <w:marLeft w:val="0"/>
          <w:marRight w:val="0"/>
          <w:marTop w:val="0"/>
          <w:marBottom w:val="0"/>
          <w:divBdr>
            <w:top w:val="none" w:sz="0" w:space="0" w:color="auto"/>
            <w:left w:val="none" w:sz="0" w:space="0" w:color="auto"/>
            <w:bottom w:val="none" w:sz="0" w:space="0" w:color="auto"/>
            <w:right w:val="none" w:sz="0" w:space="0" w:color="auto"/>
          </w:divBdr>
        </w:div>
        <w:div w:id="788823011">
          <w:marLeft w:val="0"/>
          <w:marRight w:val="0"/>
          <w:marTop w:val="0"/>
          <w:marBottom w:val="0"/>
          <w:divBdr>
            <w:top w:val="none" w:sz="0" w:space="0" w:color="auto"/>
            <w:left w:val="none" w:sz="0" w:space="0" w:color="auto"/>
            <w:bottom w:val="none" w:sz="0" w:space="0" w:color="auto"/>
            <w:right w:val="none" w:sz="0" w:space="0" w:color="auto"/>
          </w:divBdr>
        </w:div>
        <w:div w:id="828637367">
          <w:marLeft w:val="0"/>
          <w:marRight w:val="0"/>
          <w:marTop w:val="0"/>
          <w:marBottom w:val="0"/>
          <w:divBdr>
            <w:top w:val="none" w:sz="0" w:space="0" w:color="auto"/>
            <w:left w:val="none" w:sz="0" w:space="0" w:color="auto"/>
            <w:bottom w:val="none" w:sz="0" w:space="0" w:color="auto"/>
            <w:right w:val="none" w:sz="0" w:space="0" w:color="auto"/>
          </w:divBdr>
        </w:div>
        <w:div w:id="853298595">
          <w:marLeft w:val="0"/>
          <w:marRight w:val="0"/>
          <w:marTop w:val="0"/>
          <w:marBottom w:val="0"/>
          <w:divBdr>
            <w:top w:val="none" w:sz="0" w:space="0" w:color="auto"/>
            <w:left w:val="none" w:sz="0" w:space="0" w:color="auto"/>
            <w:bottom w:val="none" w:sz="0" w:space="0" w:color="auto"/>
            <w:right w:val="none" w:sz="0" w:space="0" w:color="auto"/>
          </w:divBdr>
        </w:div>
        <w:div w:id="998533282">
          <w:marLeft w:val="0"/>
          <w:marRight w:val="0"/>
          <w:marTop w:val="0"/>
          <w:marBottom w:val="0"/>
          <w:divBdr>
            <w:top w:val="none" w:sz="0" w:space="0" w:color="auto"/>
            <w:left w:val="none" w:sz="0" w:space="0" w:color="auto"/>
            <w:bottom w:val="none" w:sz="0" w:space="0" w:color="auto"/>
            <w:right w:val="none" w:sz="0" w:space="0" w:color="auto"/>
          </w:divBdr>
        </w:div>
        <w:div w:id="1121146678">
          <w:marLeft w:val="0"/>
          <w:marRight w:val="0"/>
          <w:marTop w:val="0"/>
          <w:marBottom w:val="0"/>
          <w:divBdr>
            <w:top w:val="none" w:sz="0" w:space="0" w:color="auto"/>
            <w:left w:val="none" w:sz="0" w:space="0" w:color="auto"/>
            <w:bottom w:val="none" w:sz="0" w:space="0" w:color="auto"/>
            <w:right w:val="none" w:sz="0" w:space="0" w:color="auto"/>
          </w:divBdr>
        </w:div>
        <w:div w:id="1278101602">
          <w:marLeft w:val="0"/>
          <w:marRight w:val="0"/>
          <w:marTop w:val="0"/>
          <w:marBottom w:val="0"/>
          <w:divBdr>
            <w:top w:val="none" w:sz="0" w:space="0" w:color="auto"/>
            <w:left w:val="none" w:sz="0" w:space="0" w:color="auto"/>
            <w:bottom w:val="none" w:sz="0" w:space="0" w:color="auto"/>
            <w:right w:val="none" w:sz="0" w:space="0" w:color="auto"/>
          </w:divBdr>
        </w:div>
        <w:div w:id="1283270201">
          <w:marLeft w:val="0"/>
          <w:marRight w:val="0"/>
          <w:marTop w:val="0"/>
          <w:marBottom w:val="0"/>
          <w:divBdr>
            <w:top w:val="none" w:sz="0" w:space="0" w:color="auto"/>
            <w:left w:val="none" w:sz="0" w:space="0" w:color="auto"/>
            <w:bottom w:val="none" w:sz="0" w:space="0" w:color="auto"/>
            <w:right w:val="none" w:sz="0" w:space="0" w:color="auto"/>
          </w:divBdr>
        </w:div>
        <w:div w:id="1366833709">
          <w:marLeft w:val="0"/>
          <w:marRight w:val="0"/>
          <w:marTop w:val="0"/>
          <w:marBottom w:val="0"/>
          <w:divBdr>
            <w:top w:val="none" w:sz="0" w:space="0" w:color="auto"/>
            <w:left w:val="none" w:sz="0" w:space="0" w:color="auto"/>
            <w:bottom w:val="none" w:sz="0" w:space="0" w:color="auto"/>
            <w:right w:val="none" w:sz="0" w:space="0" w:color="auto"/>
          </w:divBdr>
        </w:div>
        <w:div w:id="1480613860">
          <w:marLeft w:val="0"/>
          <w:marRight w:val="0"/>
          <w:marTop w:val="0"/>
          <w:marBottom w:val="0"/>
          <w:divBdr>
            <w:top w:val="none" w:sz="0" w:space="0" w:color="auto"/>
            <w:left w:val="none" w:sz="0" w:space="0" w:color="auto"/>
            <w:bottom w:val="none" w:sz="0" w:space="0" w:color="auto"/>
            <w:right w:val="none" w:sz="0" w:space="0" w:color="auto"/>
          </w:divBdr>
        </w:div>
        <w:div w:id="1532499454">
          <w:marLeft w:val="0"/>
          <w:marRight w:val="0"/>
          <w:marTop w:val="0"/>
          <w:marBottom w:val="0"/>
          <w:divBdr>
            <w:top w:val="none" w:sz="0" w:space="0" w:color="auto"/>
            <w:left w:val="none" w:sz="0" w:space="0" w:color="auto"/>
            <w:bottom w:val="none" w:sz="0" w:space="0" w:color="auto"/>
            <w:right w:val="none" w:sz="0" w:space="0" w:color="auto"/>
          </w:divBdr>
        </w:div>
        <w:div w:id="1570192755">
          <w:marLeft w:val="0"/>
          <w:marRight w:val="0"/>
          <w:marTop w:val="0"/>
          <w:marBottom w:val="0"/>
          <w:divBdr>
            <w:top w:val="none" w:sz="0" w:space="0" w:color="auto"/>
            <w:left w:val="none" w:sz="0" w:space="0" w:color="auto"/>
            <w:bottom w:val="none" w:sz="0" w:space="0" w:color="auto"/>
            <w:right w:val="none" w:sz="0" w:space="0" w:color="auto"/>
          </w:divBdr>
        </w:div>
        <w:div w:id="1688753964">
          <w:marLeft w:val="0"/>
          <w:marRight w:val="0"/>
          <w:marTop w:val="0"/>
          <w:marBottom w:val="0"/>
          <w:divBdr>
            <w:top w:val="none" w:sz="0" w:space="0" w:color="auto"/>
            <w:left w:val="none" w:sz="0" w:space="0" w:color="auto"/>
            <w:bottom w:val="none" w:sz="0" w:space="0" w:color="auto"/>
            <w:right w:val="none" w:sz="0" w:space="0" w:color="auto"/>
          </w:divBdr>
        </w:div>
        <w:div w:id="1766882771">
          <w:marLeft w:val="0"/>
          <w:marRight w:val="0"/>
          <w:marTop w:val="0"/>
          <w:marBottom w:val="0"/>
          <w:divBdr>
            <w:top w:val="none" w:sz="0" w:space="0" w:color="auto"/>
            <w:left w:val="none" w:sz="0" w:space="0" w:color="auto"/>
            <w:bottom w:val="none" w:sz="0" w:space="0" w:color="auto"/>
            <w:right w:val="none" w:sz="0" w:space="0" w:color="auto"/>
          </w:divBdr>
        </w:div>
        <w:div w:id="1821921716">
          <w:marLeft w:val="0"/>
          <w:marRight w:val="0"/>
          <w:marTop w:val="0"/>
          <w:marBottom w:val="0"/>
          <w:divBdr>
            <w:top w:val="none" w:sz="0" w:space="0" w:color="auto"/>
            <w:left w:val="none" w:sz="0" w:space="0" w:color="auto"/>
            <w:bottom w:val="none" w:sz="0" w:space="0" w:color="auto"/>
            <w:right w:val="none" w:sz="0" w:space="0" w:color="auto"/>
          </w:divBdr>
        </w:div>
        <w:div w:id="1852839923">
          <w:marLeft w:val="0"/>
          <w:marRight w:val="0"/>
          <w:marTop w:val="0"/>
          <w:marBottom w:val="0"/>
          <w:divBdr>
            <w:top w:val="none" w:sz="0" w:space="0" w:color="auto"/>
            <w:left w:val="none" w:sz="0" w:space="0" w:color="auto"/>
            <w:bottom w:val="none" w:sz="0" w:space="0" w:color="auto"/>
            <w:right w:val="none" w:sz="0" w:space="0" w:color="auto"/>
          </w:divBdr>
        </w:div>
        <w:div w:id="1854687151">
          <w:marLeft w:val="0"/>
          <w:marRight w:val="0"/>
          <w:marTop w:val="0"/>
          <w:marBottom w:val="0"/>
          <w:divBdr>
            <w:top w:val="none" w:sz="0" w:space="0" w:color="auto"/>
            <w:left w:val="none" w:sz="0" w:space="0" w:color="auto"/>
            <w:bottom w:val="none" w:sz="0" w:space="0" w:color="auto"/>
            <w:right w:val="none" w:sz="0" w:space="0" w:color="auto"/>
          </w:divBdr>
        </w:div>
        <w:div w:id="1857841799">
          <w:marLeft w:val="0"/>
          <w:marRight w:val="0"/>
          <w:marTop w:val="0"/>
          <w:marBottom w:val="0"/>
          <w:divBdr>
            <w:top w:val="none" w:sz="0" w:space="0" w:color="auto"/>
            <w:left w:val="none" w:sz="0" w:space="0" w:color="auto"/>
            <w:bottom w:val="none" w:sz="0" w:space="0" w:color="auto"/>
            <w:right w:val="none" w:sz="0" w:space="0" w:color="auto"/>
          </w:divBdr>
        </w:div>
        <w:div w:id="1930036412">
          <w:marLeft w:val="0"/>
          <w:marRight w:val="0"/>
          <w:marTop w:val="0"/>
          <w:marBottom w:val="0"/>
          <w:divBdr>
            <w:top w:val="none" w:sz="0" w:space="0" w:color="auto"/>
            <w:left w:val="none" w:sz="0" w:space="0" w:color="auto"/>
            <w:bottom w:val="none" w:sz="0" w:space="0" w:color="auto"/>
            <w:right w:val="none" w:sz="0" w:space="0" w:color="auto"/>
          </w:divBdr>
        </w:div>
        <w:div w:id="2087919743">
          <w:marLeft w:val="0"/>
          <w:marRight w:val="0"/>
          <w:marTop w:val="0"/>
          <w:marBottom w:val="0"/>
          <w:divBdr>
            <w:top w:val="none" w:sz="0" w:space="0" w:color="auto"/>
            <w:left w:val="none" w:sz="0" w:space="0" w:color="auto"/>
            <w:bottom w:val="none" w:sz="0" w:space="0" w:color="auto"/>
            <w:right w:val="none" w:sz="0" w:space="0" w:color="auto"/>
          </w:divBdr>
        </w:div>
      </w:divsChild>
    </w:div>
    <w:div w:id="594285990">
      <w:bodyDiv w:val="1"/>
      <w:marLeft w:val="0"/>
      <w:marRight w:val="0"/>
      <w:marTop w:val="0"/>
      <w:marBottom w:val="0"/>
      <w:divBdr>
        <w:top w:val="none" w:sz="0" w:space="0" w:color="auto"/>
        <w:left w:val="none" w:sz="0" w:space="0" w:color="auto"/>
        <w:bottom w:val="none" w:sz="0" w:space="0" w:color="auto"/>
        <w:right w:val="none" w:sz="0" w:space="0" w:color="auto"/>
      </w:divBdr>
    </w:div>
    <w:div w:id="651106254">
      <w:bodyDiv w:val="1"/>
      <w:marLeft w:val="0"/>
      <w:marRight w:val="0"/>
      <w:marTop w:val="0"/>
      <w:marBottom w:val="0"/>
      <w:divBdr>
        <w:top w:val="none" w:sz="0" w:space="0" w:color="auto"/>
        <w:left w:val="none" w:sz="0" w:space="0" w:color="auto"/>
        <w:bottom w:val="none" w:sz="0" w:space="0" w:color="auto"/>
        <w:right w:val="none" w:sz="0" w:space="0" w:color="auto"/>
      </w:divBdr>
    </w:div>
    <w:div w:id="781806718">
      <w:bodyDiv w:val="1"/>
      <w:marLeft w:val="0"/>
      <w:marRight w:val="0"/>
      <w:marTop w:val="0"/>
      <w:marBottom w:val="0"/>
      <w:divBdr>
        <w:top w:val="none" w:sz="0" w:space="0" w:color="auto"/>
        <w:left w:val="none" w:sz="0" w:space="0" w:color="auto"/>
        <w:bottom w:val="none" w:sz="0" w:space="0" w:color="auto"/>
        <w:right w:val="none" w:sz="0" w:space="0" w:color="auto"/>
      </w:divBdr>
    </w:div>
    <w:div w:id="805853854">
      <w:bodyDiv w:val="1"/>
      <w:marLeft w:val="0"/>
      <w:marRight w:val="0"/>
      <w:marTop w:val="0"/>
      <w:marBottom w:val="0"/>
      <w:divBdr>
        <w:top w:val="none" w:sz="0" w:space="0" w:color="auto"/>
        <w:left w:val="none" w:sz="0" w:space="0" w:color="auto"/>
        <w:bottom w:val="none" w:sz="0" w:space="0" w:color="auto"/>
        <w:right w:val="none" w:sz="0" w:space="0" w:color="auto"/>
      </w:divBdr>
    </w:div>
    <w:div w:id="812210567">
      <w:bodyDiv w:val="1"/>
      <w:marLeft w:val="0"/>
      <w:marRight w:val="0"/>
      <w:marTop w:val="0"/>
      <w:marBottom w:val="0"/>
      <w:divBdr>
        <w:top w:val="none" w:sz="0" w:space="0" w:color="auto"/>
        <w:left w:val="none" w:sz="0" w:space="0" w:color="auto"/>
        <w:bottom w:val="none" w:sz="0" w:space="0" w:color="auto"/>
        <w:right w:val="none" w:sz="0" w:space="0" w:color="auto"/>
      </w:divBdr>
      <w:divsChild>
        <w:div w:id="732780565">
          <w:marLeft w:val="0"/>
          <w:marRight w:val="0"/>
          <w:marTop w:val="0"/>
          <w:marBottom w:val="0"/>
          <w:divBdr>
            <w:top w:val="none" w:sz="0" w:space="0" w:color="auto"/>
            <w:left w:val="none" w:sz="0" w:space="0" w:color="auto"/>
            <w:bottom w:val="none" w:sz="0" w:space="0" w:color="auto"/>
            <w:right w:val="none" w:sz="0" w:space="0" w:color="auto"/>
          </w:divBdr>
        </w:div>
        <w:div w:id="1047100292">
          <w:marLeft w:val="0"/>
          <w:marRight w:val="0"/>
          <w:marTop w:val="0"/>
          <w:marBottom w:val="0"/>
          <w:divBdr>
            <w:top w:val="none" w:sz="0" w:space="0" w:color="auto"/>
            <w:left w:val="none" w:sz="0" w:space="0" w:color="auto"/>
            <w:bottom w:val="none" w:sz="0" w:space="0" w:color="auto"/>
            <w:right w:val="none" w:sz="0" w:space="0" w:color="auto"/>
          </w:divBdr>
        </w:div>
      </w:divsChild>
    </w:div>
    <w:div w:id="814368907">
      <w:bodyDiv w:val="1"/>
      <w:marLeft w:val="0"/>
      <w:marRight w:val="0"/>
      <w:marTop w:val="0"/>
      <w:marBottom w:val="0"/>
      <w:divBdr>
        <w:top w:val="none" w:sz="0" w:space="0" w:color="auto"/>
        <w:left w:val="none" w:sz="0" w:space="0" w:color="auto"/>
        <w:bottom w:val="none" w:sz="0" w:space="0" w:color="auto"/>
        <w:right w:val="none" w:sz="0" w:space="0" w:color="auto"/>
      </w:divBdr>
      <w:divsChild>
        <w:div w:id="1462922619">
          <w:marLeft w:val="0"/>
          <w:marRight w:val="0"/>
          <w:marTop w:val="0"/>
          <w:marBottom w:val="0"/>
          <w:divBdr>
            <w:top w:val="none" w:sz="0" w:space="0" w:color="auto"/>
            <w:left w:val="none" w:sz="0" w:space="0" w:color="auto"/>
            <w:bottom w:val="none" w:sz="0" w:space="0" w:color="auto"/>
            <w:right w:val="none" w:sz="0" w:space="0" w:color="auto"/>
          </w:divBdr>
        </w:div>
      </w:divsChild>
    </w:div>
    <w:div w:id="826898472">
      <w:bodyDiv w:val="1"/>
      <w:marLeft w:val="0"/>
      <w:marRight w:val="0"/>
      <w:marTop w:val="0"/>
      <w:marBottom w:val="0"/>
      <w:divBdr>
        <w:top w:val="none" w:sz="0" w:space="0" w:color="auto"/>
        <w:left w:val="none" w:sz="0" w:space="0" w:color="auto"/>
        <w:bottom w:val="none" w:sz="0" w:space="0" w:color="auto"/>
        <w:right w:val="none" w:sz="0" w:space="0" w:color="auto"/>
      </w:divBdr>
      <w:divsChild>
        <w:div w:id="1823809870">
          <w:marLeft w:val="0"/>
          <w:marRight w:val="0"/>
          <w:marTop w:val="0"/>
          <w:marBottom w:val="0"/>
          <w:divBdr>
            <w:top w:val="none" w:sz="0" w:space="0" w:color="auto"/>
            <w:left w:val="none" w:sz="0" w:space="0" w:color="auto"/>
            <w:bottom w:val="none" w:sz="0" w:space="0" w:color="auto"/>
            <w:right w:val="none" w:sz="0" w:space="0" w:color="auto"/>
          </w:divBdr>
        </w:div>
      </w:divsChild>
    </w:div>
    <w:div w:id="873034989">
      <w:bodyDiv w:val="1"/>
      <w:marLeft w:val="0"/>
      <w:marRight w:val="0"/>
      <w:marTop w:val="0"/>
      <w:marBottom w:val="0"/>
      <w:divBdr>
        <w:top w:val="none" w:sz="0" w:space="0" w:color="auto"/>
        <w:left w:val="none" w:sz="0" w:space="0" w:color="auto"/>
        <w:bottom w:val="none" w:sz="0" w:space="0" w:color="auto"/>
        <w:right w:val="none" w:sz="0" w:space="0" w:color="auto"/>
      </w:divBdr>
    </w:div>
    <w:div w:id="917060625">
      <w:bodyDiv w:val="1"/>
      <w:marLeft w:val="0"/>
      <w:marRight w:val="0"/>
      <w:marTop w:val="0"/>
      <w:marBottom w:val="0"/>
      <w:divBdr>
        <w:top w:val="none" w:sz="0" w:space="0" w:color="auto"/>
        <w:left w:val="none" w:sz="0" w:space="0" w:color="auto"/>
        <w:bottom w:val="none" w:sz="0" w:space="0" w:color="auto"/>
        <w:right w:val="none" w:sz="0" w:space="0" w:color="auto"/>
      </w:divBdr>
      <w:divsChild>
        <w:div w:id="28729192">
          <w:marLeft w:val="0"/>
          <w:marRight w:val="0"/>
          <w:marTop w:val="0"/>
          <w:marBottom w:val="0"/>
          <w:divBdr>
            <w:top w:val="none" w:sz="0" w:space="0" w:color="auto"/>
            <w:left w:val="none" w:sz="0" w:space="0" w:color="auto"/>
            <w:bottom w:val="none" w:sz="0" w:space="0" w:color="auto"/>
            <w:right w:val="none" w:sz="0" w:space="0" w:color="auto"/>
          </w:divBdr>
        </w:div>
      </w:divsChild>
    </w:div>
    <w:div w:id="932932422">
      <w:bodyDiv w:val="1"/>
      <w:marLeft w:val="0"/>
      <w:marRight w:val="0"/>
      <w:marTop w:val="0"/>
      <w:marBottom w:val="0"/>
      <w:divBdr>
        <w:top w:val="none" w:sz="0" w:space="0" w:color="auto"/>
        <w:left w:val="none" w:sz="0" w:space="0" w:color="auto"/>
        <w:bottom w:val="none" w:sz="0" w:space="0" w:color="auto"/>
        <w:right w:val="none" w:sz="0" w:space="0" w:color="auto"/>
      </w:divBdr>
      <w:divsChild>
        <w:div w:id="1023941015">
          <w:marLeft w:val="0"/>
          <w:marRight w:val="0"/>
          <w:marTop w:val="0"/>
          <w:marBottom w:val="0"/>
          <w:divBdr>
            <w:top w:val="none" w:sz="0" w:space="0" w:color="auto"/>
            <w:left w:val="none" w:sz="0" w:space="0" w:color="auto"/>
            <w:bottom w:val="none" w:sz="0" w:space="0" w:color="auto"/>
            <w:right w:val="none" w:sz="0" w:space="0" w:color="auto"/>
          </w:divBdr>
        </w:div>
      </w:divsChild>
    </w:div>
    <w:div w:id="955719155">
      <w:bodyDiv w:val="1"/>
      <w:marLeft w:val="0"/>
      <w:marRight w:val="0"/>
      <w:marTop w:val="0"/>
      <w:marBottom w:val="0"/>
      <w:divBdr>
        <w:top w:val="none" w:sz="0" w:space="0" w:color="auto"/>
        <w:left w:val="none" w:sz="0" w:space="0" w:color="auto"/>
        <w:bottom w:val="none" w:sz="0" w:space="0" w:color="auto"/>
        <w:right w:val="none" w:sz="0" w:space="0" w:color="auto"/>
      </w:divBdr>
      <w:divsChild>
        <w:div w:id="1918440534">
          <w:marLeft w:val="0"/>
          <w:marRight w:val="0"/>
          <w:marTop w:val="0"/>
          <w:marBottom w:val="0"/>
          <w:divBdr>
            <w:top w:val="none" w:sz="0" w:space="0" w:color="auto"/>
            <w:left w:val="none" w:sz="0" w:space="0" w:color="auto"/>
            <w:bottom w:val="none" w:sz="0" w:space="0" w:color="auto"/>
            <w:right w:val="none" w:sz="0" w:space="0" w:color="auto"/>
          </w:divBdr>
          <w:divsChild>
            <w:div w:id="1245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428489">
      <w:bodyDiv w:val="1"/>
      <w:marLeft w:val="0"/>
      <w:marRight w:val="0"/>
      <w:marTop w:val="0"/>
      <w:marBottom w:val="0"/>
      <w:divBdr>
        <w:top w:val="none" w:sz="0" w:space="0" w:color="auto"/>
        <w:left w:val="none" w:sz="0" w:space="0" w:color="auto"/>
        <w:bottom w:val="none" w:sz="0" w:space="0" w:color="auto"/>
        <w:right w:val="none" w:sz="0" w:space="0" w:color="auto"/>
      </w:divBdr>
    </w:div>
    <w:div w:id="1049575600">
      <w:bodyDiv w:val="1"/>
      <w:marLeft w:val="0"/>
      <w:marRight w:val="0"/>
      <w:marTop w:val="0"/>
      <w:marBottom w:val="0"/>
      <w:divBdr>
        <w:top w:val="none" w:sz="0" w:space="0" w:color="auto"/>
        <w:left w:val="none" w:sz="0" w:space="0" w:color="auto"/>
        <w:bottom w:val="none" w:sz="0" w:space="0" w:color="auto"/>
        <w:right w:val="none" w:sz="0" w:space="0" w:color="auto"/>
      </w:divBdr>
    </w:div>
    <w:div w:id="1201237014">
      <w:bodyDiv w:val="1"/>
      <w:marLeft w:val="0"/>
      <w:marRight w:val="0"/>
      <w:marTop w:val="0"/>
      <w:marBottom w:val="0"/>
      <w:divBdr>
        <w:top w:val="none" w:sz="0" w:space="0" w:color="auto"/>
        <w:left w:val="none" w:sz="0" w:space="0" w:color="auto"/>
        <w:bottom w:val="none" w:sz="0" w:space="0" w:color="auto"/>
        <w:right w:val="none" w:sz="0" w:space="0" w:color="auto"/>
      </w:divBdr>
    </w:div>
    <w:div w:id="1237933356">
      <w:bodyDiv w:val="1"/>
      <w:marLeft w:val="0"/>
      <w:marRight w:val="0"/>
      <w:marTop w:val="0"/>
      <w:marBottom w:val="0"/>
      <w:divBdr>
        <w:top w:val="none" w:sz="0" w:space="0" w:color="auto"/>
        <w:left w:val="none" w:sz="0" w:space="0" w:color="auto"/>
        <w:bottom w:val="none" w:sz="0" w:space="0" w:color="auto"/>
        <w:right w:val="none" w:sz="0" w:space="0" w:color="auto"/>
      </w:divBdr>
    </w:div>
    <w:div w:id="1244027146">
      <w:bodyDiv w:val="1"/>
      <w:marLeft w:val="0"/>
      <w:marRight w:val="0"/>
      <w:marTop w:val="0"/>
      <w:marBottom w:val="0"/>
      <w:divBdr>
        <w:top w:val="none" w:sz="0" w:space="0" w:color="auto"/>
        <w:left w:val="none" w:sz="0" w:space="0" w:color="auto"/>
        <w:bottom w:val="none" w:sz="0" w:space="0" w:color="auto"/>
        <w:right w:val="none" w:sz="0" w:space="0" w:color="auto"/>
      </w:divBdr>
    </w:div>
    <w:div w:id="1393306963">
      <w:bodyDiv w:val="1"/>
      <w:marLeft w:val="0"/>
      <w:marRight w:val="0"/>
      <w:marTop w:val="0"/>
      <w:marBottom w:val="0"/>
      <w:divBdr>
        <w:top w:val="none" w:sz="0" w:space="0" w:color="auto"/>
        <w:left w:val="none" w:sz="0" w:space="0" w:color="auto"/>
        <w:bottom w:val="none" w:sz="0" w:space="0" w:color="auto"/>
        <w:right w:val="none" w:sz="0" w:space="0" w:color="auto"/>
      </w:divBdr>
      <w:divsChild>
        <w:div w:id="701518376">
          <w:marLeft w:val="0"/>
          <w:marRight w:val="0"/>
          <w:marTop w:val="0"/>
          <w:marBottom w:val="0"/>
          <w:divBdr>
            <w:top w:val="none" w:sz="0" w:space="0" w:color="auto"/>
            <w:left w:val="none" w:sz="0" w:space="0" w:color="auto"/>
            <w:bottom w:val="none" w:sz="0" w:space="0" w:color="auto"/>
            <w:right w:val="none" w:sz="0" w:space="0" w:color="auto"/>
          </w:divBdr>
        </w:div>
        <w:div w:id="1507675595">
          <w:marLeft w:val="0"/>
          <w:marRight w:val="0"/>
          <w:marTop w:val="0"/>
          <w:marBottom w:val="0"/>
          <w:divBdr>
            <w:top w:val="none" w:sz="0" w:space="0" w:color="auto"/>
            <w:left w:val="none" w:sz="0" w:space="0" w:color="auto"/>
            <w:bottom w:val="none" w:sz="0" w:space="0" w:color="auto"/>
            <w:right w:val="none" w:sz="0" w:space="0" w:color="auto"/>
          </w:divBdr>
        </w:div>
        <w:div w:id="1924754085">
          <w:marLeft w:val="0"/>
          <w:marRight w:val="0"/>
          <w:marTop w:val="0"/>
          <w:marBottom w:val="0"/>
          <w:divBdr>
            <w:top w:val="none" w:sz="0" w:space="0" w:color="auto"/>
            <w:left w:val="none" w:sz="0" w:space="0" w:color="auto"/>
            <w:bottom w:val="none" w:sz="0" w:space="0" w:color="auto"/>
            <w:right w:val="none" w:sz="0" w:space="0" w:color="auto"/>
          </w:divBdr>
        </w:div>
      </w:divsChild>
    </w:div>
    <w:div w:id="1402144572">
      <w:bodyDiv w:val="1"/>
      <w:marLeft w:val="0"/>
      <w:marRight w:val="0"/>
      <w:marTop w:val="0"/>
      <w:marBottom w:val="0"/>
      <w:divBdr>
        <w:top w:val="none" w:sz="0" w:space="0" w:color="auto"/>
        <w:left w:val="none" w:sz="0" w:space="0" w:color="auto"/>
        <w:bottom w:val="none" w:sz="0" w:space="0" w:color="auto"/>
        <w:right w:val="none" w:sz="0" w:space="0" w:color="auto"/>
      </w:divBdr>
    </w:div>
    <w:div w:id="1571042439">
      <w:bodyDiv w:val="1"/>
      <w:marLeft w:val="0"/>
      <w:marRight w:val="0"/>
      <w:marTop w:val="0"/>
      <w:marBottom w:val="0"/>
      <w:divBdr>
        <w:top w:val="none" w:sz="0" w:space="0" w:color="auto"/>
        <w:left w:val="none" w:sz="0" w:space="0" w:color="auto"/>
        <w:bottom w:val="none" w:sz="0" w:space="0" w:color="auto"/>
        <w:right w:val="none" w:sz="0" w:space="0" w:color="auto"/>
      </w:divBdr>
    </w:div>
    <w:div w:id="1628009021">
      <w:bodyDiv w:val="1"/>
      <w:marLeft w:val="0"/>
      <w:marRight w:val="0"/>
      <w:marTop w:val="0"/>
      <w:marBottom w:val="0"/>
      <w:divBdr>
        <w:top w:val="none" w:sz="0" w:space="0" w:color="auto"/>
        <w:left w:val="none" w:sz="0" w:space="0" w:color="auto"/>
        <w:bottom w:val="none" w:sz="0" w:space="0" w:color="auto"/>
        <w:right w:val="none" w:sz="0" w:space="0" w:color="auto"/>
      </w:divBdr>
    </w:div>
    <w:div w:id="1713114928">
      <w:bodyDiv w:val="1"/>
      <w:marLeft w:val="0"/>
      <w:marRight w:val="0"/>
      <w:marTop w:val="0"/>
      <w:marBottom w:val="0"/>
      <w:divBdr>
        <w:top w:val="none" w:sz="0" w:space="0" w:color="auto"/>
        <w:left w:val="none" w:sz="0" w:space="0" w:color="auto"/>
        <w:bottom w:val="none" w:sz="0" w:space="0" w:color="auto"/>
        <w:right w:val="none" w:sz="0" w:space="0" w:color="auto"/>
      </w:divBdr>
    </w:div>
    <w:div w:id="1730961308">
      <w:bodyDiv w:val="1"/>
      <w:marLeft w:val="0"/>
      <w:marRight w:val="0"/>
      <w:marTop w:val="0"/>
      <w:marBottom w:val="0"/>
      <w:divBdr>
        <w:top w:val="none" w:sz="0" w:space="0" w:color="auto"/>
        <w:left w:val="none" w:sz="0" w:space="0" w:color="auto"/>
        <w:bottom w:val="none" w:sz="0" w:space="0" w:color="auto"/>
        <w:right w:val="none" w:sz="0" w:space="0" w:color="auto"/>
      </w:divBdr>
    </w:div>
    <w:div w:id="1743599055">
      <w:bodyDiv w:val="1"/>
      <w:marLeft w:val="0"/>
      <w:marRight w:val="0"/>
      <w:marTop w:val="0"/>
      <w:marBottom w:val="0"/>
      <w:divBdr>
        <w:top w:val="none" w:sz="0" w:space="0" w:color="auto"/>
        <w:left w:val="none" w:sz="0" w:space="0" w:color="auto"/>
        <w:bottom w:val="none" w:sz="0" w:space="0" w:color="auto"/>
        <w:right w:val="none" w:sz="0" w:space="0" w:color="auto"/>
      </w:divBdr>
    </w:div>
    <w:div w:id="1779373652">
      <w:bodyDiv w:val="1"/>
      <w:marLeft w:val="0"/>
      <w:marRight w:val="0"/>
      <w:marTop w:val="0"/>
      <w:marBottom w:val="0"/>
      <w:divBdr>
        <w:top w:val="none" w:sz="0" w:space="0" w:color="auto"/>
        <w:left w:val="none" w:sz="0" w:space="0" w:color="auto"/>
        <w:bottom w:val="none" w:sz="0" w:space="0" w:color="auto"/>
        <w:right w:val="none" w:sz="0" w:space="0" w:color="auto"/>
      </w:divBdr>
      <w:divsChild>
        <w:div w:id="374697197">
          <w:marLeft w:val="0"/>
          <w:marRight w:val="0"/>
          <w:marTop w:val="0"/>
          <w:marBottom w:val="0"/>
          <w:divBdr>
            <w:top w:val="none" w:sz="0" w:space="0" w:color="auto"/>
            <w:left w:val="none" w:sz="0" w:space="0" w:color="auto"/>
            <w:bottom w:val="none" w:sz="0" w:space="0" w:color="auto"/>
            <w:right w:val="none" w:sz="0" w:space="0" w:color="auto"/>
          </w:divBdr>
        </w:div>
      </w:divsChild>
    </w:div>
    <w:div w:id="1802961090">
      <w:bodyDiv w:val="1"/>
      <w:marLeft w:val="0"/>
      <w:marRight w:val="0"/>
      <w:marTop w:val="0"/>
      <w:marBottom w:val="0"/>
      <w:divBdr>
        <w:top w:val="none" w:sz="0" w:space="0" w:color="auto"/>
        <w:left w:val="none" w:sz="0" w:space="0" w:color="auto"/>
        <w:bottom w:val="none" w:sz="0" w:space="0" w:color="auto"/>
        <w:right w:val="none" w:sz="0" w:space="0" w:color="auto"/>
      </w:divBdr>
    </w:div>
    <w:div w:id="1869248624">
      <w:bodyDiv w:val="1"/>
      <w:marLeft w:val="0"/>
      <w:marRight w:val="0"/>
      <w:marTop w:val="0"/>
      <w:marBottom w:val="0"/>
      <w:divBdr>
        <w:top w:val="none" w:sz="0" w:space="0" w:color="auto"/>
        <w:left w:val="none" w:sz="0" w:space="0" w:color="auto"/>
        <w:bottom w:val="none" w:sz="0" w:space="0" w:color="auto"/>
        <w:right w:val="none" w:sz="0" w:space="0" w:color="auto"/>
      </w:divBdr>
      <w:divsChild>
        <w:div w:id="500506734">
          <w:marLeft w:val="0"/>
          <w:marRight w:val="0"/>
          <w:marTop w:val="0"/>
          <w:marBottom w:val="0"/>
          <w:divBdr>
            <w:top w:val="none" w:sz="0" w:space="0" w:color="auto"/>
            <w:left w:val="none" w:sz="0" w:space="0" w:color="auto"/>
            <w:bottom w:val="none" w:sz="0" w:space="0" w:color="auto"/>
            <w:right w:val="none" w:sz="0" w:space="0" w:color="auto"/>
          </w:divBdr>
        </w:div>
        <w:div w:id="592475193">
          <w:marLeft w:val="0"/>
          <w:marRight w:val="0"/>
          <w:marTop w:val="0"/>
          <w:marBottom w:val="0"/>
          <w:divBdr>
            <w:top w:val="none" w:sz="0" w:space="0" w:color="auto"/>
            <w:left w:val="none" w:sz="0" w:space="0" w:color="auto"/>
            <w:bottom w:val="none" w:sz="0" w:space="0" w:color="auto"/>
            <w:right w:val="none" w:sz="0" w:space="0" w:color="auto"/>
          </w:divBdr>
        </w:div>
        <w:div w:id="656958701">
          <w:marLeft w:val="0"/>
          <w:marRight w:val="0"/>
          <w:marTop w:val="0"/>
          <w:marBottom w:val="0"/>
          <w:divBdr>
            <w:top w:val="none" w:sz="0" w:space="0" w:color="auto"/>
            <w:left w:val="none" w:sz="0" w:space="0" w:color="auto"/>
            <w:bottom w:val="none" w:sz="0" w:space="0" w:color="auto"/>
            <w:right w:val="none" w:sz="0" w:space="0" w:color="auto"/>
          </w:divBdr>
        </w:div>
        <w:div w:id="699624770">
          <w:marLeft w:val="0"/>
          <w:marRight w:val="0"/>
          <w:marTop w:val="0"/>
          <w:marBottom w:val="0"/>
          <w:divBdr>
            <w:top w:val="none" w:sz="0" w:space="0" w:color="auto"/>
            <w:left w:val="none" w:sz="0" w:space="0" w:color="auto"/>
            <w:bottom w:val="none" w:sz="0" w:space="0" w:color="auto"/>
            <w:right w:val="none" w:sz="0" w:space="0" w:color="auto"/>
          </w:divBdr>
        </w:div>
        <w:div w:id="847452297">
          <w:marLeft w:val="0"/>
          <w:marRight w:val="0"/>
          <w:marTop w:val="0"/>
          <w:marBottom w:val="0"/>
          <w:divBdr>
            <w:top w:val="none" w:sz="0" w:space="0" w:color="auto"/>
            <w:left w:val="none" w:sz="0" w:space="0" w:color="auto"/>
            <w:bottom w:val="none" w:sz="0" w:space="0" w:color="auto"/>
            <w:right w:val="none" w:sz="0" w:space="0" w:color="auto"/>
          </w:divBdr>
        </w:div>
        <w:div w:id="888032043">
          <w:marLeft w:val="0"/>
          <w:marRight w:val="0"/>
          <w:marTop w:val="0"/>
          <w:marBottom w:val="0"/>
          <w:divBdr>
            <w:top w:val="none" w:sz="0" w:space="0" w:color="auto"/>
            <w:left w:val="none" w:sz="0" w:space="0" w:color="auto"/>
            <w:bottom w:val="none" w:sz="0" w:space="0" w:color="auto"/>
            <w:right w:val="none" w:sz="0" w:space="0" w:color="auto"/>
          </w:divBdr>
        </w:div>
        <w:div w:id="1038119738">
          <w:marLeft w:val="0"/>
          <w:marRight w:val="0"/>
          <w:marTop w:val="0"/>
          <w:marBottom w:val="0"/>
          <w:divBdr>
            <w:top w:val="none" w:sz="0" w:space="0" w:color="auto"/>
            <w:left w:val="none" w:sz="0" w:space="0" w:color="auto"/>
            <w:bottom w:val="none" w:sz="0" w:space="0" w:color="auto"/>
            <w:right w:val="none" w:sz="0" w:space="0" w:color="auto"/>
          </w:divBdr>
        </w:div>
        <w:div w:id="1288665200">
          <w:marLeft w:val="0"/>
          <w:marRight w:val="0"/>
          <w:marTop w:val="0"/>
          <w:marBottom w:val="0"/>
          <w:divBdr>
            <w:top w:val="none" w:sz="0" w:space="0" w:color="auto"/>
            <w:left w:val="none" w:sz="0" w:space="0" w:color="auto"/>
            <w:bottom w:val="none" w:sz="0" w:space="0" w:color="auto"/>
            <w:right w:val="none" w:sz="0" w:space="0" w:color="auto"/>
          </w:divBdr>
        </w:div>
        <w:div w:id="1559978969">
          <w:marLeft w:val="0"/>
          <w:marRight w:val="0"/>
          <w:marTop w:val="0"/>
          <w:marBottom w:val="0"/>
          <w:divBdr>
            <w:top w:val="none" w:sz="0" w:space="0" w:color="auto"/>
            <w:left w:val="none" w:sz="0" w:space="0" w:color="auto"/>
            <w:bottom w:val="none" w:sz="0" w:space="0" w:color="auto"/>
            <w:right w:val="none" w:sz="0" w:space="0" w:color="auto"/>
          </w:divBdr>
        </w:div>
        <w:div w:id="1728216227">
          <w:marLeft w:val="0"/>
          <w:marRight w:val="0"/>
          <w:marTop w:val="0"/>
          <w:marBottom w:val="0"/>
          <w:divBdr>
            <w:top w:val="none" w:sz="0" w:space="0" w:color="auto"/>
            <w:left w:val="none" w:sz="0" w:space="0" w:color="auto"/>
            <w:bottom w:val="none" w:sz="0" w:space="0" w:color="auto"/>
            <w:right w:val="none" w:sz="0" w:space="0" w:color="auto"/>
          </w:divBdr>
        </w:div>
      </w:divsChild>
    </w:div>
    <w:div w:id="1961912238">
      <w:bodyDiv w:val="1"/>
      <w:marLeft w:val="0"/>
      <w:marRight w:val="0"/>
      <w:marTop w:val="0"/>
      <w:marBottom w:val="0"/>
      <w:divBdr>
        <w:top w:val="none" w:sz="0" w:space="0" w:color="auto"/>
        <w:left w:val="none" w:sz="0" w:space="0" w:color="auto"/>
        <w:bottom w:val="none" w:sz="0" w:space="0" w:color="auto"/>
        <w:right w:val="none" w:sz="0" w:space="0" w:color="auto"/>
      </w:divBdr>
    </w:div>
    <w:div w:id="2012901912">
      <w:bodyDiv w:val="1"/>
      <w:marLeft w:val="0"/>
      <w:marRight w:val="0"/>
      <w:marTop w:val="0"/>
      <w:marBottom w:val="0"/>
      <w:divBdr>
        <w:top w:val="none" w:sz="0" w:space="0" w:color="auto"/>
        <w:left w:val="none" w:sz="0" w:space="0" w:color="auto"/>
        <w:bottom w:val="none" w:sz="0" w:space="0" w:color="auto"/>
        <w:right w:val="none" w:sz="0" w:space="0" w:color="auto"/>
      </w:divBdr>
      <w:divsChild>
        <w:div w:id="691146940">
          <w:marLeft w:val="0"/>
          <w:marRight w:val="0"/>
          <w:marTop w:val="0"/>
          <w:marBottom w:val="0"/>
          <w:divBdr>
            <w:top w:val="none" w:sz="0" w:space="0" w:color="auto"/>
            <w:left w:val="none" w:sz="0" w:space="0" w:color="auto"/>
            <w:bottom w:val="none" w:sz="0" w:space="0" w:color="auto"/>
            <w:right w:val="none" w:sz="0" w:space="0" w:color="auto"/>
          </w:divBdr>
        </w:div>
      </w:divsChild>
    </w:div>
    <w:div w:id="2016614177">
      <w:bodyDiv w:val="1"/>
      <w:marLeft w:val="0"/>
      <w:marRight w:val="0"/>
      <w:marTop w:val="0"/>
      <w:marBottom w:val="0"/>
      <w:divBdr>
        <w:top w:val="none" w:sz="0" w:space="0" w:color="auto"/>
        <w:left w:val="none" w:sz="0" w:space="0" w:color="auto"/>
        <w:bottom w:val="none" w:sz="0" w:space="0" w:color="auto"/>
        <w:right w:val="none" w:sz="0" w:space="0" w:color="auto"/>
      </w:divBdr>
    </w:div>
    <w:div w:id="2076270833">
      <w:bodyDiv w:val="1"/>
      <w:marLeft w:val="0"/>
      <w:marRight w:val="0"/>
      <w:marTop w:val="0"/>
      <w:marBottom w:val="0"/>
      <w:divBdr>
        <w:top w:val="none" w:sz="0" w:space="0" w:color="auto"/>
        <w:left w:val="none" w:sz="0" w:space="0" w:color="auto"/>
        <w:bottom w:val="none" w:sz="0" w:space="0" w:color="auto"/>
        <w:right w:val="none" w:sz="0" w:space="0" w:color="auto"/>
      </w:divBdr>
    </w:div>
    <w:div w:id="2096632625">
      <w:bodyDiv w:val="1"/>
      <w:marLeft w:val="0"/>
      <w:marRight w:val="0"/>
      <w:marTop w:val="0"/>
      <w:marBottom w:val="0"/>
      <w:divBdr>
        <w:top w:val="none" w:sz="0" w:space="0" w:color="auto"/>
        <w:left w:val="none" w:sz="0" w:space="0" w:color="auto"/>
        <w:bottom w:val="none" w:sz="0" w:space="0" w:color="auto"/>
        <w:right w:val="none" w:sz="0" w:space="0" w:color="auto"/>
      </w:divBdr>
    </w:div>
    <w:div w:id="2127582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doi.org/10.1016/j.dsr.2018.03.00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7F7F93-CCAC-4B3A-98B3-67D5A9CF6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14398</Words>
  <Characters>82073</Characters>
  <Application>Microsoft Office Word</Application>
  <DocSecurity>0</DocSecurity>
  <Lines>683</Lines>
  <Paragraphs>192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96279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dc:creator>
  <cp:keywords/>
  <dc:description/>
  <cp:lastModifiedBy>BG</cp:lastModifiedBy>
  <cp:revision>2</cp:revision>
  <cp:lastPrinted>2020-10-16T13:29:00Z</cp:lastPrinted>
  <dcterms:created xsi:type="dcterms:W3CDTF">2022-06-15T14:24:00Z</dcterms:created>
  <dcterms:modified xsi:type="dcterms:W3CDTF">2022-06-15T14:24:00Z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http://www.zotero.org/styles/atmosphere</vt:lpwstr>
  </property>
  <property fmtid="{D5CDD505-2E9C-101B-9397-08002B2CF9AE}" pid="7" name="Mendeley Recent Style Name 2_1">
    <vt:lpwstr>Atmosphere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http://www.zotero.org/styles/estuarine-coastal-and-shelf-science</vt:lpwstr>
  </property>
  <property fmtid="{D5CDD505-2E9C-101B-9397-08002B2CF9AE}" pid="13" name="Mendeley Recent Style Name 5_1">
    <vt:lpwstr>Estuarine, Coastal and Shelf Science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http://www.zotero.org/styles/marine-chemistry</vt:lpwstr>
  </property>
  <property fmtid="{D5CDD505-2E9C-101B-9397-08002B2CF9AE}" pid="17" name="Mendeley Recent Style Name 7_1">
    <vt:lpwstr>Marine Chemistry</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http://www.zotero.org/styles/oceanologia</vt:lpwstr>
  </property>
  <property fmtid="{D5CDD505-2E9C-101B-9397-08002B2CF9AE}" pid="21" name="Mendeley Recent Style Name 9_1">
    <vt:lpwstr>Oceanologia</vt:lpwstr>
  </property>
</Properties>
</file>