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47BFA" w14:textId="77777777" w:rsidR="0059652B" w:rsidRPr="0059652B" w:rsidRDefault="0059652B" w:rsidP="0059652B">
      <w:pPr>
        <w:spacing w:line="360" w:lineRule="auto"/>
        <w:jc w:val="both"/>
        <w:rPr>
          <w:b/>
          <w:lang w:val="en-US"/>
        </w:rPr>
      </w:pPr>
      <w:r w:rsidRPr="0059652B">
        <w:rPr>
          <w:b/>
          <w:lang w:val="en-US"/>
        </w:rPr>
        <w:t xml:space="preserve">Nanosized zeolite beta - determining the safety of usage by zebrafish </w:t>
      </w:r>
      <w:r w:rsidRPr="0059652B">
        <w:rPr>
          <w:b/>
          <w:i/>
          <w:lang w:val="en-US"/>
        </w:rPr>
        <w:t xml:space="preserve">Danio </w:t>
      </w:r>
      <w:proofErr w:type="spellStart"/>
      <w:r w:rsidRPr="0059652B">
        <w:rPr>
          <w:b/>
          <w:i/>
          <w:lang w:val="en-US"/>
        </w:rPr>
        <w:t>rerio</w:t>
      </w:r>
      <w:proofErr w:type="spellEnd"/>
      <w:r w:rsidRPr="0059652B">
        <w:rPr>
          <w:b/>
          <w:lang w:val="en-US"/>
        </w:rPr>
        <w:t xml:space="preserve"> embryos</w:t>
      </w:r>
    </w:p>
    <w:p w14:paraId="54C4DDF1" w14:textId="77777777" w:rsidR="0059652B" w:rsidRPr="0059652B" w:rsidRDefault="0059652B" w:rsidP="0059652B">
      <w:pPr>
        <w:spacing w:line="360" w:lineRule="auto"/>
        <w:jc w:val="both"/>
        <w:rPr>
          <w:b/>
          <w:lang w:val="en-US"/>
        </w:rPr>
      </w:pPr>
    </w:p>
    <w:p w14:paraId="1F834244" w14:textId="77777777" w:rsidR="0059652B" w:rsidRPr="0059652B" w:rsidRDefault="0059652B" w:rsidP="0059652B">
      <w:pPr>
        <w:spacing w:line="360" w:lineRule="auto"/>
        <w:jc w:val="both"/>
        <w:rPr>
          <w:lang w:val="en-US"/>
        </w:rPr>
      </w:pPr>
      <w:r w:rsidRPr="0059652B">
        <w:rPr>
          <w:lang w:val="en-US"/>
        </w:rPr>
        <w:t>Ana Palčić</w:t>
      </w:r>
      <w:r w:rsidRPr="0059652B">
        <w:rPr>
          <w:vertAlign w:val="superscript"/>
          <w:lang w:val="en-US"/>
        </w:rPr>
        <w:t>a,</w:t>
      </w:r>
      <w:proofErr w:type="gramStart"/>
      <w:r w:rsidRPr="0059652B">
        <w:rPr>
          <w:vertAlign w:val="superscript"/>
          <w:lang w:val="en-US"/>
        </w:rPr>
        <w:t>1,*</w:t>
      </w:r>
      <w:proofErr w:type="gramEnd"/>
      <w:r w:rsidRPr="0059652B">
        <w:rPr>
          <w:lang w:val="en-US"/>
        </w:rPr>
        <w:t xml:space="preserve">, </w:t>
      </w:r>
      <w:proofErr w:type="spellStart"/>
      <w:r w:rsidRPr="0059652B">
        <w:rPr>
          <w:lang w:val="en-US"/>
        </w:rPr>
        <w:t>Sanja</w:t>
      </w:r>
      <w:proofErr w:type="spellEnd"/>
      <w:r w:rsidRPr="0059652B">
        <w:rPr>
          <w:lang w:val="en-US"/>
        </w:rPr>
        <w:t xml:space="preserve"> Babić</w:t>
      </w:r>
      <w:r w:rsidRPr="0059652B">
        <w:rPr>
          <w:vertAlign w:val="superscript"/>
          <w:lang w:val="en-US"/>
        </w:rPr>
        <w:t>b,c,1,**</w:t>
      </w:r>
      <w:r w:rsidRPr="0059652B">
        <w:rPr>
          <w:lang w:val="en-US"/>
        </w:rPr>
        <w:t xml:space="preserve">, Aleksandra </w:t>
      </w:r>
      <w:proofErr w:type="spellStart"/>
      <w:r w:rsidRPr="0059652B">
        <w:rPr>
          <w:lang w:val="en-US"/>
        </w:rPr>
        <w:t>Maršavelski</w:t>
      </w:r>
      <w:r w:rsidRPr="0059652B">
        <w:rPr>
          <w:vertAlign w:val="superscript"/>
          <w:lang w:val="en-US"/>
        </w:rPr>
        <w:t>d</w:t>
      </w:r>
      <w:proofErr w:type="spellEnd"/>
      <w:r w:rsidRPr="0059652B">
        <w:rPr>
          <w:lang w:val="en-US"/>
        </w:rPr>
        <w:t xml:space="preserve">, Maja </w:t>
      </w:r>
      <w:proofErr w:type="spellStart"/>
      <w:r w:rsidRPr="0059652B">
        <w:rPr>
          <w:lang w:val="en-US"/>
        </w:rPr>
        <w:t>Galić</w:t>
      </w:r>
      <w:r w:rsidRPr="0059652B">
        <w:rPr>
          <w:vertAlign w:val="superscript"/>
          <w:lang w:val="en-US"/>
        </w:rPr>
        <w:t>b,c</w:t>
      </w:r>
      <w:proofErr w:type="spellEnd"/>
      <w:r w:rsidRPr="0059652B">
        <w:rPr>
          <w:lang w:val="en-US"/>
        </w:rPr>
        <w:t xml:space="preserve">, </w:t>
      </w:r>
      <w:proofErr w:type="spellStart"/>
      <w:r w:rsidRPr="0059652B">
        <w:rPr>
          <w:lang w:val="en-US"/>
        </w:rPr>
        <w:t>Natalija</w:t>
      </w:r>
      <w:proofErr w:type="spellEnd"/>
      <w:r w:rsidRPr="0059652B">
        <w:rPr>
          <w:lang w:val="en-US"/>
        </w:rPr>
        <w:t xml:space="preserve"> </w:t>
      </w:r>
      <w:proofErr w:type="spellStart"/>
      <w:r w:rsidRPr="0059652B">
        <w:rPr>
          <w:lang w:val="en-US"/>
        </w:rPr>
        <w:t>Topić</w:t>
      </w:r>
      <w:proofErr w:type="spellEnd"/>
      <w:r w:rsidRPr="0059652B">
        <w:rPr>
          <w:lang w:val="en-US"/>
        </w:rPr>
        <w:t xml:space="preserve"> </w:t>
      </w:r>
      <w:proofErr w:type="spellStart"/>
      <w:r w:rsidRPr="0059652B">
        <w:rPr>
          <w:lang w:val="en-US"/>
        </w:rPr>
        <w:t>Popović</w:t>
      </w:r>
      <w:r w:rsidRPr="0059652B">
        <w:rPr>
          <w:vertAlign w:val="superscript"/>
          <w:lang w:val="en-US"/>
        </w:rPr>
        <w:t>b,c</w:t>
      </w:r>
      <w:proofErr w:type="spellEnd"/>
      <w:r w:rsidRPr="0059652B">
        <w:rPr>
          <w:lang w:val="en-US"/>
        </w:rPr>
        <w:t xml:space="preserve">, </w:t>
      </w:r>
      <w:proofErr w:type="spellStart"/>
      <w:r w:rsidRPr="0059652B">
        <w:rPr>
          <w:lang w:val="en-US"/>
        </w:rPr>
        <w:t>Ivančica</w:t>
      </w:r>
      <w:proofErr w:type="spellEnd"/>
      <w:r w:rsidRPr="0059652B">
        <w:rPr>
          <w:lang w:val="en-US"/>
        </w:rPr>
        <w:t xml:space="preserve"> </w:t>
      </w:r>
      <w:proofErr w:type="spellStart"/>
      <w:r w:rsidRPr="0059652B">
        <w:rPr>
          <w:lang w:val="en-US"/>
        </w:rPr>
        <w:t>Strunjak</w:t>
      </w:r>
      <w:proofErr w:type="spellEnd"/>
      <w:r w:rsidRPr="0059652B">
        <w:rPr>
          <w:lang w:val="en-US"/>
        </w:rPr>
        <w:t xml:space="preserve"> </w:t>
      </w:r>
      <w:proofErr w:type="spellStart"/>
      <w:r w:rsidRPr="0059652B">
        <w:rPr>
          <w:lang w:val="en-US"/>
        </w:rPr>
        <w:t>Perović</w:t>
      </w:r>
      <w:r w:rsidRPr="0059652B">
        <w:rPr>
          <w:vertAlign w:val="superscript"/>
          <w:lang w:val="en-US"/>
        </w:rPr>
        <w:t>b,c</w:t>
      </w:r>
      <w:proofErr w:type="spellEnd"/>
      <w:r w:rsidRPr="0059652B">
        <w:rPr>
          <w:lang w:val="en-US"/>
        </w:rPr>
        <w:t xml:space="preserve">, </w:t>
      </w:r>
      <w:proofErr w:type="spellStart"/>
      <w:r w:rsidRPr="0059652B">
        <w:rPr>
          <w:lang w:val="en-US"/>
        </w:rPr>
        <w:t>Rozelindra</w:t>
      </w:r>
      <w:proofErr w:type="spellEnd"/>
      <w:r w:rsidRPr="0059652B">
        <w:rPr>
          <w:lang w:val="en-US"/>
        </w:rPr>
        <w:t xml:space="preserve"> </w:t>
      </w:r>
      <w:proofErr w:type="spellStart"/>
      <w:r w:rsidRPr="0059652B">
        <w:rPr>
          <w:lang w:val="en-US"/>
        </w:rPr>
        <w:t>Čož-Rakovac</w:t>
      </w:r>
      <w:r w:rsidRPr="0059652B">
        <w:rPr>
          <w:vertAlign w:val="superscript"/>
          <w:lang w:val="en-US"/>
        </w:rPr>
        <w:t>b,c</w:t>
      </w:r>
      <w:proofErr w:type="spellEnd"/>
      <w:r w:rsidRPr="0059652B">
        <w:rPr>
          <w:lang w:val="en-US"/>
        </w:rPr>
        <w:t xml:space="preserve">, Josip </w:t>
      </w:r>
      <w:proofErr w:type="spellStart"/>
      <w:r w:rsidRPr="0059652B">
        <w:rPr>
          <w:lang w:val="en-US"/>
        </w:rPr>
        <w:t>Bronić</w:t>
      </w:r>
      <w:r w:rsidRPr="0059652B">
        <w:rPr>
          <w:vertAlign w:val="superscript"/>
          <w:lang w:val="en-US"/>
        </w:rPr>
        <w:t>a</w:t>
      </w:r>
      <w:proofErr w:type="spellEnd"/>
      <w:r w:rsidRPr="0059652B">
        <w:rPr>
          <w:lang w:val="en-US"/>
        </w:rPr>
        <w:t xml:space="preserve">, Valentin </w:t>
      </w:r>
      <w:proofErr w:type="spellStart"/>
      <w:r w:rsidRPr="0059652B">
        <w:rPr>
          <w:lang w:val="en-US"/>
        </w:rPr>
        <w:t>Valtchev</w:t>
      </w:r>
      <w:r w:rsidRPr="0059652B">
        <w:rPr>
          <w:vertAlign w:val="superscript"/>
          <w:lang w:val="en-US"/>
        </w:rPr>
        <w:t>e</w:t>
      </w:r>
      <w:proofErr w:type="spellEnd"/>
    </w:p>
    <w:p w14:paraId="0991EAC5" w14:textId="77777777" w:rsidR="0059652B" w:rsidRPr="0059652B" w:rsidRDefault="0059652B" w:rsidP="0059652B">
      <w:pPr>
        <w:spacing w:line="360" w:lineRule="auto"/>
        <w:jc w:val="both"/>
        <w:rPr>
          <w:vertAlign w:val="superscript"/>
          <w:lang w:val="en-US"/>
        </w:rPr>
      </w:pPr>
    </w:p>
    <w:p w14:paraId="3DE846A8" w14:textId="77777777" w:rsidR="0059652B" w:rsidRPr="0059652B" w:rsidRDefault="0059652B" w:rsidP="0059652B">
      <w:pPr>
        <w:spacing w:line="360" w:lineRule="auto"/>
        <w:jc w:val="both"/>
        <w:rPr>
          <w:lang w:val="en-US"/>
        </w:rPr>
      </w:pPr>
      <w:proofErr w:type="spellStart"/>
      <w:r w:rsidRPr="0059652B">
        <w:rPr>
          <w:vertAlign w:val="superscript"/>
          <w:lang w:val="en-US"/>
        </w:rPr>
        <w:t>a</w:t>
      </w:r>
      <w:r w:rsidRPr="0059652B">
        <w:rPr>
          <w:lang w:val="en-US"/>
        </w:rPr>
        <w:t>Ruđer</w:t>
      </w:r>
      <w:proofErr w:type="spellEnd"/>
      <w:r w:rsidRPr="0059652B">
        <w:rPr>
          <w:lang w:val="en-US"/>
        </w:rPr>
        <w:t xml:space="preserve"> </w:t>
      </w:r>
      <w:proofErr w:type="spellStart"/>
      <w:r w:rsidRPr="0059652B">
        <w:rPr>
          <w:lang w:val="en-US"/>
        </w:rPr>
        <w:t>Bošković</w:t>
      </w:r>
      <w:proofErr w:type="spellEnd"/>
      <w:r w:rsidRPr="0059652B">
        <w:rPr>
          <w:lang w:val="en-US"/>
        </w:rPr>
        <w:t xml:space="preserve"> Institute, Division of Materials Chemistry, </w:t>
      </w:r>
      <w:hyperlink r:id="rId8" w:history="1">
        <w:r w:rsidRPr="0059652B">
          <w:rPr>
            <w:rStyle w:val="Hyperlink"/>
            <w:color w:val="auto"/>
            <w:u w:val="none"/>
            <w:lang w:val="en-US"/>
          </w:rPr>
          <w:t>Laboratory for Synthesis of New Materials</w:t>
        </w:r>
      </w:hyperlink>
      <w:r w:rsidRPr="0059652B">
        <w:rPr>
          <w:lang w:val="en-US"/>
        </w:rPr>
        <w:t xml:space="preserve">, </w:t>
      </w:r>
      <w:proofErr w:type="spellStart"/>
      <w:r w:rsidRPr="0059652B">
        <w:rPr>
          <w:lang w:val="en-US"/>
        </w:rPr>
        <w:t>Bijenička</w:t>
      </w:r>
      <w:proofErr w:type="spellEnd"/>
      <w:r w:rsidRPr="0059652B">
        <w:rPr>
          <w:lang w:val="en-US"/>
        </w:rPr>
        <w:t xml:space="preserve"> </w:t>
      </w:r>
      <w:proofErr w:type="spellStart"/>
      <w:r w:rsidRPr="0059652B">
        <w:rPr>
          <w:lang w:val="en-US"/>
        </w:rPr>
        <w:t>cesta</w:t>
      </w:r>
      <w:proofErr w:type="spellEnd"/>
      <w:r w:rsidRPr="0059652B">
        <w:rPr>
          <w:lang w:val="en-US"/>
        </w:rPr>
        <w:t xml:space="preserve"> 54, Zagreb, Croatia</w:t>
      </w:r>
    </w:p>
    <w:p w14:paraId="12EB72A0" w14:textId="77777777" w:rsidR="0059652B" w:rsidRPr="0059652B" w:rsidRDefault="0059652B" w:rsidP="0059652B">
      <w:pPr>
        <w:spacing w:line="360" w:lineRule="auto"/>
        <w:jc w:val="both"/>
        <w:rPr>
          <w:lang w:val="en-US"/>
        </w:rPr>
      </w:pPr>
      <w:proofErr w:type="spellStart"/>
      <w:r w:rsidRPr="0059652B">
        <w:rPr>
          <w:vertAlign w:val="superscript"/>
          <w:lang w:val="en-US"/>
        </w:rPr>
        <w:t>b</w:t>
      </w:r>
      <w:r w:rsidRPr="0059652B">
        <w:rPr>
          <w:lang w:val="en-US"/>
        </w:rPr>
        <w:t>Ruđer</w:t>
      </w:r>
      <w:proofErr w:type="spellEnd"/>
      <w:r w:rsidRPr="0059652B">
        <w:rPr>
          <w:lang w:val="en-US"/>
        </w:rPr>
        <w:t xml:space="preserve"> </w:t>
      </w:r>
      <w:proofErr w:type="spellStart"/>
      <w:r w:rsidRPr="0059652B">
        <w:rPr>
          <w:lang w:val="en-US"/>
        </w:rPr>
        <w:t>Bošković</w:t>
      </w:r>
      <w:proofErr w:type="spellEnd"/>
      <w:r w:rsidRPr="0059652B">
        <w:rPr>
          <w:lang w:val="en-US"/>
        </w:rPr>
        <w:t xml:space="preserve"> Institute, Division of Materials Chemistry, Laboratory for Aquaculture Biotechnology, </w:t>
      </w:r>
      <w:proofErr w:type="spellStart"/>
      <w:r w:rsidRPr="0059652B">
        <w:rPr>
          <w:lang w:val="en-US"/>
        </w:rPr>
        <w:t>Bijenička</w:t>
      </w:r>
      <w:proofErr w:type="spellEnd"/>
      <w:r w:rsidRPr="0059652B">
        <w:rPr>
          <w:lang w:val="en-US"/>
        </w:rPr>
        <w:t xml:space="preserve"> </w:t>
      </w:r>
      <w:proofErr w:type="spellStart"/>
      <w:r w:rsidRPr="0059652B">
        <w:rPr>
          <w:lang w:val="en-US"/>
        </w:rPr>
        <w:t>cesta</w:t>
      </w:r>
      <w:proofErr w:type="spellEnd"/>
      <w:r w:rsidRPr="0059652B">
        <w:rPr>
          <w:lang w:val="en-US"/>
        </w:rPr>
        <w:t xml:space="preserve"> 54, Zagreb, Croatia</w:t>
      </w:r>
    </w:p>
    <w:p w14:paraId="6D992490" w14:textId="77777777" w:rsidR="0059652B" w:rsidRPr="0059652B" w:rsidRDefault="0059652B" w:rsidP="0059652B">
      <w:pPr>
        <w:spacing w:line="360" w:lineRule="auto"/>
        <w:jc w:val="both"/>
        <w:rPr>
          <w:lang w:val="en-US"/>
        </w:rPr>
      </w:pPr>
      <w:proofErr w:type="spellStart"/>
      <w:r w:rsidRPr="0059652B">
        <w:rPr>
          <w:vertAlign w:val="superscript"/>
          <w:lang w:val="en-US"/>
        </w:rPr>
        <w:t>c</w:t>
      </w:r>
      <w:r w:rsidRPr="0059652B">
        <w:rPr>
          <w:lang w:val="en-US"/>
        </w:rPr>
        <w:t>Center</w:t>
      </w:r>
      <w:proofErr w:type="spellEnd"/>
      <w:r w:rsidRPr="0059652B">
        <w:rPr>
          <w:lang w:val="en-US"/>
        </w:rPr>
        <w:t xml:space="preserve"> of Excellence for Marine Bioprospecting (</w:t>
      </w:r>
      <w:proofErr w:type="spellStart"/>
      <w:r w:rsidRPr="0059652B">
        <w:rPr>
          <w:lang w:val="en-US"/>
        </w:rPr>
        <w:t>BioProCro</w:t>
      </w:r>
      <w:proofErr w:type="spellEnd"/>
      <w:r w:rsidRPr="0059652B">
        <w:rPr>
          <w:lang w:val="en-US"/>
        </w:rPr>
        <w:t xml:space="preserve">), </w:t>
      </w:r>
      <w:proofErr w:type="spellStart"/>
      <w:r w:rsidRPr="0059652B">
        <w:rPr>
          <w:lang w:val="en-US"/>
        </w:rPr>
        <w:t>Ruđer</w:t>
      </w:r>
      <w:proofErr w:type="spellEnd"/>
      <w:r w:rsidRPr="0059652B">
        <w:rPr>
          <w:lang w:val="en-US"/>
        </w:rPr>
        <w:t xml:space="preserve"> </w:t>
      </w:r>
      <w:proofErr w:type="spellStart"/>
      <w:r w:rsidRPr="0059652B">
        <w:rPr>
          <w:lang w:val="en-US"/>
        </w:rPr>
        <w:t>Bošković</w:t>
      </w:r>
      <w:proofErr w:type="spellEnd"/>
      <w:r w:rsidRPr="0059652B">
        <w:rPr>
          <w:lang w:val="en-US"/>
        </w:rPr>
        <w:t xml:space="preserve"> Institute, </w:t>
      </w:r>
      <w:proofErr w:type="spellStart"/>
      <w:r w:rsidRPr="0059652B">
        <w:rPr>
          <w:lang w:val="en-US"/>
        </w:rPr>
        <w:t>Bijenička</w:t>
      </w:r>
      <w:proofErr w:type="spellEnd"/>
      <w:r w:rsidRPr="0059652B">
        <w:rPr>
          <w:lang w:val="en-US"/>
        </w:rPr>
        <w:t xml:space="preserve"> </w:t>
      </w:r>
      <w:proofErr w:type="spellStart"/>
      <w:r w:rsidRPr="0059652B">
        <w:rPr>
          <w:lang w:val="en-US"/>
        </w:rPr>
        <w:t>cesta</w:t>
      </w:r>
      <w:proofErr w:type="spellEnd"/>
      <w:r w:rsidRPr="0059652B">
        <w:rPr>
          <w:lang w:val="en-US"/>
        </w:rPr>
        <w:t xml:space="preserve"> 54, Zagreb</w:t>
      </w:r>
    </w:p>
    <w:p w14:paraId="271C8A3F" w14:textId="77777777" w:rsidR="0059652B" w:rsidRPr="0059652B" w:rsidRDefault="0059652B" w:rsidP="0059652B">
      <w:pPr>
        <w:spacing w:line="360" w:lineRule="auto"/>
        <w:jc w:val="both"/>
        <w:rPr>
          <w:vertAlign w:val="superscript"/>
          <w:lang w:val="en-US"/>
        </w:rPr>
      </w:pPr>
      <w:proofErr w:type="spellStart"/>
      <w:r w:rsidRPr="0059652B">
        <w:rPr>
          <w:vertAlign w:val="superscript"/>
          <w:lang w:val="en-US"/>
        </w:rPr>
        <w:t>d</w:t>
      </w:r>
      <w:r w:rsidRPr="0059652B">
        <w:rPr>
          <w:lang w:val="en-US"/>
        </w:rPr>
        <w:t>University</w:t>
      </w:r>
      <w:proofErr w:type="spellEnd"/>
      <w:r w:rsidRPr="0059652B">
        <w:rPr>
          <w:lang w:val="en-US"/>
        </w:rPr>
        <w:t xml:space="preserve"> of Zagreb, Faculty of Science, Department of Chemistry, </w:t>
      </w:r>
      <w:proofErr w:type="spellStart"/>
      <w:r w:rsidRPr="0059652B">
        <w:rPr>
          <w:lang w:val="en-US"/>
        </w:rPr>
        <w:t>Horvatovac</w:t>
      </w:r>
      <w:proofErr w:type="spellEnd"/>
      <w:r w:rsidRPr="0059652B">
        <w:rPr>
          <w:lang w:val="en-US"/>
        </w:rPr>
        <w:t xml:space="preserve"> 102a, Zagreb, Croatia</w:t>
      </w:r>
    </w:p>
    <w:p w14:paraId="0CF055F3" w14:textId="2EFBD78B" w:rsidR="0059652B" w:rsidRDefault="0059652B" w:rsidP="0059652B">
      <w:pPr>
        <w:spacing w:line="360" w:lineRule="auto"/>
        <w:jc w:val="both"/>
        <w:rPr>
          <w:lang w:val="en-US"/>
        </w:rPr>
      </w:pPr>
      <w:proofErr w:type="spellStart"/>
      <w:r w:rsidRPr="0059652B">
        <w:rPr>
          <w:vertAlign w:val="superscript"/>
          <w:lang w:val="en-US"/>
        </w:rPr>
        <w:t>e</w:t>
      </w:r>
      <w:r w:rsidR="00EB64A1" w:rsidRPr="00EB64A1">
        <w:rPr>
          <w:lang w:val="en-US"/>
        </w:rPr>
        <w:t>Normandie</w:t>
      </w:r>
      <w:proofErr w:type="spellEnd"/>
      <w:r w:rsidR="00EB64A1" w:rsidRPr="00EB64A1">
        <w:rPr>
          <w:lang w:val="en-US"/>
        </w:rPr>
        <w:t xml:space="preserve"> </w:t>
      </w:r>
      <w:proofErr w:type="spellStart"/>
      <w:r w:rsidR="00EB64A1" w:rsidRPr="00EB64A1">
        <w:rPr>
          <w:lang w:val="en-US"/>
        </w:rPr>
        <w:t>Univ</w:t>
      </w:r>
      <w:proofErr w:type="spellEnd"/>
      <w:r w:rsidR="00EB64A1" w:rsidRPr="00EB64A1">
        <w:rPr>
          <w:lang w:val="en-US"/>
        </w:rPr>
        <w:t xml:space="preserve">, ENSICAEN, UNICAEN, CNRS, </w:t>
      </w:r>
      <w:proofErr w:type="spellStart"/>
      <w:r w:rsidR="00EB64A1" w:rsidRPr="00EB64A1">
        <w:rPr>
          <w:lang w:val="en-US"/>
        </w:rPr>
        <w:t>Laboratoire</w:t>
      </w:r>
      <w:proofErr w:type="spellEnd"/>
      <w:r w:rsidR="00EB64A1" w:rsidRPr="00EB64A1">
        <w:rPr>
          <w:lang w:val="en-US"/>
        </w:rPr>
        <w:t xml:space="preserve"> </w:t>
      </w:r>
      <w:proofErr w:type="spellStart"/>
      <w:r w:rsidR="00EB64A1" w:rsidRPr="00EB64A1">
        <w:rPr>
          <w:lang w:val="en-US"/>
        </w:rPr>
        <w:t>Catalyse</w:t>
      </w:r>
      <w:proofErr w:type="spellEnd"/>
      <w:r w:rsidR="00EB64A1" w:rsidRPr="00EB64A1">
        <w:rPr>
          <w:lang w:val="en-US"/>
        </w:rPr>
        <w:t xml:space="preserve"> et </w:t>
      </w:r>
      <w:proofErr w:type="spellStart"/>
      <w:r w:rsidR="00EB64A1" w:rsidRPr="00EB64A1">
        <w:rPr>
          <w:lang w:val="en-US"/>
        </w:rPr>
        <w:t>Spectrochimie</w:t>
      </w:r>
      <w:proofErr w:type="spellEnd"/>
      <w:r w:rsidR="00EB64A1" w:rsidRPr="00EB64A1">
        <w:rPr>
          <w:lang w:val="en-US"/>
        </w:rPr>
        <w:t xml:space="preserve">, 6 Boulevard </w:t>
      </w:r>
      <w:proofErr w:type="spellStart"/>
      <w:r w:rsidR="00EB64A1" w:rsidRPr="00EB64A1">
        <w:rPr>
          <w:lang w:val="en-US"/>
        </w:rPr>
        <w:t>Maréchal</w:t>
      </w:r>
      <w:proofErr w:type="spellEnd"/>
      <w:r w:rsidR="00EB64A1" w:rsidRPr="00EB64A1">
        <w:rPr>
          <w:lang w:val="en-US"/>
        </w:rPr>
        <w:t xml:space="preserve"> </w:t>
      </w:r>
      <w:proofErr w:type="spellStart"/>
      <w:r w:rsidR="00EB64A1" w:rsidRPr="00EB64A1">
        <w:rPr>
          <w:lang w:val="en-US"/>
        </w:rPr>
        <w:t>Juin</w:t>
      </w:r>
      <w:proofErr w:type="spellEnd"/>
      <w:r w:rsidR="00EB64A1" w:rsidRPr="00EB64A1">
        <w:rPr>
          <w:lang w:val="en-US"/>
        </w:rPr>
        <w:t>, Caen, France</w:t>
      </w:r>
    </w:p>
    <w:p w14:paraId="7B1E148E" w14:textId="77777777" w:rsidR="0059652B" w:rsidRDefault="0059652B" w:rsidP="0059652B">
      <w:pPr>
        <w:spacing w:line="360" w:lineRule="auto"/>
        <w:jc w:val="both"/>
        <w:rPr>
          <w:lang w:val="en-US"/>
        </w:rPr>
      </w:pPr>
    </w:p>
    <w:p w14:paraId="4C077E27" w14:textId="77777777" w:rsidR="0059652B" w:rsidRDefault="0059652B" w:rsidP="0059652B">
      <w:pPr>
        <w:spacing w:line="360" w:lineRule="auto"/>
        <w:jc w:val="both"/>
        <w:rPr>
          <w:lang w:val="en-US"/>
        </w:rPr>
      </w:pPr>
      <w:r>
        <w:rPr>
          <w:vertAlign w:val="superscript"/>
          <w:lang w:val="en-US"/>
        </w:rPr>
        <w:t>1</w:t>
      </w:r>
      <w:r>
        <w:rPr>
          <w:lang w:val="en-US"/>
        </w:rPr>
        <w:t>Equal contribution</w:t>
      </w:r>
    </w:p>
    <w:p w14:paraId="567F6DAA" w14:textId="77777777" w:rsidR="0059652B" w:rsidRDefault="0059652B" w:rsidP="0059652B">
      <w:pPr>
        <w:spacing w:line="360" w:lineRule="auto"/>
        <w:jc w:val="both"/>
        <w:rPr>
          <w:lang w:val="en-US"/>
        </w:rPr>
      </w:pPr>
      <w:r>
        <w:rPr>
          <w:rFonts w:ascii="Cambria Math" w:hAnsi="Cambria Math" w:cs="Cambria Math"/>
          <w:vertAlign w:val="superscript"/>
          <w:lang w:val="en-US"/>
        </w:rPr>
        <w:t>∗</w:t>
      </w:r>
      <w:r>
        <w:rPr>
          <w:lang w:val="en-US"/>
        </w:rPr>
        <w:t>Corresponding author</w:t>
      </w:r>
    </w:p>
    <w:p w14:paraId="719F083E" w14:textId="77777777" w:rsidR="0059652B" w:rsidRDefault="0059652B" w:rsidP="0059652B">
      <w:pPr>
        <w:spacing w:line="360" w:lineRule="auto"/>
        <w:jc w:val="both"/>
        <w:rPr>
          <w:lang w:val="en-US"/>
        </w:rPr>
      </w:pPr>
      <w:r>
        <w:rPr>
          <w:rFonts w:ascii="Cambria Math" w:hAnsi="Cambria Math" w:cs="Cambria Math"/>
          <w:vertAlign w:val="superscript"/>
          <w:lang w:val="en-US"/>
        </w:rPr>
        <w:t>∗∗</w:t>
      </w:r>
      <w:r>
        <w:rPr>
          <w:lang w:val="en-US"/>
        </w:rPr>
        <w:t>Corresponding author</w:t>
      </w:r>
    </w:p>
    <w:p w14:paraId="7D0C2B87" w14:textId="5834BFEF" w:rsidR="0059652B" w:rsidRDefault="0059652B" w:rsidP="0059652B">
      <w:pPr>
        <w:spacing w:line="360" w:lineRule="auto"/>
        <w:jc w:val="both"/>
        <w:rPr>
          <w:lang w:val="en-US"/>
        </w:rPr>
      </w:pPr>
      <w:r>
        <w:rPr>
          <w:lang w:val="en-US"/>
        </w:rPr>
        <w:t xml:space="preserve">E-mail addresses: ana.palcic@irb.hr (A. </w:t>
      </w:r>
      <w:proofErr w:type="spellStart"/>
      <w:r>
        <w:rPr>
          <w:lang w:val="en-US"/>
        </w:rPr>
        <w:t>Palčić</w:t>
      </w:r>
      <w:proofErr w:type="spellEnd"/>
      <w:r>
        <w:rPr>
          <w:lang w:val="en-US"/>
        </w:rPr>
        <w:t>)</w:t>
      </w:r>
      <w:r w:rsidR="00937F31">
        <w:rPr>
          <w:lang w:val="en-US"/>
        </w:rPr>
        <w:t>,</w:t>
      </w:r>
      <w:r w:rsidR="00937F31" w:rsidRPr="00937F31">
        <w:rPr>
          <w:lang w:val="en-US"/>
        </w:rPr>
        <w:t xml:space="preserve"> </w:t>
      </w:r>
      <w:r w:rsidR="00937F31">
        <w:rPr>
          <w:lang w:val="en-US"/>
        </w:rPr>
        <w:t>sanja.babic@irb.hr (S. Babić)</w:t>
      </w:r>
    </w:p>
    <w:p w14:paraId="56EEE7BB" w14:textId="77777777" w:rsidR="0059652B" w:rsidRDefault="0059652B" w:rsidP="0059652B">
      <w:pPr>
        <w:spacing w:line="360" w:lineRule="auto"/>
        <w:jc w:val="both"/>
        <w:outlineLvl w:val="0"/>
        <w:rPr>
          <w:lang w:val="en-US"/>
        </w:rPr>
      </w:pPr>
    </w:p>
    <w:p w14:paraId="263CDD5B" w14:textId="77777777" w:rsidR="00F02E89" w:rsidRDefault="00F02E89">
      <w:pPr>
        <w:spacing w:line="360" w:lineRule="auto"/>
        <w:contextualSpacing/>
        <w:jc w:val="both"/>
        <w:outlineLvl w:val="0"/>
        <w:rPr>
          <w:lang w:val="en-US"/>
        </w:rPr>
      </w:pPr>
    </w:p>
    <w:p w14:paraId="0804BF88" w14:textId="77777777" w:rsidR="00F02E89" w:rsidRDefault="00E01693">
      <w:pPr>
        <w:spacing w:line="360" w:lineRule="auto"/>
        <w:contextualSpacing/>
        <w:jc w:val="both"/>
        <w:rPr>
          <w:b/>
          <w:lang w:val="en-US"/>
        </w:rPr>
      </w:pPr>
      <w:r>
        <w:rPr>
          <w:b/>
          <w:lang w:val="en-US"/>
        </w:rPr>
        <w:t xml:space="preserve">Keywords </w:t>
      </w:r>
    </w:p>
    <w:p w14:paraId="39348538" w14:textId="2551A2C9" w:rsidR="00F02E89" w:rsidRDefault="004746A2">
      <w:pPr>
        <w:spacing w:line="360" w:lineRule="auto"/>
        <w:contextualSpacing/>
        <w:jc w:val="both"/>
        <w:outlineLvl w:val="0"/>
        <w:rPr>
          <w:lang w:val="en-US"/>
        </w:rPr>
      </w:pPr>
      <w:proofErr w:type="spellStart"/>
      <w:r w:rsidRPr="004746A2">
        <w:rPr>
          <w:lang w:val="en-US"/>
        </w:rPr>
        <w:t>Nanozeolite</w:t>
      </w:r>
      <w:r w:rsidR="008D5155">
        <w:rPr>
          <w:lang w:val="en-US"/>
        </w:rPr>
        <w:t>s</w:t>
      </w:r>
      <w:proofErr w:type="spellEnd"/>
      <w:r w:rsidRPr="004746A2">
        <w:rPr>
          <w:lang w:val="en-US"/>
        </w:rPr>
        <w:t xml:space="preserve">; Organic </w:t>
      </w:r>
      <w:r w:rsidR="00603180" w:rsidRPr="004746A2">
        <w:rPr>
          <w:lang w:val="en-US"/>
        </w:rPr>
        <w:t>structure</w:t>
      </w:r>
      <w:r w:rsidR="00C44DDA">
        <w:rPr>
          <w:lang w:val="en-US"/>
        </w:rPr>
        <w:t xml:space="preserve"> </w:t>
      </w:r>
      <w:r w:rsidRPr="004746A2">
        <w:rPr>
          <w:lang w:val="en-US"/>
        </w:rPr>
        <w:t xml:space="preserve">directing agents; </w:t>
      </w:r>
      <w:r w:rsidR="00E01693" w:rsidRPr="004746A2">
        <w:rPr>
          <w:lang w:val="en-US"/>
        </w:rPr>
        <w:t>Nanotoxicology; Zebrafish embryotoxicity test; Molecular docking</w:t>
      </w:r>
    </w:p>
    <w:p w14:paraId="3D0048B0" w14:textId="77777777" w:rsidR="004746A2" w:rsidRDefault="004746A2">
      <w:pPr>
        <w:spacing w:line="360" w:lineRule="auto"/>
        <w:contextualSpacing/>
        <w:jc w:val="both"/>
        <w:outlineLvl w:val="0"/>
        <w:rPr>
          <w:lang w:val="en-US"/>
        </w:rPr>
      </w:pPr>
    </w:p>
    <w:p w14:paraId="2EE793C1" w14:textId="77777777" w:rsidR="00F02E89" w:rsidRDefault="00F02E89">
      <w:pPr>
        <w:spacing w:line="360" w:lineRule="auto"/>
        <w:contextualSpacing/>
        <w:jc w:val="both"/>
        <w:outlineLvl w:val="0"/>
        <w:rPr>
          <w:b/>
          <w:bCs/>
          <w:lang w:val="en-US"/>
        </w:rPr>
      </w:pPr>
    </w:p>
    <w:p w14:paraId="051C27DC" w14:textId="77777777" w:rsidR="00F02E89" w:rsidRDefault="00E01693">
      <w:pPr>
        <w:spacing w:line="360" w:lineRule="auto"/>
        <w:contextualSpacing/>
        <w:jc w:val="both"/>
        <w:outlineLvl w:val="0"/>
        <w:rPr>
          <w:b/>
          <w:bCs/>
          <w:lang w:val="en-US"/>
        </w:rPr>
      </w:pPr>
      <w:r>
        <w:rPr>
          <w:b/>
          <w:bCs/>
          <w:lang w:val="en-US"/>
        </w:rPr>
        <w:t>Highlights</w:t>
      </w:r>
    </w:p>
    <w:p w14:paraId="2431E71C" w14:textId="77777777" w:rsidR="00F02E89" w:rsidRDefault="00E01693">
      <w:pPr>
        <w:pStyle w:val="ListParagraph"/>
        <w:numPr>
          <w:ilvl w:val="0"/>
          <w:numId w:val="1"/>
        </w:numPr>
        <w:spacing w:after="0" w:line="36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 xml:space="preserve">Zeolite nanoparticles showed no impact on zebrafish embryonic development </w:t>
      </w:r>
    </w:p>
    <w:p w14:paraId="297BDBE3" w14:textId="77777777" w:rsidR="00F02E89" w:rsidRDefault="00E01693">
      <w:pPr>
        <w:pStyle w:val="ListParagraph"/>
        <w:numPr>
          <w:ilvl w:val="0"/>
          <w:numId w:val="1"/>
        </w:numPr>
        <w:spacing w:after="0" w:line="36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Tetraethylammonium cations tend to leach from the zeolite *BEA framework</w:t>
      </w:r>
    </w:p>
    <w:p w14:paraId="0FAF6E95" w14:textId="77777777" w:rsidR="00F02E89" w:rsidRDefault="00E01693">
      <w:pPr>
        <w:pStyle w:val="ListParagraph"/>
        <w:numPr>
          <w:ilvl w:val="0"/>
          <w:numId w:val="1"/>
        </w:numPr>
        <w:spacing w:after="0" w:line="360" w:lineRule="auto"/>
        <w:jc w:val="both"/>
        <w:outlineLvl w:val="0"/>
        <w:rPr>
          <w:rFonts w:ascii="Times New Roman" w:hAnsi="Times New Roman" w:cs="Times New Roman"/>
          <w:bCs/>
          <w:sz w:val="24"/>
          <w:szCs w:val="24"/>
          <w:lang w:val="en-US"/>
        </w:rPr>
      </w:pPr>
      <w:r>
        <w:rPr>
          <w:rFonts w:ascii="Times New Roman" w:hAnsi="Times New Roman" w:cs="Times New Roman"/>
          <w:bCs/>
          <w:sz w:val="24"/>
          <w:szCs w:val="24"/>
          <w:lang w:val="en-US"/>
        </w:rPr>
        <w:t>Oxidative stress leads to hatching delay in zebrafish exposed to non-calcined zeolite samples and TEAOH</w:t>
      </w:r>
    </w:p>
    <w:p w14:paraId="5831F8CF" w14:textId="01B03C8A" w:rsidR="00F02E89" w:rsidRPr="003D5606" w:rsidRDefault="00F02E89" w:rsidP="003D5606">
      <w:pPr>
        <w:spacing w:line="360" w:lineRule="auto"/>
        <w:ind w:left="360"/>
        <w:jc w:val="both"/>
        <w:outlineLvl w:val="0"/>
        <w:rPr>
          <w:bCs/>
          <w:lang w:val="en-US"/>
        </w:rPr>
      </w:pPr>
    </w:p>
    <w:p w14:paraId="14F53AA7" w14:textId="77777777" w:rsidR="00F02E89" w:rsidRDefault="00E01693">
      <w:pPr>
        <w:spacing w:line="360" w:lineRule="auto"/>
        <w:contextualSpacing/>
        <w:jc w:val="both"/>
        <w:outlineLvl w:val="0"/>
        <w:rPr>
          <w:b/>
          <w:bCs/>
          <w:lang w:val="en-US"/>
        </w:rPr>
      </w:pPr>
      <w:r>
        <w:rPr>
          <w:b/>
          <w:bCs/>
          <w:lang w:val="en-US"/>
        </w:rPr>
        <w:lastRenderedPageBreak/>
        <w:t xml:space="preserve">Abstract </w:t>
      </w:r>
    </w:p>
    <w:p w14:paraId="1ED7DFA1" w14:textId="58E3CC90" w:rsidR="00F02E89" w:rsidRDefault="00E01693">
      <w:pPr>
        <w:spacing w:line="360" w:lineRule="auto"/>
        <w:contextualSpacing/>
        <w:jc w:val="both"/>
        <w:rPr>
          <w:b/>
          <w:lang w:val="en-US"/>
        </w:rPr>
      </w:pPr>
      <w:r>
        <w:rPr>
          <w:lang w:val="en-US"/>
        </w:rPr>
        <w:t xml:space="preserve">Zeolites are materials widely used in many fields of human activities. Furthermore, new potential applications constantly emerge, so understanding their possible impact on the environment is necessary. Within this study, the potential toxicity of nanosized particles (140 and 600 nm) of a widely used zeolite beta was evaluated using zebrafish </w:t>
      </w:r>
      <w:r>
        <w:rPr>
          <w:i/>
          <w:lang w:val="en-US"/>
        </w:rPr>
        <w:t xml:space="preserve">Danio </w:t>
      </w:r>
      <w:proofErr w:type="spellStart"/>
      <w:r>
        <w:rPr>
          <w:i/>
          <w:lang w:val="en-US"/>
        </w:rPr>
        <w:t>rerio</w:t>
      </w:r>
      <w:proofErr w:type="spellEnd"/>
      <w:r>
        <w:rPr>
          <w:lang w:val="en-US"/>
        </w:rPr>
        <w:t xml:space="preserve"> embryos. Embryotoxicity test, with an emphasis on sublethal changes, was performed on three concentrations of each nanosized zeolite sample (calcined and non-calcined). Toxicity of tetraethylammonium species (TEA) present in non-calcined zeolite samples was also investigated using experimental and computational approaches. The data suggest that non-calcined zeolites and tetraethylammonium hydroxide (TEAOH) itself caused hatching failure, but also initiated oxidative stress and apoptosis. Such observation confirmed certain TEA leaching from the zeolite framework, thus impacting embryonic development. Since molecular docking and molecular dynamics simulations did not show TEA inhibition of the hatching enzyme ZHE1 and the ROS formation was detected using fluorescence microscopy, it was concluded that oxidative stress is the major mechanism underlying the toxicity of non-calcined samples and TEAOH. Contrary to that, calcined zeolite nanoparticles, although having a strong interaction with the chorion and subsequently with the embryos, did not show a negative impact on zebrafish survival/development. Such a comprehensive study pinpointed zeolite </w:t>
      </w:r>
      <w:r w:rsidR="004E674D">
        <w:rPr>
          <w:lang w:val="en-US"/>
        </w:rPr>
        <w:t xml:space="preserve">nanoparticles as </w:t>
      </w:r>
      <w:r>
        <w:rPr>
          <w:lang w:val="en-US"/>
        </w:rPr>
        <w:t>safe material</w:t>
      </w:r>
      <w:r w:rsidR="004E674D">
        <w:rPr>
          <w:lang w:val="en-US"/>
        </w:rPr>
        <w:t>s</w:t>
      </w:r>
      <w:r>
        <w:rPr>
          <w:lang w:val="en-US"/>
        </w:rPr>
        <w:t xml:space="preserve"> and opened the door for their application.</w:t>
      </w:r>
    </w:p>
    <w:p w14:paraId="5AAAD77D" w14:textId="77777777" w:rsidR="00F02E89" w:rsidRDefault="00F02E89">
      <w:pPr>
        <w:spacing w:line="360" w:lineRule="auto"/>
        <w:contextualSpacing/>
        <w:jc w:val="both"/>
        <w:rPr>
          <w:b/>
          <w:lang w:val="en-US"/>
        </w:rPr>
      </w:pPr>
    </w:p>
    <w:p w14:paraId="6719B27F" w14:textId="77777777" w:rsidR="00F02E89" w:rsidRDefault="00F02E89">
      <w:pPr>
        <w:spacing w:line="360" w:lineRule="auto"/>
        <w:contextualSpacing/>
        <w:jc w:val="both"/>
        <w:rPr>
          <w:b/>
          <w:lang w:val="en-US"/>
        </w:rPr>
      </w:pPr>
    </w:p>
    <w:p w14:paraId="5FE1950A" w14:textId="77777777" w:rsidR="00F02E89" w:rsidRDefault="00E01693">
      <w:pPr>
        <w:spacing w:line="360" w:lineRule="auto"/>
        <w:contextualSpacing/>
        <w:jc w:val="both"/>
        <w:outlineLvl w:val="0"/>
        <w:rPr>
          <w:lang w:val="en-US"/>
        </w:rPr>
      </w:pPr>
      <w:r>
        <w:rPr>
          <w:b/>
          <w:bCs/>
          <w:lang w:val="en-US"/>
        </w:rPr>
        <w:t xml:space="preserve">1.0. Introduction </w:t>
      </w:r>
    </w:p>
    <w:p w14:paraId="131112F0" w14:textId="107FCADB" w:rsidR="00F02E89" w:rsidRDefault="00E01693">
      <w:pPr>
        <w:spacing w:line="360" w:lineRule="auto"/>
        <w:contextualSpacing/>
        <w:jc w:val="both"/>
      </w:pPr>
      <w:r>
        <w:rPr>
          <w:lang w:val="en-US"/>
        </w:rPr>
        <w:t xml:space="preserve">Zeolites are crystalline microporous tectosilicate materials built of tetrahedra with central T atom (T=Si, Al, </w:t>
      </w:r>
      <w:proofErr w:type="spellStart"/>
      <w:r>
        <w:rPr>
          <w:lang w:val="en-US"/>
        </w:rPr>
        <w:t>Ti</w:t>
      </w:r>
      <w:proofErr w:type="spellEnd"/>
      <w:r>
        <w:rPr>
          <w:lang w:val="en-US"/>
        </w:rPr>
        <w:t>, P, B, Ge, Ga, etc.) and surrounded by oxygen atoms at vertices</w:t>
      </w:r>
      <w:r w:rsidR="003D5606">
        <w:rPr>
          <w:lang w:val="en-US"/>
        </w:rPr>
        <w:t xml:space="preserve"> </w:t>
      </w:r>
      <w:r w:rsidR="007222B6">
        <w:rPr>
          <w:lang w:val="en-US"/>
        </w:rPr>
        <w:fldChar w:fldCharType="begin" w:fldLock="1"/>
      </w:r>
      <w:r w:rsidR="007222B6">
        <w:rPr>
          <w:lang w:val="en-US"/>
        </w:rPr>
        <w:instrText>ADDIN CSL_CITATION {"citationItems":[{"id":"ITEM-1","itemData":{"DOI":"10.1021/cr300439k","ISSN":"0009-2665","abstract":"A review. Developments in nanoscience are constantly being implemented in almost all areas of modern society, from advanced technologies to domestic products. These developments also apply to porous materials with ordered networks of micropores or mesopores. The objective of the present review is to summarize the current trends in the synthesis, processing, and potential applications of porous nanomaterials. The three main classes of nanomaterials with well-defined pore systems are discussed, namely, zeolites, ordered mesoporous silica, and metal-org. frameworks. [on SciFinder(R)]","author":[{"dropping-particle":"","family":"Valtchev","given":"Valentin","non-dropping-particle":"","parse-names":false,"suffix":""},{"dropping-particle":"","family":"Tosheva","given":"Lubomira","non-dropping-particle":"","parse-names":false,"suffix":""}],"container-title":"Chemical Reviews","id":"ITEM-1","issued":{"date-parts":[["2013"]]},"title":"Porous Nanosized Particles: Preparation, Properties, and Applications","type":"article-journal"},"uris":["http://www.mendeley.com/documents/?uuid=2fb66a1e-7c04-3b60-82bd-ab7a0ff9154d"]}],"mendeley":{"formattedCitation":"[1]","plainTextFormattedCitation":"[1]","previouslyFormattedCitation":"[1]"},"properties":{"noteIndex":0},"schema":"https://github.com/citation-style-language/schema/raw/master/csl-citation.json"}</w:instrText>
      </w:r>
      <w:r w:rsidR="007222B6">
        <w:rPr>
          <w:lang w:val="en-US"/>
        </w:rPr>
        <w:fldChar w:fldCharType="separate"/>
      </w:r>
      <w:r w:rsidR="007222B6" w:rsidRPr="007222B6">
        <w:rPr>
          <w:noProof/>
          <w:lang w:val="en-US"/>
        </w:rPr>
        <w:t>[1]</w:t>
      </w:r>
      <w:r w:rsidR="007222B6">
        <w:rPr>
          <w:lang w:val="en-US"/>
        </w:rPr>
        <w:fldChar w:fldCharType="end"/>
      </w:r>
      <w:r>
        <w:rPr>
          <w:lang w:val="en-US"/>
        </w:rPr>
        <w:t>. Depending on the arrangement of the tetrahedra, numerous tridimensional frameworks with the system of voids and channels of different sizes can get formed. Currently, there are over two million possible hypothetical zeolite structures and 234 approved zeolite frameworks found in nature and prepared in the laboratories</w:t>
      </w:r>
      <w:r w:rsidR="007222B6">
        <w:rPr>
          <w:lang w:val="en-US"/>
        </w:rPr>
        <w:t xml:space="preserve"> </w:t>
      </w:r>
      <w:r w:rsidR="007222B6">
        <w:rPr>
          <w:lang w:val="en-US"/>
        </w:rPr>
        <w:fldChar w:fldCharType="begin" w:fldLock="1"/>
      </w:r>
      <w:r w:rsidR="00985CAD">
        <w:rPr>
          <w:lang w:val="en-US"/>
        </w:rPr>
        <w:instrText>ADDIN CSL_CITATION {"citationItems":[{"id":"ITEM-1","itemData":{"id":"ITEM-1","issued":{"date-parts":[["0"]]},"title":"http://www.hypotheticalzeolites.net/NEWDATABASE/index.html","type":"webpage"},"uris":["http://www.mendeley.com/documents/?uuid=cebac264-8b12-45e2-9c07-62be4a7e14ce"]},{"id":"ITEM-2","itemData":{"id":"ITEM-2","issued":{"date-parts":[["0"]]},"title":"http://www.iza-structure.org/databases/","type":"webpage"},"uris":["http://www.mendeley.com/documents/?uuid=fee475db-81c4-45af-90bc-1072e52380ca"]}],"mendeley":{"formattedCitation":"[2,3]","plainTextFormattedCitation":"[2,3]","previouslyFormattedCitation":"[2,3]"},"properties":{"noteIndex":0},"schema":"https://github.com/citation-style-language/schema/raw/master/csl-citation.json"}</w:instrText>
      </w:r>
      <w:r w:rsidR="007222B6">
        <w:rPr>
          <w:lang w:val="en-US"/>
        </w:rPr>
        <w:fldChar w:fldCharType="separate"/>
      </w:r>
      <w:r w:rsidR="007222B6" w:rsidRPr="007222B6">
        <w:rPr>
          <w:noProof/>
          <w:lang w:val="en-US"/>
        </w:rPr>
        <w:t>[2,3]</w:t>
      </w:r>
      <w:r w:rsidR="007222B6">
        <w:rPr>
          <w:lang w:val="en-US"/>
        </w:rPr>
        <w:fldChar w:fldCharType="end"/>
      </w:r>
      <w:r>
        <w:rPr>
          <w:lang w:val="en-US"/>
        </w:rPr>
        <w:t>. Due to their particular properties such as tunable hydrophobicity, acidity, ion-exchange, morphology, size, and molecular sieving ability, zeolites are widely used in many industrial processes and everyday life</w:t>
      </w:r>
      <w:r w:rsidR="003D5606">
        <w:rPr>
          <w:lang w:val="en-US"/>
        </w:rPr>
        <w:t xml:space="preserve"> </w:t>
      </w:r>
      <w:r w:rsidR="007222B6">
        <w:rPr>
          <w:lang w:val="en-US"/>
        </w:rPr>
        <w:fldChar w:fldCharType="begin" w:fldLock="1"/>
      </w:r>
      <w:r w:rsidR="007222B6">
        <w:rPr>
          <w:lang w:val="en-US"/>
        </w:rPr>
        <w:instrText>ADDIN CSL_CITATION {"citationItems":[{"id":"ITEM-1","itemData":{"DOI":"10.1039/c5nj03498a","ISSN":"13699261","abstract":"In the last forty years Eni laboratories have contributed to the advancement of zeolite science and technology in both the synthesis and characterization of materials and their application in catalysis. This work has led to several industrial applications of zeolites, such as selective oxidation, acid-base catalysis, gas separation and water remediation. A brief review of the main results is reported with some comments on the future perspectives of this technology.","author":[{"dropping-particle":"","family":"Bellussi","given":"Giuseppe","non-dropping-particle":"","parse-names":false,"suffix":""},{"dropping-particle":"","family":"Millini","given":"Roberto","non-dropping-particle":"","parse-names":false,"suffix":""},{"dropping-particle":"","family":"Pollesel","given":"Paolo","non-dropping-particle":"","parse-names":false,"suffix":""},{"dropping-particle":"","family":"Perego","given":"Carlo","non-dropping-particle":"","parse-names":false,"suffix":""}],"container-title":"New Journal of Chemistry","id":"ITEM-1","issued":{"date-parts":[["2016"]]},"title":"Zeolite science and technology at Eni","type":"article"},"uris":["http://www.mendeley.com/documents/?uuid=565ee46b-56cf-34ca-ac82-565ac5f3c45f"]},{"id":"ITEM-2","itemData":{"DOI":"10.1039/c4en00031e","ISSN":"20518161","abstract":"Zeolites and mesoporous silica nanoparticles are silicate or aluminosilicate nanomaterials with well-defined pore networks. Zeolites are widely used in industry for applications such as catalysis, separations and gas adsorption. Mesoporous silica nanomaterials have not been as extensively applied relative to zeolites due to the cost and reduced thermal stability, but are being intensively investigated for potential environmental and biomedical applications. In this article, zeolite and mesoporous silica nanomaterials are reviewed with emphasis on connections to the environment. Specifically, the topics of greener syntheses, environmental applications and biological toxicity will be addressed. Both of these materials are typically synthesized with a template, which is then removed to produce the pore volume. Synthetic strategies for the \"greening\" of the syntheses of zeolites and mesoporous silica will be discussed. Environmental applications including the adsorption of environmental contaminants and environmental catalysis will also be presented. Finally, the toxicity of zeolite and mesoporous silica nanomaterials will be considered.","author":[{"dropping-particle":"","family":"Lehman","given":"Sean E.","non-dropping-particle":"","parse-names":false,"suffix":""},{"dropping-particle":"","family":"Larsen","given":"Sarah C.","non-dropping-particle":"","parse-names":false,"suffix":""}],"container-title":"Environmental Science: Nano","id":"ITEM-2","issued":{"date-parts":[["2014"]]},"title":"Zeolite and mesoporous silica nanomaterials: Greener syntheses, environmental applications and biological toxicity","type":"article"},"uris":["http://www.mendeley.com/documents/?uuid=0544bd28-0a44-381f-93b7-14338631e6b3"]},{"id":"ITEM-3","itemData":{"DOI":"10.1021/cr300439k","ISSN":"0009-2665","abstract":"A review. Developments in nanoscience are constantly being implemented in almost all areas of modern society, from advanced technologies to domestic products. These developments also apply to porous materials with ordered networks of micropores or mesopores. The objective of the present review is to summarize the current trends in the synthesis, processing, and potential applications of porous nanomaterials. The three main classes of nanomaterials with well-defined pore systems are discussed, namely, zeolites, ordered mesoporous silica, and metal-org. frameworks. [on SciFinder(R)]","author":[{"dropping-particle":"","family":"Valtchev","given":"Valentin","non-dropping-particle":"","parse-names":false,"suffix":""},{"dropping-particle":"","family":"Tosheva","given":"Lubomira","non-dropping-particle":"","parse-names":false,"suffix":""}],"container-title":"Chemical Reviews","id":"ITEM-3","issued":{"date-parts":[["2013"]]},"title":"Porous Nanosized Particles: Preparation, Properties, and Applications","type":"article-journal"},"uris":["http://www.mendeley.com/documents/?uuid=2fb66a1e-7c04-3b60-82bd-ab7a0ff9154d"]}],"mendeley":{"formattedCitation":"[1,4,5]","plainTextFormattedCitation":"[1,4,5]","previouslyFormattedCitation":"[1,4,5]"},"properties":{"noteIndex":0},"schema":"https://github.com/citation-style-language/schema/raw/master/csl-citation.json"}</w:instrText>
      </w:r>
      <w:r w:rsidR="007222B6">
        <w:rPr>
          <w:lang w:val="en-US"/>
        </w:rPr>
        <w:fldChar w:fldCharType="separate"/>
      </w:r>
      <w:r w:rsidR="007222B6" w:rsidRPr="007222B6">
        <w:rPr>
          <w:noProof/>
          <w:lang w:val="en-US"/>
        </w:rPr>
        <w:t>[1,4,5]</w:t>
      </w:r>
      <w:r w:rsidR="007222B6">
        <w:rPr>
          <w:lang w:val="en-US"/>
        </w:rPr>
        <w:fldChar w:fldCharType="end"/>
      </w:r>
      <w:r w:rsidR="007222B6">
        <w:rPr>
          <w:lang w:val="en-US"/>
        </w:rPr>
        <w:t>.</w:t>
      </w:r>
      <w:r w:rsidR="00CE78B4">
        <w:t xml:space="preserve"> T</w:t>
      </w:r>
      <w:r>
        <w:rPr>
          <w:lang w:val="en-US"/>
        </w:rPr>
        <w:t xml:space="preserve">he used materials range from all silica materials to low silica zeolites, from titanium-containing zeolites to </w:t>
      </w:r>
      <w:proofErr w:type="spellStart"/>
      <w:r>
        <w:rPr>
          <w:lang w:val="en-US"/>
        </w:rPr>
        <w:t>silicoaluminophosphates</w:t>
      </w:r>
      <w:proofErr w:type="spellEnd"/>
      <w:r>
        <w:rPr>
          <w:lang w:val="en-US"/>
        </w:rPr>
        <w:t>. Synthetic zeolites are mainly used as catalysts in (</w:t>
      </w:r>
      <w:proofErr w:type="spellStart"/>
      <w:r>
        <w:rPr>
          <w:lang w:val="en-US"/>
        </w:rPr>
        <w:t>petro</w:t>
      </w:r>
      <w:proofErr w:type="spellEnd"/>
      <w:r>
        <w:rPr>
          <w:lang w:val="en-US"/>
        </w:rPr>
        <w:t xml:space="preserve">)chemical industry, ion-exchangers in detergents and as molecular sieves in numerous separation processes. They are also employed in wastewater treatment, water purification, odor removal, </w:t>
      </w:r>
      <w:r>
        <w:rPr>
          <w:lang w:val="en-US"/>
        </w:rPr>
        <w:lastRenderedPageBreak/>
        <w:t xml:space="preserve">agriculture, medicine, solar cells, refrigeration, </w:t>
      </w:r>
      <w:proofErr w:type="spellStart"/>
      <w:r>
        <w:rPr>
          <w:lang w:val="en-US"/>
        </w:rPr>
        <w:t>etc</w:t>
      </w:r>
      <w:bookmarkStart w:id="0" w:name="__Fieldmark__13665_1509016404"/>
      <w:bookmarkEnd w:id="0"/>
      <w:proofErr w:type="spellEnd"/>
      <w:r w:rsidR="003D5606">
        <w:rPr>
          <w:lang w:val="en-US"/>
        </w:rPr>
        <w:t xml:space="preserve"> </w:t>
      </w:r>
      <w:r w:rsidR="007222B6">
        <w:rPr>
          <w:lang w:val="en-US"/>
        </w:rPr>
        <w:fldChar w:fldCharType="begin" w:fldLock="1"/>
      </w:r>
      <w:r w:rsidR="005E1565">
        <w:rPr>
          <w:lang w:val="en-US"/>
        </w:rPr>
        <w:instrText>ADDIN CSL_CITATION {"citationItems":[{"id":"ITEM-1","itemData":{"DOI":"10.1039/c5cs00210a","ISSN":"14604744","abstract":"This review highlights recent developments in the synthesis and unconventional applications of nanosized microporous crystals including framework (zeolites) and layered (clays) type materials. Owing to their microporous nature nanosized zeolites and clays exhibit novel properties, different from those of bulk materials. The factors controlling the formation of nanosized microporous crystals are first revised. The most promising approaches from the viewpoint of large-scale production of nanosized zeolites and clays are discussed in depth. The preparation and advanced applications of nanosized zeolites and clays in free (suspension and powder forms) and fixed (films) forms are summarized. Further the review emphasises the non-conventional applications of new porous materials. A comprehensive analysis of the emerging applications of microporous nanosized crystals in the field of semiconductor industry, optical materials, chemical sensors, medicine, cosmetics, and food industry is presented. Finally, the future needs and perspectives of nanosized microporous materials (zeolites and clays) are addressed.","author":[{"dropping-particle":"","family":"Mintova","given":"Svetlana","non-dropping-particle":"","parse-names":false,"suffix":""},{"dropping-particle":"","family":"Jaber","given":"Maguy","non-dropping-particle":"","parse-names":false,"suffix":""},{"dropping-particle":"","family":"Valtchev","given":"Valentin","non-dropping-particle":"","parse-names":false,"suffix":""}],"container-title":"Chemical Society Reviews","id":"ITEM-1","issued":{"date-parts":[["2015"]]},"title":"Nanosized microporous crystals: emerging applications","type":"article"},"uris":["http://www.mendeley.com/documents/?uuid=dd842adb-e927-31b3-8d0d-f5853ceaf474"]}],"mendeley":{"formattedCitation":"[6]","plainTextFormattedCitation":"[6]","previouslyFormattedCitation":"[6]"},"properties":{"noteIndex":0},"schema":"https://github.com/citation-style-language/schema/raw/master/csl-citation.json"}</w:instrText>
      </w:r>
      <w:r w:rsidR="007222B6">
        <w:rPr>
          <w:lang w:val="en-US"/>
        </w:rPr>
        <w:fldChar w:fldCharType="separate"/>
      </w:r>
      <w:r w:rsidR="005E1565" w:rsidRPr="005E1565">
        <w:rPr>
          <w:noProof/>
          <w:lang w:val="en-US"/>
        </w:rPr>
        <w:t>[6]</w:t>
      </w:r>
      <w:r w:rsidR="007222B6">
        <w:rPr>
          <w:lang w:val="en-US"/>
        </w:rPr>
        <w:fldChar w:fldCharType="end"/>
      </w:r>
      <w:r>
        <w:rPr>
          <w:lang w:val="en-US"/>
        </w:rPr>
        <w:t>.</w:t>
      </w:r>
      <w:r>
        <w:rPr>
          <w:vertAlign w:val="superscript"/>
          <w:lang w:val="en-US"/>
        </w:rPr>
        <w:t>⁠</w:t>
      </w:r>
      <w:r>
        <w:rPr>
          <w:lang w:val="en-US"/>
        </w:rPr>
        <w:t xml:space="preserve"> Furthermore, several studies reported a rise of zeolites application for biomedical purposes, i.e. as hosts for the encapsulation and delivery of anti-cancer drugs, but also for prevention of uncontrolled bleeding</w:t>
      </w:r>
      <w:bookmarkStart w:id="1" w:name="__Fieldmark__13670_1509016404"/>
      <w:bookmarkEnd w:id="1"/>
      <w:r w:rsidR="003D5606">
        <w:rPr>
          <w:lang w:val="en-US"/>
        </w:rPr>
        <w:t xml:space="preserve"> </w:t>
      </w:r>
      <w:r w:rsidR="007222B6">
        <w:rPr>
          <w:lang w:val="en-US"/>
        </w:rPr>
        <w:fldChar w:fldCharType="begin" w:fldLock="1"/>
      </w:r>
      <w:r w:rsidR="005E1565">
        <w:rPr>
          <w:lang w:val="en-US"/>
        </w:rPr>
        <w:instrText>ADDIN CSL_CITATION {"citationItems":[{"id":"ITEM-1","itemData":{"DOI":"10.1016/j.micromeso.2016.06.015","ISSN":"13871811","abstract":"The preparation of iron-loaded nanosized zeolite with EMT-type structure (Fe-EMT) is reported. The sorption capacity of the Fe-EMT zeolite crystals for NO and CO2 is evaluated. The application of Fe-EMT zeolite as a gas delivery system with high capacity for CO2 and NO in biomedicine is considered. Therefore the toxicity of the pure EMT and Fe-EMT zeolite nanocrystals is studied. Primary culture of astrocytes was exposed to zeolite nanocrystals. In addition, two human cell lines, U87-MG glioblastoma and HEK-293T were used. Cells were exposed to zeolites nanocrystals with concentrations of 50, 100 and 400 μg/ml for 24 h and 48 h. Cytotoxicity was assessed by a cell viability assay and no alteration of cell viability exposed to zeolite nanoparticles was observed.","author":[{"dropping-particle":"","family":"Georgieva","given":"Veselina","non-dropping-particle":"","parse-names":false,"suffix":""},{"dropping-particle":"","family":"Anfray","given":"Clément","non-dropping-particle":"","parse-names":false,"suffix":""},{"dropping-particle":"","family":"Retoux","given":"Richard","non-dropping-particle":"","parse-names":false,"suffix":""},{"dropping-particle":"","family":"Valtchev","given":"Valentin","non-dropping-particle":"","parse-names":false,"suffix":""},{"dropping-particle":"","family":"Valable","given":"Samuel","non-dropping-particle":"","parse-names":false,"suffix":""},{"dropping-particle":"","family":"Mintova","given":"Svetlana","non-dropping-particle":"","parse-names":false,"suffix":""}],"container-title":"Microporous and Mesoporous Materials","id":"ITEM-1","issued":{"date-parts":[["2016"]]},"title":"Iron loaded EMT nanosized zeolite with high affinity towards CO2 and NO","type":"article-journal"},"uris":["http://www.mendeley.com/documents/?uuid=42dd0301-c511-3594-a213-36faa205d03f"]}],"mendeley":{"formattedCitation":"[7]","plainTextFormattedCitation":"[7]","previouslyFormattedCitation":"[7]"},"properties":{"noteIndex":0},"schema":"https://github.com/citation-style-language/schema/raw/master/csl-citation.json"}</w:instrText>
      </w:r>
      <w:r w:rsidR="007222B6">
        <w:rPr>
          <w:lang w:val="en-US"/>
        </w:rPr>
        <w:fldChar w:fldCharType="separate"/>
      </w:r>
      <w:r w:rsidR="005E1565" w:rsidRPr="005E1565">
        <w:rPr>
          <w:noProof/>
          <w:lang w:val="en-US"/>
        </w:rPr>
        <w:t>[7]</w:t>
      </w:r>
      <w:r w:rsidR="007222B6">
        <w:rPr>
          <w:lang w:val="en-US"/>
        </w:rPr>
        <w:fldChar w:fldCharType="end"/>
      </w:r>
      <w:r>
        <w:rPr>
          <w:lang w:val="en-US"/>
        </w:rPr>
        <w:t>.⁠</w:t>
      </w:r>
    </w:p>
    <w:p w14:paraId="1110302C" w14:textId="1F26259B" w:rsidR="00F02E89" w:rsidRDefault="00E01693">
      <w:pPr>
        <w:spacing w:line="360" w:lineRule="auto"/>
        <w:contextualSpacing/>
        <w:jc w:val="both"/>
      </w:pPr>
      <w:r>
        <w:rPr>
          <w:lang w:val="en-US"/>
        </w:rPr>
        <w:t xml:space="preserve">Zeolite beta is a member of the "Big Five" zeolites that dominate most of the commercial zeolite production for catalysis. It is applied as a catalyst in various industrial processes such as isomerization of waxes, Friedel Crafts reactions (alkylation and acylation), in the stereoselective </w:t>
      </w:r>
      <w:proofErr w:type="spellStart"/>
      <w:r>
        <w:rPr>
          <w:lang w:val="en-US"/>
        </w:rPr>
        <w:t>Meerwein-Ponndorf-Verley</w:t>
      </w:r>
      <w:proofErr w:type="spellEnd"/>
      <w:r>
        <w:rPr>
          <w:lang w:val="en-US"/>
        </w:rPr>
        <w:t xml:space="preserve"> reduction of ketones and for the </w:t>
      </w:r>
      <w:proofErr w:type="spellStart"/>
      <w:r>
        <w:rPr>
          <w:lang w:val="en-US"/>
        </w:rPr>
        <w:t>tetrahydropyranylation</w:t>
      </w:r>
      <w:proofErr w:type="spellEnd"/>
      <w:r>
        <w:rPr>
          <w:lang w:val="en-US"/>
        </w:rPr>
        <w:t xml:space="preserve"> of alcohols and phenols</w:t>
      </w:r>
      <w:bookmarkStart w:id="2" w:name="__Fieldmark__13692_1509016404"/>
      <w:bookmarkEnd w:id="2"/>
      <w:r w:rsidR="003D5606">
        <w:rPr>
          <w:lang w:val="en-US"/>
        </w:rPr>
        <w:t xml:space="preserve"> </w:t>
      </w:r>
      <w:r w:rsidR="007222B6">
        <w:rPr>
          <w:lang w:val="en-US"/>
        </w:rPr>
        <w:fldChar w:fldCharType="begin" w:fldLock="1"/>
      </w:r>
      <w:r w:rsidR="005E1565">
        <w:rPr>
          <w:lang w:val="en-US"/>
        </w:rPr>
        <w:instrText>ADDIN CSL_CITATION {"citationItems":[{"id":"ITEM-1","itemData":{"DOI":"10.1039/c5cy01501d","ISSN":"20444761","abstract":"The catalytic properties of tin-, zirconium- and hafnium-containing siliceous zeolite Beta were investigated in the Meerwein-Ponndorf-Verley reduction of furfural using a liquid-phase plug-flow microreactor at temperatures between 328-358 K. Catalytic rates varied widely with the highest turnover frequency observed on Hf-Beta (4.6 min-1), followed by Zr- and Sn-Beta (1.8 min-1 and 0.51 min-1, respectively). The lowest activation energy was observed on Hf-Beta (49.6 kJ mol-1) while Zr- and Sn-Beta showed higher but similar activation energy (60.7 and 60.4 kJ mol-1, respectively). The catalysts deactivate with time on stream (with a half-life of 3.5 hours or longer) and are poisoned by the reaction product furfuryl alcohol. Deactivation is caused partly by the polymerization of reactants and products that are retained in the zeolite pores and block access to active sites, but operation at higher temperature (408 K) slows the rate of deactivation significantly. The catalytic properties of the materials can be regenerated by calcination in air.","author":[{"dropping-particle":"","family":"Koehle","given":"Maura","non-dropping-particle":"","parse-names":false,"suffix":""},{"dropping-particle":"","family":"Lobo","given":"Raul F.","non-dropping-particle":"","parse-names":false,"suffix":""}],"container-title":"Catalysis Science and Technology","id":"ITEM-1","issued":{"date-parts":[["2016"]]},"title":"Lewis acidic zeolite Beta catalyst for the Meerwein-Ponndorf-Verley reduction of furfural","type":"article-journal"},"uris":["http://www.mendeley.com/documents/?uuid=776eaa81-6638-3db9-921c-845658ca00da"]},{"id":"ITEM-2","itemData":{"DOI":"10.1021/cr400600f","ISSN":"15206890","author":[{"dropping-particle":"","family":"Roth","given":"Wieslaw J.","non-dropping-particle":"","parse-names":false,"suffix":""},{"dropping-particle":"","family":"Nachtigall","given":"Petr","non-dropping-particle":"","parse-names":false,"suffix":""},{"dropping-particle":"","family":"Morris","given":"Russell E.","non-dropping-particle":"","parse-names":false,"suffix":""},{"dropping-particle":"","family":"Čejka","given":"Jiří","non-dropping-particle":"","parse-names":false,"suffix":""}],"container-title":"Chemical Reviews","id":"ITEM-2","issued":{"date-parts":[["2014"]]},"title":"Two-dimensional zeolites: Current status and perspectives","type":"article"},"uris":["http://www.mendeley.com/documents/?uuid=1770fbfb-3542-3ef4-b74b-718f533b93e2"]}],"mendeley":{"formattedCitation":"[8,9]","plainTextFormattedCitation":"[8,9]","previouslyFormattedCitation":"[8,9]"},"properties":{"noteIndex":0},"schema":"https://github.com/citation-style-language/schema/raw/master/csl-citation.json"}</w:instrText>
      </w:r>
      <w:r w:rsidR="007222B6">
        <w:rPr>
          <w:lang w:val="en-US"/>
        </w:rPr>
        <w:fldChar w:fldCharType="separate"/>
      </w:r>
      <w:r w:rsidR="005E1565" w:rsidRPr="005E1565">
        <w:rPr>
          <w:noProof/>
          <w:lang w:val="en-US"/>
        </w:rPr>
        <w:t>[8,9]</w:t>
      </w:r>
      <w:r w:rsidR="007222B6">
        <w:rPr>
          <w:lang w:val="en-US"/>
        </w:rPr>
        <w:fldChar w:fldCharType="end"/>
      </w:r>
      <w:r w:rsidR="007222B6">
        <w:rPr>
          <w:lang w:val="en-US"/>
        </w:rPr>
        <w:t>.</w:t>
      </w:r>
      <w:r>
        <w:rPr>
          <w:lang w:val="en-US"/>
        </w:rPr>
        <w:t xml:space="preserve">⁠ Zeolite beta is also employed as a catalyst in the </w:t>
      </w:r>
      <w:proofErr w:type="spellStart"/>
      <w:r>
        <w:rPr>
          <w:lang w:val="en-US"/>
        </w:rPr>
        <w:t>cumene</w:t>
      </w:r>
      <w:proofErr w:type="spellEnd"/>
      <w:r>
        <w:rPr>
          <w:lang w:val="en-US"/>
        </w:rPr>
        <w:t xml:space="preserve"> and ethylbenzene technologies at ENI</w:t>
      </w:r>
      <w:bookmarkStart w:id="3" w:name="__Fieldmark__13707_1509016404"/>
      <w:bookmarkEnd w:id="3"/>
      <w:r w:rsidR="003D5606">
        <w:rPr>
          <w:lang w:val="en-US"/>
        </w:rPr>
        <w:t xml:space="preserve"> </w:t>
      </w:r>
      <w:r w:rsidR="007222B6">
        <w:rPr>
          <w:lang w:val="en-US"/>
        </w:rPr>
        <w:fldChar w:fldCharType="begin" w:fldLock="1"/>
      </w:r>
      <w:r w:rsidR="00231FDB">
        <w:rPr>
          <w:lang w:val="en-US"/>
        </w:rPr>
        <w:instrText>ADDIN CSL_CITATION {"citationItems":[{"id":"ITEM-1","itemData":{"DOI":"10.1039/c5nj03498a","ISSN":"13699261","abstract":"In the last forty years Eni laboratories have contributed to the advancement of zeolite science and technology in both the synthesis and characterization of materials and their application in catalysis. This work has led to several industrial applications of zeolites, such as selective oxidation, acid-base catalysis, gas separation and water remediation. A brief review of the main results is reported with some comments on the future perspectives of this technology.","author":[{"dropping-particle":"","family":"Bellussi","given":"Giuseppe","non-dropping-particle":"","parse-names":false,"suffix":""},{"dropping-particle":"","family":"Millini","given":"Roberto","non-dropping-particle":"","parse-names":false,"suffix":""},{"dropping-particle":"","family":"Pollesel","given":"Paolo","non-dropping-particle":"","parse-names":false,"suffix":""},{"dropping-particle":"","family":"Perego","given":"Carlo","non-dropping-particle":"","parse-names":false,"suffix":""}],"container-title":"New Journal of Chemistry","id":"ITEM-1","issued":{"date-parts":[["2016"]]},"title":"Zeolite science and technology at Eni","type":"article"},"uris":["http://www.mendeley.com/documents/?uuid=565ee46b-56cf-34ca-ac82-565ac5f3c45f"]}],"mendeley":{"formattedCitation":"[4]","plainTextFormattedCitation":"[4]","previouslyFormattedCitation":"[4]"},"properties":{"noteIndex":0},"schema":"https://github.com/citation-style-language/schema/raw/master/csl-citation.json"}</w:instrText>
      </w:r>
      <w:r w:rsidR="007222B6">
        <w:rPr>
          <w:lang w:val="en-US"/>
        </w:rPr>
        <w:fldChar w:fldCharType="separate"/>
      </w:r>
      <w:r w:rsidR="007222B6" w:rsidRPr="007222B6">
        <w:rPr>
          <w:noProof/>
          <w:lang w:val="en-US"/>
        </w:rPr>
        <w:t>[4]</w:t>
      </w:r>
      <w:r w:rsidR="007222B6">
        <w:rPr>
          <w:lang w:val="en-US"/>
        </w:rPr>
        <w:fldChar w:fldCharType="end"/>
      </w:r>
      <w:r>
        <w:rPr>
          <w:lang w:val="en-US"/>
        </w:rPr>
        <w:t xml:space="preserve">. Lately, </w:t>
      </w:r>
      <w:proofErr w:type="spellStart"/>
      <w:r>
        <w:rPr>
          <w:lang w:val="en-US"/>
        </w:rPr>
        <w:t>Zr</w:t>
      </w:r>
      <w:proofErr w:type="spellEnd"/>
      <w:r>
        <w:rPr>
          <w:lang w:val="en-US"/>
        </w:rPr>
        <w:t xml:space="preserve">-, </w:t>
      </w:r>
      <w:proofErr w:type="spellStart"/>
      <w:r>
        <w:rPr>
          <w:lang w:val="en-US"/>
        </w:rPr>
        <w:t>Hf</w:t>
      </w:r>
      <w:proofErr w:type="spellEnd"/>
      <w:r>
        <w:rPr>
          <w:lang w:val="en-US"/>
        </w:rPr>
        <w:t>- and Sn-beta zeolite materials are increasingly tested as catalysts for biomass valorization</w:t>
      </w:r>
      <w:bookmarkStart w:id="4" w:name="__Fieldmark__13716_1509016404"/>
      <w:bookmarkEnd w:id="4"/>
      <w:r w:rsidR="00914BAC">
        <w:rPr>
          <w:lang w:val="en-US"/>
        </w:rPr>
        <w:t xml:space="preserve"> </w:t>
      </w:r>
      <w:r w:rsidR="00231FDB">
        <w:rPr>
          <w:lang w:val="en-US"/>
        </w:rPr>
        <w:fldChar w:fldCharType="begin" w:fldLock="1"/>
      </w:r>
      <w:r w:rsidR="005E1565">
        <w:rPr>
          <w:lang w:val="en-US"/>
        </w:rPr>
        <w:instrText>ADDIN CSL_CITATION {"citationItems":[{"id":"ITEM-1","itemData":{"DOI":"10.1146/annurev-chembioeng-080615-034551","ISSN":"1947-5438","abstract":"Zeolites containing Sn, Zr, Hf, Nb, or Ta heteroatoms are versatile cata-lysts for the activation and conversion of oxygenated molecules owing to the unique Lewis acid character of their tetrahedral metal sites. Through fluoride-mediated synthesis, hydrophobic Lewis acid zeolites can behave as water-tolerant catalysts, which has resulted in a recent surge of experimen-tal and computational studies in the field of biomass conversion. However, many open questions still surround these materials, especially relating to the nature of their active sites. This lack of fundamental understanding is exemplified by the many dissonant results that have been described in recent literature reports. In this review, we use a molecular-based approach to pro-vide insight into the relationship between the structure of the metal center and its reactivity toward different substrates, with the ultimate goal of provid-ing a robust framework to understand the properties that have the strongest influence on catalytic performance for the conversion of oxygenates.","author":[{"dropping-particle":"","family":"Luo","given":"Helen Y.","non-dropping-particle":"","parse-names":false,"suffix":""},{"dropping-particle":"","family":"Lewis","given":"Jennifer D.","non-dropping-particle":"","parse-names":false,"suffix":""},{"dropping-particle":"","family":"Román-Leshkov","given":"Yuriy","non-dropping-particle":"","parse-names":false,"suffix":""}],"container-title":"Annual Review of Chemical and Biomolecular Engineering","id":"ITEM-1","issued":{"date-parts":[["2016"]]},"title":"Lewis Acid Zeolites for Biomass Conversion: Perspectives and Challenges on Reactivity, Synthesis, and Stability","type":"article-journal"},"uris":["http://www.mendeley.com/documents/?uuid=14e221b8-552c-3fba-b051-f434e3f0274a"]}],"mendeley":{"formattedCitation":"[10]","plainTextFormattedCitation":"[10]","previouslyFormattedCitation":"[10]"},"properties":{"noteIndex":0},"schema":"https://github.com/citation-style-language/schema/raw/master/csl-citation.json"}</w:instrText>
      </w:r>
      <w:r w:rsidR="00231FDB">
        <w:rPr>
          <w:lang w:val="en-US"/>
        </w:rPr>
        <w:fldChar w:fldCharType="separate"/>
      </w:r>
      <w:r w:rsidR="005E1565" w:rsidRPr="005E1565">
        <w:rPr>
          <w:noProof/>
          <w:lang w:val="en-US"/>
        </w:rPr>
        <w:t>[10]</w:t>
      </w:r>
      <w:r w:rsidR="00231FDB">
        <w:rPr>
          <w:lang w:val="en-US"/>
        </w:rPr>
        <w:fldChar w:fldCharType="end"/>
      </w:r>
      <w:r>
        <w:rPr>
          <w:lang w:val="en-US"/>
        </w:rPr>
        <w:t>. Similarly to other fields, there has been intensive development in the synthesis and application of nanosized zeolites</w:t>
      </w:r>
      <w:bookmarkStart w:id="5" w:name="__Fieldmark__13723_1509016404"/>
      <w:bookmarkEnd w:id="5"/>
      <w:r w:rsidR="003D5606">
        <w:rPr>
          <w:lang w:val="en-US"/>
        </w:rPr>
        <w:t xml:space="preserve"> </w:t>
      </w:r>
      <w:r w:rsidR="00231FDB">
        <w:rPr>
          <w:lang w:val="en-US"/>
        </w:rPr>
        <w:fldChar w:fldCharType="begin" w:fldLock="1"/>
      </w:r>
      <w:r w:rsidR="005E1565">
        <w:rPr>
          <w:lang w:val="en-US"/>
        </w:rPr>
        <w:instrText>ADDIN CSL_CITATION {"citationItems":[{"id":"ITEM-1","itemData":{"DOI":"10.1038/nmat4173","ISSN":"14764660","abstract":"Nanosized faujasite (FAU) crystals have great potential as catalysts or adsorbents to more efficiently process present and forthcoming synthetic and renewable feedstocks in oil refining, petrochemistry and fine chemistry. Here, we report the rational design of template-free nanosized FAU zeolites with exceptional properties, including extremely small crystallites (10-15 nm) with a narrow particle size distribution, high crystalline yields (above 80%), micropore volumes (0.30 cm3 g-1) comparable to their conventional counterparts (micrometre-sized crystals), Si/Al ratios adjustable between 1.1 and 2.1 (zeolites X or Y) and excellent thermal stability leading to superior catalytic performance in the dealkylation of a bulky molecule, 1,3,5-triisopropylbenzene, probing sites mostly located on the external surface of the nanosized crystals. Another important feature is their excellent colloidal stability, which facilitates a uniform dispersion on supports for applications in catalysis, sorption and thin-to-thick coatings.","author":[{"dropping-particle":"","family":"Awala","given":"Hussein","non-dropping-particle":"","parse-names":false,"suffix":""},{"dropping-particle":"","family":"Gilson","given":"Jean Pierre","non-dropping-particle":"","parse-names":false,"suffix":""},{"dropping-particle":"","family":"Retoux","given":"Richard","non-dropping-particle":"","parse-names":false,"suffix":""},{"dropping-particle":"","family":"Boullay","given":"Philippe","non-dropping-particle":"","parse-names":false,"suffix":""},{"dropping-particle":"","family":"Goupil","given":"Jean Michel","non-dropping-particle":"","parse-names":false,"suffix":""},{"dropping-particle":"","family":"Valtchev","given":"Valentin","non-dropping-particle":"","parse-names":false,"suffix":""},{"dropping-particle":"","family":"Mintova","given":"Svetlana","non-dropping-particle":"","parse-names":false,"suffix":""}],"container-title":"Nature Materials","id":"ITEM-1","issued":{"date-parts":[["2015"]]},"title":"Template-free nanosized faujasite-type zeolites","type":"article-journal"},"uris":["http://www.mendeley.com/documents/?uuid=33a711ec-ad2d-3b43-8923-2ce750019431"]},{"id":"ITEM-2","itemData":{"author":[{"dropping-particle":"","family":"Kyu, L.B., Huong, P.T., Geun LD. Kyu","given":"L.","non-dropping-particle":"","parse-names":false,"suffix":""}],"id":"ITEM-2","issued":{"date-parts":[["2016"]]},"number":"Pat. KR20170142691","title":"Method for Removing Carbon Dioxide Using Nano-Zeolite Supported with Fe Ion.","type":"patent"},"uris":["http://www.mendeley.com/documents/?uuid=576d4d23-066c-4701-879e-f70935c73b28"]}],"mendeley":{"formattedCitation":"[11,12]","plainTextFormattedCitation":"[11,12]","previouslyFormattedCitation":"[11,12]"},"properties":{"noteIndex":0},"schema":"https://github.com/citation-style-language/schema/raw/master/csl-citation.json"}</w:instrText>
      </w:r>
      <w:r w:rsidR="00231FDB">
        <w:rPr>
          <w:lang w:val="en-US"/>
        </w:rPr>
        <w:fldChar w:fldCharType="separate"/>
      </w:r>
      <w:r w:rsidR="005E1565" w:rsidRPr="005E1565">
        <w:rPr>
          <w:noProof/>
          <w:lang w:val="en-US"/>
        </w:rPr>
        <w:t>[11,12]</w:t>
      </w:r>
      <w:r w:rsidR="00231FDB">
        <w:rPr>
          <w:lang w:val="en-US"/>
        </w:rPr>
        <w:fldChar w:fldCharType="end"/>
      </w:r>
      <w:r>
        <w:rPr>
          <w:lang w:val="en-US"/>
        </w:rPr>
        <w:t>.⁠ Namely, nanosized zeolites have been shown to have good performance in water electrolysis</w:t>
      </w:r>
      <w:bookmarkStart w:id="6" w:name="__Fieldmark__13734_1509016404"/>
      <w:bookmarkEnd w:id="6"/>
      <w:r w:rsidR="00914BAC">
        <w:rPr>
          <w:lang w:val="en-US"/>
        </w:rPr>
        <w:t xml:space="preserve"> </w:t>
      </w:r>
      <w:r w:rsidR="00231FDB">
        <w:rPr>
          <w:lang w:val="en-US"/>
        </w:rPr>
        <w:fldChar w:fldCharType="begin" w:fldLock="1"/>
      </w:r>
      <w:r w:rsidR="005E1565">
        <w:rPr>
          <w:lang w:val="en-US"/>
        </w:rPr>
        <w:instrText>ADDIN CSL_CITATION {"citationItems":[{"id":"ITEM-1","itemData":{"DOI":"10.3144/expresspolymlett.2018.23","ISSN":"1788618X","abstract":"In this study, organic-inorganic composite electrolyte membranes are developed for a novel water-absorbing porous electrolyte water electrolysis cell. As the materials of the composite electrolyte membrane, 80 wt% of a proton-con-ducting nano zeolite (H-MFI) as an electrolyte and 20 wt% of poly(vinyl alcohol) (PVA) as a cross-linkable matrix are used. The nano zeolite is prepared by a milling process. The nano zeolite-PVA composite membrane precursors are prepared by spraying onto a substrate, followed by cross-linking. The resulting nano zeolite-cross-linked PVA composite films are then evaluated for their properties such as proton conductivity as electrolyte membranes for the water-absorbing porous electrolyte water electrolysis cell. It is confirmed that conventional materials such as zeolites and PVA can be used for the water electrolysis as an electrolyte.","author":[{"dropping-particle":"","family":"Nishihara","given":"M.","non-dropping-particle":"","parse-names":false,"suffix":""},{"dropping-particle":"","family":"Terayama","given":"Y.","non-dropping-particle":"","parse-names":false,"suffix":""},{"dropping-particle":"","family":"Haji","given":"T.","non-dropping-particle":"","parse-names":false,"suffix":""},{"dropping-particle":"","family":"Lyth","given":"S. M.","non-dropping-particle":"","parse-names":false,"suffix":""},{"dropping-particle":"","family":"Satokawa","given":"S.","non-dropping-particle":"","parse-names":false,"suffix":""},{"dropping-particle":"","family":"Matsumoto","given":"H.","non-dropping-particle":"","parse-names":false,"suffix":""}],"container-title":"Express Polymer Letters","id":"ITEM-1","issued":{"date-parts":[["2018"]]},"title":"Proton-conductive nano zeolite-PVA composite film as a new water-absorbing electrolyte for water electrolysis","type":"article-journal"},"uris":["http://www.mendeley.com/documents/?uuid=fbfa8c0b-0dc1-321e-8964-cd7f41ef6fac"]}],"mendeley":{"formattedCitation":"[13]","plainTextFormattedCitation":"[13]","previouslyFormattedCitation":"[13]"},"properties":{"noteIndex":0},"schema":"https://github.com/citation-style-language/schema/raw/master/csl-citation.json"}</w:instrText>
      </w:r>
      <w:r w:rsidR="00231FDB">
        <w:rPr>
          <w:lang w:val="en-US"/>
        </w:rPr>
        <w:fldChar w:fldCharType="separate"/>
      </w:r>
      <w:r w:rsidR="005E1565" w:rsidRPr="005E1565">
        <w:rPr>
          <w:noProof/>
          <w:lang w:val="en-US"/>
        </w:rPr>
        <w:t>[13]</w:t>
      </w:r>
      <w:r w:rsidR="00231FDB">
        <w:rPr>
          <w:lang w:val="en-US"/>
        </w:rPr>
        <w:fldChar w:fldCharType="end"/>
      </w:r>
      <w:r>
        <w:rPr>
          <w:lang w:val="en-US"/>
        </w:rPr>
        <w:t>,</w:t>
      </w:r>
      <w:r>
        <w:rPr>
          <w:vertAlign w:val="superscript"/>
          <w:lang w:val="en-US"/>
        </w:rPr>
        <w:t>⁠</w:t>
      </w:r>
      <w:r>
        <w:rPr>
          <w:lang w:val="en-US"/>
        </w:rPr>
        <w:t xml:space="preserve"> can act as ultraviolet shielding material</w:t>
      </w:r>
      <w:bookmarkStart w:id="7" w:name="__Fieldmark__13739_1509016404"/>
      <w:bookmarkEnd w:id="7"/>
      <w:r w:rsidR="00B20EBB">
        <w:rPr>
          <w:lang w:val="en-US"/>
        </w:rPr>
        <w:t xml:space="preserve"> </w:t>
      </w:r>
      <w:r w:rsidR="00B20EBB">
        <w:rPr>
          <w:lang w:val="en-US"/>
        </w:rPr>
        <w:fldChar w:fldCharType="begin" w:fldLock="1"/>
      </w:r>
      <w:r w:rsidR="004746A2">
        <w:rPr>
          <w:lang w:val="en-US"/>
        </w:rPr>
        <w:instrText>ADDIN CSL_CITATION {"citationItems":[{"id":"ITEM-1","itemData":{"DOI":"10.1016/j.apsusc.2017.08.024","ISSN":"01694332","abstract":"A series of polyimide (PI) films, polyimide/pure silica zeolite nanoparticles (PSZN) blend films and polyimide/amine-functionalized pure silica zeolite nanoparticles (APSZN) composite films were successfully prepared by random copolycondensation. Thereinto, PSZN were synthesized by hydrothermal method. The polyimides were derived from 4,4′-diaminodiphenyl ether (ODA), and three adjustable molar ratios (3:1, 1:1, 1:3) of 2,2-bis[4-(3,4-dicarboxyphenoxy)phenyl] propane dianhydride (BPADA) and 4,4′-(hexafluoroisopropylidene) diphthalic anhydride (6FDA). The effects of PSZN, APSZN and different chain structure on PI films were specifically evaluated in terms of morphology, thermal, mechanical, dielectric and UV-shielding properties, etc. Comparison was given among pure PI flims, PI/PSZN blend films and PI/APSZN composite flims. The results showed that the thermal and mechanical properties of PI films were drastically impaired after adding PSZN. On the contrary, the strength, toughness and thermal stability were improved after adding APSZN. Moreover, the dielectric constants of the PI/APSZN composite flims were lowered but UV-shielding properties were enhanced. Interestingly, we found that the greatest effects were obtained through introducing APSZN in PI derived by the 1:1 ratio of BPADA:6FDA. The corresponding PI/APSZN composite flim exhibited the most reinforced and toughened properties, the largest decrement of dielectric constant and the best UV-shielding efficiency, which made the composite flim be used as ultraviolet shielding material in outer space filled with high temperature and intensive ultraviolet light. Meanwhile, this work also provided a facile way to synthesize composite materials with adjustable performance.","author":[{"dropping-particle":"","family":"Li","given":"Qing","non-dropping-particle":"","parse-names":false,"suffix":""},{"dropping-particle":"","family":"Liao","given":"Guangfu","non-dropping-particle":"","parse-names":false,"suffix":""},{"dropping-particle":"","family":"Zhang","given":"Shulai","non-dropping-particle":"","parse-names":false,"suffix":""},{"dropping-particle":"","family":"Pang","given":"Long","non-dropping-particle":"","parse-names":false,"suffix":""},{"dropping-particle":"","family":"Tong","given":"Hao","non-dropping-particle":"","parse-names":false,"suffix":""},{"dropping-particle":"","family":"Zhao","given":"Wenzhe","non-dropping-particle":"","parse-names":false,"suffix":""},{"dropping-particle":"","family":"Xu","given":"Zushun","non-dropping-particle":"","parse-names":false,"suffix":""}],"container-title":"Applied Surface Science","id":"ITEM-1","issued":{"date-parts":[["2018"]]},"title":"Effect of adjustable molecular chain structure and pure silica zeolite nanoparticles on thermal, mechanical, dielectric, UV-shielding and hydrophobic properties of fluorinated copolyimide composites","type":"article-journal"},"uris":["http://www.mendeley.com/documents/?uuid=dd818c4b-1954-3c4a-a2c1-189dd2467f74"]}],"mendeley":{"formattedCitation":"[14]","plainTextFormattedCitation":"[14]","previouslyFormattedCitation":"[14]"},"properties":{"noteIndex":0},"schema":"https://github.com/citation-style-language/schema/raw/master/csl-citation.json"}</w:instrText>
      </w:r>
      <w:r w:rsidR="00B20EBB">
        <w:rPr>
          <w:lang w:val="en-US"/>
        </w:rPr>
        <w:fldChar w:fldCharType="separate"/>
      </w:r>
      <w:r w:rsidR="00B20EBB" w:rsidRPr="00B20EBB">
        <w:rPr>
          <w:noProof/>
          <w:lang w:val="en-US"/>
        </w:rPr>
        <w:t>[14]</w:t>
      </w:r>
      <w:r w:rsidR="00B20EBB">
        <w:rPr>
          <w:lang w:val="en-US"/>
        </w:rPr>
        <w:fldChar w:fldCharType="end"/>
      </w:r>
      <w:r>
        <w:rPr>
          <w:lang w:val="en-US"/>
        </w:rPr>
        <w:t>, and sensors</w:t>
      </w:r>
      <w:r w:rsidR="00914BAC">
        <w:rPr>
          <w:lang w:val="en-US"/>
        </w:rPr>
        <w:t xml:space="preserve"> </w:t>
      </w:r>
      <w:r w:rsidR="00231FDB">
        <w:rPr>
          <w:lang w:val="en-US"/>
        </w:rPr>
        <w:fldChar w:fldCharType="begin" w:fldLock="1"/>
      </w:r>
      <w:r w:rsidR="004746A2">
        <w:rPr>
          <w:lang w:val="en-US"/>
        </w:rPr>
        <w:instrText>ADDIN CSL_CITATION {"citationItems":[{"id":"ITEM-1","itemData":{"author":[{"dropping-particle":"","family":"Wang J, Zhang J","given":"Gong S","non-dropping-particle":"","parse-names":false,"suffix":""}],"id":"ITEM-1","issued":{"date-parts":[["2017"]]},"number":"Pat. CN107089905-A","title":"Triethylamine Fluorescence Sensor for Detecting e.g. Triethylamine Gas, Comprises Nano-L-Type Zeolite and Rare-Earth Beta-Diketone Complex Obtained by Reacting Rare-Earth Ion and β-Diketone Ligand.","type":"patent"},"uris":["http://www.mendeley.com/documents/?uuid=5e625d71-d0f3-4f78-80ab-5c59852a3423"]}],"mendeley":{"formattedCitation":"[15]","plainTextFormattedCitation":"[15]","previouslyFormattedCitation":"[15]"},"properties":{"noteIndex":0},"schema":"https://github.com/citation-style-language/schema/raw/master/csl-citation.json"}</w:instrText>
      </w:r>
      <w:r w:rsidR="00231FDB">
        <w:rPr>
          <w:lang w:val="en-US"/>
        </w:rPr>
        <w:fldChar w:fldCharType="separate"/>
      </w:r>
      <w:r w:rsidR="00B20EBB" w:rsidRPr="00B20EBB">
        <w:rPr>
          <w:noProof/>
          <w:lang w:val="en-US"/>
        </w:rPr>
        <w:t>[15]</w:t>
      </w:r>
      <w:r w:rsidR="00231FDB">
        <w:rPr>
          <w:lang w:val="en-US"/>
        </w:rPr>
        <w:fldChar w:fldCharType="end"/>
      </w:r>
      <w:r>
        <w:rPr>
          <w:lang w:val="en-US"/>
        </w:rPr>
        <w:t>.</w:t>
      </w:r>
      <w:bookmarkStart w:id="8" w:name="__Fieldmark__13744_1509016404"/>
      <w:bookmarkEnd w:id="8"/>
      <w:r>
        <w:rPr>
          <w:lang w:val="en-US"/>
        </w:rPr>
        <w:t xml:space="preserve"> Due to their remarkable properties and the fact that they can be supplied in various forms (from colloidal suspensions, thin films, to membranes and self-supported morphologies), it can be assumed that nanosized zeolites will be involved in many scientific fields, industry, and consequently will become ubiquitous in many everyday products</w:t>
      </w:r>
      <w:bookmarkStart w:id="9" w:name="__Fieldmark__13755_1509016404"/>
      <w:bookmarkEnd w:id="9"/>
      <w:r w:rsidR="00914BAC">
        <w:rPr>
          <w:lang w:val="en-US"/>
        </w:rPr>
        <w:t xml:space="preserve"> </w:t>
      </w:r>
      <w:r w:rsidR="00231FDB">
        <w:rPr>
          <w:lang w:val="en-US"/>
        </w:rPr>
        <w:fldChar w:fldCharType="begin" w:fldLock="1"/>
      </w:r>
      <w:r w:rsidR="005E1565">
        <w:rPr>
          <w:lang w:val="en-US"/>
        </w:rPr>
        <w:instrText>ADDIN CSL_CITATION {"citationItems":[{"id":"ITEM-1","itemData":{"DOI":"10.1039/c5cs00210a","ISSN":"14604744","abstract":"This review highlights recent developments in the synthesis and unconventional applications of nanosized microporous crystals including framework (zeolites) and layered (clays) type materials. Owing to their microporous nature nanosized zeolites and clays exhibit novel properties, different from those of bulk materials. The factors controlling the formation of nanosized microporous crystals are first revised. The most promising approaches from the viewpoint of large-scale production of nanosized zeolites and clays are discussed in depth. The preparation and advanced applications of nanosized zeolites and clays in free (suspension and powder forms) and fixed (films) forms are summarized. Further the review emphasises the non-conventional applications of new porous materials. A comprehensive analysis of the emerging applications of microporous nanosized crystals in the field of semiconductor industry, optical materials, chemical sensors, medicine, cosmetics, and food industry is presented. Finally, the future needs and perspectives of nanosized microporous materials (zeolites and clays) are addressed.","author":[{"dropping-particle":"","family":"Mintova","given":"Svetlana","non-dropping-particle":"","parse-names":false,"suffix":""},{"dropping-particle":"","family":"Jaber","given":"Maguy","non-dropping-particle":"","parse-names":false,"suffix":""},{"dropping-particle":"","family":"Valtchev","given":"Valentin","non-dropping-particle":"","parse-names":false,"suffix":""}],"container-title":"Chemical Society Reviews","id":"ITEM-1","issued":{"date-parts":[["2015"]]},"title":"Nanosized microporous crystals: emerging applications","type":"article"},"uris":["http://www.mendeley.com/documents/?uuid=dd842adb-e927-31b3-8d0d-f5853ceaf474"]}],"mendeley":{"formattedCitation":"[6]","plainTextFormattedCitation":"[6]","previouslyFormattedCitation":"[6]"},"properties":{"noteIndex":0},"schema":"https://github.com/citation-style-language/schema/raw/master/csl-citation.json"}</w:instrText>
      </w:r>
      <w:r w:rsidR="00231FDB">
        <w:rPr>
          <w:lang w:val="en-US"/>
        </w:rPr>
        <w:fldChar w:fldCharType="separate"/>
      </w:r>
      <w:r w:rsidR="005E1565" w:rsidRPr="005E1565">
        <w:rPr>
          <w:noProof/>
          <w:lang w:val="en-US"/>
        </w:rPr>
        <w:t>[6]</w:t>
      </w:r>
      <w:r w:rsidR="00231FDB">
        <w:rPr>
          <w:lang w:val="en-US"/>
        </w:rPr>
        <w:fldChar w:fldCharType="end"/>
      </w:r>
      <w:r>
        <w:rPr>
          <w:lang w:val="en-US"/>
        </w:rPr>
        <w:t>.</w:t>
      </w:r>
    </w:p>
    <w:p w14:paraId="3514B731" w14:textId="09BC365A" w:rsidR="00F02E89" w:rsidRDefault="00E01693">
      <w:pPr>
        <w:spacing w:line="360" w:lineRule="auto"/>
        <w:jc w:val="both"/>
      </w:pPr>
      <w:r>
        <w:rPr>
          <w:lang w:val="en-US"/>
        </w:rPr>
        <w:t>One of the most challenging issues in the field of nanotechnology is environmental health and safety, which is only achievable through consideration of the properties of engineered nanomaterials that could pose a hazard to the environment, but also to environmental organisms and human beings</w:t>
      </w:r>
      <w:bookmarkStart w:id="10" w:name="__Fieldmark__13762_1509016404"/>
      <w:bookmarkEnd w:id="10"/>
      <w:r w:rsidR="00914BAC">
        <w:rPr>
          <w:lang w:val="en-US"/>
        </w:rPr>
        <w:t xml:space="preserve"> </w:t>
      </w:r>
      <w:r w:rsidR="00751273">
        <w:rPr>
          <w:lang w:val="en-US"/>
        </w:rPr>
        <w:fldChar w:fldCharType="begin" w:fldLock="1"/>
      </w:r>
      <w:r w:rsidR="004746A2">
        <w:rPr>
          <w:lang w:val="en-US"/>
        </w:rPr>
        <w:instrText>ADDIN CSL_CITATION {"citationItems":[{"id":"ITEM-1","itemData":{"DOI":"10.1021/nn1034857","ISSN":"19360851","abstract":"One of the challenges in the field of nanotechnology is environmental health and safety (EHS), including consideration of the properties of engineered nanomaterials (ENMs) that could pose dangers to the environment. Progress in the field of nanomaterial development and nanotoxicology was presented at the International Conference on the Environmental Implications of Nanotechnology at the California NanoSystems Institute (CNSI) on the UCLA campus on May 11-14, 2010. This event was cohosted by the University of California Center for the Environmental Implications of Nanotechnology (UC CEIN) and the Center for the Environmental Implications of NanoTechnology (CEINT) based at Duke University. Participants included scientists and scholars from various backgrounds, including chemistry, biology, engineering, nanomaterial science, toxicology, ecology, mathematics, sociology, and policy makers. The topics of discussion included safety evaluation of ENMs from an environmental perspective, nanotoxicology, ecotoxicology, safe design of ENMs, environmental risk assessment, public perception of nanotechnology, application of ENMs in consumer products, and many more. The UC CEIN presented data on their predictive toxicological approach to the assessment of ENM libraries, which were designed and synthesized to develop an understanding of the material properties that could lead to hazard generation at the cellular and organismal levels in the environment. This article will focus on the first metal oxide ENM library that was introduced to harmonize research activities in the UC CEIN, with particular emphasis on the safety assessment of ZnO on cells and organisms. Methods of decreasing the observed toxic effects will also be discussed as an integral component of the UC CEIN's activity in developing safer nanomaterials to lessen their environmental impacts. © 2011 American Chemical Society.","author":[{"dropping-particle":"","family":"Thomas","given":"Courtney R.","non-dropping-particle":"","parse-names":false,"suffix":""},{"dropping-particle":"","family":"George","given":"Saji","non-dropping-particle":"","parse-names":false,"suffix":""},{"dropping-particle":"","family":"Horst","given":"Allison M.","non-dropping-particle":"","parse-names":false,"suffix":""},{"dropping-particle":"","family":"Ji","given":"Zhaoxia","non-dropping-particle":"","parse-names":false,"suffix":""},{"dropping-particle":"","family":"Miller","given":"Robert J.","non-dropping-particle":"","parse-names":false,"suffix":""},{"dropping-particle":"","family":"Peralta-Videa","given":"Jose R.","non-dropping-particle":"","parse-names":false,"suffix":""},{"dropping-particle":"","family":"Xia","given":"Tian","non-dropping-particle":"","parse-names":false,"suffix":""},{"dropping-particle":"","family":"Pokhrel","given":"Suman","non-dropping-particle":"","parse-names":false,"suffix":""},{"dropping-particle":"","family":"Mädler","given":"Lutz","non-dropping-particle":"","parse-names":false,"suffix":""},{"dropping-particle":"","family":"Gardea-Torresdey","given":"Jorge L.","non-dropping-particle":"","parse-names":false,"suffix":""},{"dropping-particle":"","family":"Holden","given":"Patricia A.","non-dropping-particle":"","parse-names":false,"suffix":""},{"dropping-particle":"","family":"Keller","given":"Arturo A.","non-dropping-particle":"","parse-names":false,"suffix":""},{"dropping-particle":"","family":"Lenihan","given":"Hunter S.","non-dropping-particle":"","parse-names":false,"suffix":""},{"dropping-particle":"","family":"Nel","given":"Andre E.","non-dropping-particle":"","parse-names":false,"suffix":""},{"dropping-particle":"","family":"Zink","given":"Jeffrey I.","non-dropping-particle":"","parse-names":false,"suffix":""}],"container-title":"ACS Nano","id":"ITEM-1","issued":{"date-parts":[["2011"]]},"title":"Nanomaterials in the environment: From materials to high-throughput screening to organisms","type":"article-journal"},"uris":["http://www.mendeley.com/documents/?uuid=ff005657-eed2-3d2a-af85-368f3fb74b7f"]}],"mendeley":{"formattedCitation":"[16]","plainTextFormattedCitation":"[16]","previouslyFormattedCitation":"[16]"},"properties":{"noteIndex":0},"schema":"https://github.com/citation-style-language/schema/raw/master/csl-citation.json"}</w:instrText>
      </w:r>
      <w:r w:rsidR="00751273">
        <w:rPr>
          <w:lang w:val="en-US"/>
        </w:rPr>
        <w:fldChar w:fldCharType="separate"/>
      </w:r>
      <w:r w:rsidR="00B20EBB" w:rsidRPr="00B20EBB">
        <w:rPr>
          <w:noProof/>
          <w:lang w:val="en-US"/>
        </w:rPr>
        <w:t>[16]</w:t>
      </w:r>
      <w:r w:rsidR="00751273">
        <w:rPr>
          <w:lang w:val="en-US"/>
        </w:rPr>
        <w:fldChar w:fldCharType="end"/>
      </w:r>
      <w:r>
        <w:rPr>
          <w:lang w:val="en-US"/>
        </w:rPr>
        <w:t>. There are many articles dealing with the synthesis of nanosized zeolites</w:t>
      </w:r>
      <w:bookmarkStart w:id="11" w:name="__Fieldmark__13771_1509016404"/>
      <w:bookmarkEnd w:id="11"/>
      <w:r w:rsidR="00914BAC">
        <w:rPr>
          <w:lang w:val="en-US"/>
        </w:rPr>
        <w:t xml:space="preserve"> </w:t>
      </w:r>
      <w:r w:rsidR="00751273">
        <w:rPr>
          <w:lang w:val="en-US"/>
        </w:rPr>
        <w:fldChar w:fldCharType="begin" w:fldLock="1"/>
      </w:r>
      <w:r w:rsidR="005E1565">
        <w:rPr>
          <w:lang w:val="en-US"/>
        </w:rPr>
        <w:instrText>ADDIN CSL_CITATION {"citationItems":[{"id":"ITEM-1","itemData":{"DOI":"10.1038/nmat4173","ISSN":"14764660","abstract":"Nanosized faujasite (FAU) crystals have great potential as catalysts or adsorbents to more efficiently process present and forthcoming synthetic and renewable feedstocks in oil refining, petrochemistry and fine chemistry. Here, we report the rational design of template-free nanosized FAU zeolites with exceptional properties, including extremely small crystallites (10-15 nm) with a narrow particle size distribution, high crystalline yields (above 80%), micropore volumes (0.30 cm3 g-1) comparable to their conventional counterparts (micrometre-sized crystals), Si/Al ratios adjustable between 1.1 and 2.1 (zeolites X or Y) and excellent thermal stability leading to superior catalytic performance in the dealkylation of a bulky molecule, 1,3,5-triisopropylbenzene, probing sites mostly located on the external surface of the nanosized crystals. Another important feature is their excellent colloidal stability, which facilitates a uniform dispersion on supports for applications in catalysis, sorption and thin-to-thick coatings.","author":[{"dropping-particle":"","family":"Awala","given":"Hussein","non-dropping-particle":"","parse-names":false,"suffix":""},{"dropping-particle":"","family":"Gilson","given":"Jean Pierre","non-dropping-particle":"","parse-names":false,"suffix":""},{"dropping-particle":"","family":"Retoux","given":"Richard","non-dropping-particle":"","parse-names":false,"suffix":""},{"dropping-particle":"","family":"Boullay","given":"Philippe","non-dropping-particle":"","parse-names":false,"suffix":""},{"dropping-particle":"","family":"Goupil","given":"Jean Michel","non-dropping-particle":"","parse-names":false,"suffix":""},{"dropping-particle":"","family":"Valtchev","given":"Valentin","non-dropping-particle":"","parse-names":false,"suffix":""},{"dropping-particle":"","family":"Mintova","given":"Svetlana","non-dropping-particle":"","parse-names":false,"suffix":""}],"container-title":"Nature Materials","id":"ITEM-1","issued":{"date-parts":[["2015"]]},"title":"Template-free nanosized faujasite-type zeolites","type":"article-journal"},"uris":["http://www.mendeley.com/documents/?uuid=33a711ec-ad2d-3b43-8923-2ce750019431"]},{"id":"ITEM-2","itemData":{"DOI":"10.1039/c5cs00210a","ISSN":"14604744","abstract":"This review highlights recent developments in the synthesis and unconventional applications of nanosized microporous crystals including framework (zeolites) and layered (clays) type materials. Owing to their microporous nature nanosized zeolites and clays exhibit novel properties, different from those of bulk materials. The factors controlling the formation of nanosized microporous crystals are first revised. The most promising approaches from the viewpoint of large-scale production of nanosized zeolites and clays are discussed in depth. The preparation and advanced applications of nanosized zeolites and clays in free (suspension and powder forms) and fixed (films) forms are summarized. Further the review emphasises the non-conventional applications of new porous materials. A comprehensive analysis of the emerging applications of microporous nanosized crystals in the field of semiconductor industry, optical materials, chemical sensors, medicine, cosmetics, and food industry is presented. Finally, the future needs and perspectives of nanosized microporous materials (zeolites and clays) are addressed.","author":[{"dropping-particle":"","family":"Mintova","given":"Svetlana","non-dropping-particle":"","parse-names":false,"suffix":""},{"dropping-particle":"","family":"Jaber","given":"Maguy","non-dropping-particle":"","parse-names":false,"suffix":""},{"dropping-particle":"","family":"Valtchev","given":"Valentin","non-dropping-particle":"","parse-names":false,"suffix":""}],"container-title":"Chemical Society Reviews","id":"ITEM-2","issued":{"date-parts":[["2015"]]},"title":"Nanosized microporous crystals: emerging applications","type":"article"},"uris":["http://www.mendeley.com/documents/?uuid=dd842adb-e927-31b3-8d0d-f5853ceaf474"]}],"mendeley":{"formattedCitation":"[6,11]","plainTextFormattedCitation":"[6,11]","previouslyFormattedCitation":"[6,11]"},"properties":{"noteIndex":0},"schema":"https://github.com/citation-style-language/schema/raw/master/csl-citation.json"}</w:instrText>
      </w:r>
      <w:r w:rsidR="00751273">
        <w:rPr>
          <w:lang w:val="en-US"/>
        </w:rPr>
        <w:fldChar w:fldCharType="separate"/>
      </w:r>
      <w:r w:rsidR="005E1565" w:rsidRPr="005E1565">
        <w:rPr>
          <w:noProof/>
          <w:lang w:val="en-US"/>
        </w:rPr>
        <w:t>[6,11]</w:t>
      </w:r>
      <w:r w:rsidR="00751273">
        <w:rPr>
          <w:lang w:val="en-US"/>
        </w:rPr>
        <w:fldChar w:fldCharType="end"/>
      </w:r>
      <w:r>
        <w:rPr>
          <w:lang w:val="en-US"/>
        </w:rPr>
        <w:t>, however</w:t>
      </w:r>
      <w:r w:rsidR="00603180">
        <w:rPr>
          <w:lang w:val="en-US"/>
        </w:rPr>
        <w:t>,</w:t>
      </w:r>
      <w:r>
        <w:rPr>
          <w:lang w:val="en-US"/>
        </w:rPr>
        <w:t xml:space="preserve"> only a few studies investigated the impact of nanosized zeolites mainly by assessing zeolite cytotoxicity and neglecting a whole organism level</w:t>
      </w:r>
      <w:bookmarkStart w:id="12" w:name="__Fieldmark__13784_1509016404"/>
      <w:bookmarkEnd w:id="12"/>
      <w:r w:rsidR="00914BAC">
        <w:rPr>
          <w:lang w:val="en-US"/>
        </w:rPr>
        <w:t xml:space="preserve"> </w:t>
      </w:r>
      <w:r w:rsidR="00751273">
        <w:rPr>
          <w:lang w:val="en-US"/>
        </w:rPr>
        <w:fldChar w:fldCharType="begin" w:fldLock="1"/>
      </w:r>
      <w:r w:rsidR="004746A2">
        <w:rPr>
          <w:lang w:val="en-US"/>
        </w:rPr>
        <w:instrText>ADDIN CSL_CITATION {"citationItems":[{"id":"ITEM-1","itemData":{"DOI":"10.1016/j.micromeso.2016.06.015","ISSN":"13871811","abstract":"The preparation of iron-loaded nanosized zeolite with EMT-type structure (Fe-EMT) is reported. The sorption capacity of the Fe-EMT zeolite crystals for NO and CO2 is evaluated. The application of Fe-EMT zeolite as a gas delivery system with high capacity for CO2 and NO in biomedicine is considered. Therefore the toxicity of the pure EMT and Fe-EMT zeolite nanocrystals is studied. Primary culture of astrocytes was exposed to zeolite nanocrystals. In addition, two human cell lines, U87-MG glioblastoma and HEK-293T were used. Cells were exposed to zeolites nanocrystals with concentrations of 50, 100 and 400 μg/ml for 24 h and 48 h. Cytotoxicity was assessed by a cell viability assay and no alteration of cell viability exposed to zeolite nanoparticles was observed.","author":[{"dropping-particle":"","family":"Georgieva","given":"Veselina","non-dropping-particle":"","parse-names":false,"suffix":""},{"dropping-particle":"","family":"Anfray","given":"Clément","non-dropping-particle":"","parse-names":false,"suffix":""},{"dropping-particle":"","family":"Retoux","given":"Richard","non-dropping-particle":"","parse-names":false,"suffix":""},{"dropping-particle":"","family":"Valtchev","given":"Valentin","non-dropping-particle":"","parse-names":false,"suffix":""},{"dropping-particle":"","family":"Valable","given":"Samuel","non-dropping-particle":"","parse-names":false,"suffix":""},{"dropping-particle":"","family":"Mintova","given":"Svetlana","non-dropping-particle":"","parse-names":false,"suffix":""}],"container-title":"Microporous and Mesoporous Materials","id":"ITEM-1","issued":{"date-parts":[["2016"]]},"title":"Iron loaded EMT nanosized zeolite with high affinity towards CO2 and NO","type":"article-journal"},"uris":["http://www.mendeley.com/documents/?uuid=42dd0301-c511-3594-a213-36faa205d03f"]},{"id":"ITEM-2","itemData":{"DOI":"10.1039/c3tx50023c","ISSN":"2045452X","abstract":"The toxicity of two types of ultra-small zeolites (8-18 nm) with LTL- and EMT-type structures is reported. Both the LTL- and EMT-type zeolites belong to the same group of molecular sieves; they have large pores (7.1-7.5 Å) and low silica content (Si/Al = 1.2-2.3). The zeolites are prepared by an environmentally friendly synthetic approach from precursor suspensions without using any organic template. Cellular interactions with the two types of zeolite nanocrystals are evaluated by cell viability, reactive oxygen species and cell life cycle assays. It is found that various concentrations of zeolites have negligible effects on the cell life cycle. Moreover, the LTL- and EMT-types zeolites did not cause extensive oxidative stress on the cells. Although it is seen that the zeolites extensively entered in the cells, there is no sign of toxicity for all employed concentrations of ultra-small EMT and LTL zeolites. Additionally, no abnormality in DNA replication while exposed to the zeolites is observed. Very importantly, the zeolite corona shows a high affinity for fibrinogen, moderate affinity for apoA-II and complement factor 3, and trace affinity for albumin, which is the most abundant protein of human plasma. Thus the zeolite nanoparticles can be considered as very promising material for purification of fibrinogen and lipoproteins. Since fibrinogen is considered as acute phase protein and found to be the most associated biomolecule in the composition of corona at the surface of zeolites, we propose that these nanoparticles can be potentially pro-inflammatory for in vivo applications. © 2013 The Royal Society of Chemistry.","author":[{"dropping-particle":"","family":"Laurent","given":"S.","non-dropping-particle":"","parse-names":false,"suffix":""},{"dropping-particle":"","family":"Ng","given":"E. P.","non-dropping-particle":"","parse-names":false,"suffix":""},{"dropping-particle":"","family":"Thirifays","given":"C.","non-dropping-particle":"","parse-names":false,"suffix":""},{"dropping-particle":"","family":"Lakiss","given":"L.","non-dropping-particle":"","parse-names":false,"suffix":""},{"dropping-particle":"","family":"Goupil","given":"G. M.","non-dropping-particle":"","parse-names":false,"suffix":""},{"dropping-particle":"","family":"Mintova","given":"S.","non-dropping-particle":"","parse-names":false,"suffix":""},{"dropping-particle":"","family":"Burtea","given":"C.","non-dropping-particle":"","parse-names":false,"suffix":""},{"dropping-particle":"","family":"Oveisi","given":"E.","non-dropping-particle":"","parse-names":false,"suffix":""},{"dropping-particle":"","family":"Hébert","given":"C.","non-dropping-particle":"","parse-names":false,"suffix":""},{"dropping-particle":"","family":"Vries","given":"M.","non-dropping-particle":"De","parse-names":false,"suffix":""},{"dropping-particle":"","family":"Motazacker","given":"M. M.","non-dropping-particle":"","parse-names":false,"suffix":""},{"dropping-particle":"","family":"Rezaee","given":"F.","non-dropping-particle":"","parse-names":false,"suffix":""},{"dropping-particle":"","family":"Mahmoudi","given":"M.","non-dropping-particle":"","parse-names":false,"suffix":""}],"container-title":"Toxicology Research","id":"ITEM-2","issued":{"date-parts":[["2013"]]},"title":"Corona protein composition and cytotoxicity evaluation of ultra-small zeolites synthesized from template free precursor suspensions","type":"article-journal"},"uris":["http://www.mendeley.com/documents/?uuid=88ade6aa-098a-383d-9730-5c4a058707fc"]},{"id":"ITEM-3","itemData":{"DOI":"10.3109/17435390.2011.587901","ISSN":"17435390","abstract":"Nanosized zeolite particles are important materials for many applications in the field of nanotechnology. The possible adverse effects of these nanomaterials on human health have been scarcely investigated and remain largely unknown. This study reports the synthesis of nanozeolites Y and A with particle sizes of 25100 nm and adequate colloidal stability for in vitro cytotoxicity experiments. The cytotoxic response of macrophages, epithelial and endothelial cells to these nanocrystals was assessed by determining mitochondrial activity (MTT assay) and cell membrane integrity (LDH leakage assay). After 24 h of exposure, no significant cytotoxic activity was detected for nanozeolite doses up to 500 μg/ml. The addition of fetal calf serum to the cell culture medium during exposure did not significantly change this low response. The nanozeolites showed low toxicity compared with monodisperse amorphous silica nanoparticles of similar size (60 nm). These results may contribute to the application of safe nanozeolites for purposes such as medical imaging, sensing materials, low-k films and molecular separation processes. © 2012 Informa UK, Ltd.","author":[{"dropping-particle":"","family":"Thomassen","given":"Leen C.J.","non-dropping-particle":"","parse-names":false,"suffix":""},{"dropping-particle":"","family":"Napierska","given":"Dorota","non-dropping-particle":"","parse-names":false,"suffix":""},{"dropping-particle":"","family":"Dinsdale","given":"David","non-dropping-particle":"","parse-names":false,"suffix":""},{"dropping-particle":"","family":"Lievens","given":"Nele","non-dropping-particle":"","parse-names":false,"suffix":""},{"dropping-particle":"","family":"Jammaer","given":"Jasper","non-dropping-particle":"","parse-names":false,"suffix":""},{"dropping-particle":"","family":"Lison","given":"Dominique","non-dropping-particle":"","parse-names":false,"suffix":""},{"dropping-particle":"","family":"Kirschhock","given":"Christine E.A.","non-dropping-particle":"","parse-names":false,"suffix":""},{"dropping-particle":"","family":"Hoet","given":"Peter H.","non-dropping-particle":"","parse-names":false,"suffix":""},{"dropping-particle":"","family":"Martens","given":"Johan A.","non-dropping-particle":"","parse-names":false,"suffix":""}],"container-title":"Nanotoxicology","id":"ITEM-3","issued":{"date-parts":[["2012"]]},"title":"Investigation of the cytotoxicity of nanozeolites A and y","type":"article-journal"},"uris":["http://www.mendeley.com/documents/?uuid=98674333-ad24-35a7-be7d-cea1a753c4c9"]}],"mendeley":{"formattedCitation":"[7,17,18]","plainTextFormattedCitation":"[7,17,18]","previouslyFormattedCitation":"[7,17,18]"},"properties":{"noteIndex":0},"schema":"https://github.com/citation-style-language/schema/raw/master/csl-citation.json"}</w:instrText>
      </w:r>
      <w:r w:rsidR="00751273">
        <w:rPr>
          <w:lang w:val="en-US"/>
        </w:rPr>
        <w:fldChar w:fldCharType="separate"/>
      </w:r>
      <w:r w:rsidR="00B20EBB" w:rsidRPr="00B20EBB">
        <w:rPr>
          <w:noProof/>
          <w:lang w:val="en-US"/>
        </w:rPr>
        <w:t>[7,17,18]</w:t>
      </w:r>
      <w:r w:rsidR="00751273">
        <w:rPr>
          <w:lang w:val="en-US"/>
        </w:rPr>
        <w:fldChar w:fldCharType="end"/>
      </w:r>
      <w:r>
        <w:rPr>
          <w:lang w:val="en-US"/>
        </w:rPr>
        <w:t>.</w:t>
      </w:r>
      <w:r>
        <w:rPr>
          <w:vertAlign w:val="superscript"/>
          <w:lang w:val="en-US"/>
        </w:rPr>
        <w:t>⁠</w:t>
      </w:r>
      <w:r>
        <w:rPr>
          <w:lang w:val="en-US"/>
        </w:rPr>
        <w:t xml:space="preserve"> Hence, it is necessary to carry out extensive studies that involve testing of different materials in terms of their chemical composition and framework type, as well as materials having different properties in terms of their surface area, crystal size and shape, porosity, hydrophobicity, acidity, and ion-exchange capacity. Furthermore, it is indispensable to establish the possible effects of nanosized zeolites on the specific ecosystems and living organisms.</w:t>
      </w:r>
    </w:p>
    <w:p w14:paraId="76C496E8" w14:textId="67F1A03A" w:rsidR="00F02E89" w:rsidRDefault="00E01693">
      <w:pPr>
        <w:spacing w:line="360" w:lineRule="auto"/>
        <w:jc w:val="both"/>
      </w:pPr>
      <w:r>
        <w:rPr>
          <w:lang w:val="en-US"/>
        </w:rPr>
        <w:t xml:space="preserve">With that goal, zebrafish </w:t>
      </w:r>
      <w:r>
        <w:rPr>
          <w:i/>
          <w:iCs/>
          <w:lang w:val="en-US"/>
        </w:rPr>
        <w:t xml:space="preserve">Danio </w:t>
      </w:r>
      <w:proofErr w:type="spellStart"/>
      <w:r>
        <w:rPr>
          <w:i/>
          <w:iCs/>
          <w:lang w:val="en-US"/>
        </w:rPr>
        <w:t>rerio</w:t>
      </w:r>
      <w:proofErr w:type="spellEnd"/>
      <w:r>
        <w:rPr>
          <w:iCs/>
          <w:lang w:val="en-US"/>
        </w:rPr>
        <w:t xml:space="preserve"> </w:t>
      </w:r>
      <w:r>
        <w:rPr>
          <w:lang w:val="en-US"/>
        </w:rPr>
        <w:t>- a promising small animal model that can be used in developmental, pharmacological, genetic and toxicological research, was employed as a model organism. Its small size, high fecundity, rapid development, optical transparency during the whole embryonic development, availability of genomic data and genetic similarity to humans, are just some of the reasons that enabled the use of an entire living organism (</w:t>
      </w:r>
      <w:r>
        <w:rPr>
          <w:i/>
          <w:iCs/>
          <w:lang w:val="en-US"/>
        </w:rPr>
        <w:t>in vivo</w:t>
      </w:r>
      <w:r>
        <w:rPr>
          <w:lang w:val="en-US"/>
        </w:rPr>
        <w:t xml:space="preserve">) in </w:t>
      </w:r>
      <w:r>
        <w:rPr>
          <w:lang w:val="en-US"/>
        </w:rPr>
        <w:lastRenderedPageBreak/>
        <w:t xml:space="preserve">standardized </w:t>
      </w:r>
      <w:r>
        <w:rPr>
          <w:i/>
          <w:iCs/>
          <w:lang w:val="en-US"/>
        </w:rPr>
        <w:t>in vitro</w:t>
      </w:r>
      <w:r>
        <w:rPr>
          <w:lang w:val="en-US"/>
        </w:rPr>
        <w:t xml:space="preserve"> format</w:t>
      </w:r>
      <w:bookmarkStart w:id="13" w:name="__Fieldmark__13805_1509016404"/>
      <w:bookmarkEnd w:id="13"/>
      <w:r w:rsidR="002B0446">
        <w:rPr>
          <w:lang w:val="en-US"/>
        </w:rPr>
        <w:t xml:space="preserve"> </w:t>
      </w:r>
      <w:r w:rsidR="00C50E08">
        <w:rPr>
          <w:lang w:val="en-US"/>
        </w:rPr>
        <w:fldChar w:fldCharType="begin" w:fldLock="1"/>
      </w:r>
      <w:r w:rsidR="004746A2">
        <w:rPr>
          <w:lang w:val="en-US"/>
        </w:rPr>
        <w:instrText>ADDIN CSL_CITATION {"citationItems":[{"id":"ITEM-1","itemData":{"DOI":"10.1039/c6gc02061e","ISSN":"14639270","abstract":"Heightened public awareness about the many thousands of chemicals in use and present as persistent contaminants in the environment has increased the demand for safer chemicals and more rigorous toxicity testing. There is a growing recognition that the use of traditional test models and empirical approaches is impractical for screening for toxicity the many thousands of chemicals in the environment and the hundreds of new chemistries introduced each year. These realities coupled with the green chemistry movement have prompted efforts to implement more predictive-based approaches to evaluate chemical toxicity early in product development. While used for many years in environmental toxicology and biomedicine, zebrafish use has accelerated more recently in genetic toxicology, high throughput screening (HTS), and behavioral testing. This review describes major advances in these testing methods that have positioned the zebrafish as a highly applicable model in chemical safety evaluations and sustainable chemistry efforts. Many toxic responses have been shown to be shared among fish and mammals owing to their generally well-conserved development, cellular networks, and organ systems. These shared responses have been observed for chemicals that impair endocrine functioning, development, and reproduction, as well as those that elicit cardiotoxicity and carcinogenicity, among other diseases. HTS technologies with zebrafish enable screening large chemical libraries for bioactivity that provide opportunities for testing early in product development. A compelling attribute of the zebrafish centers on being able to characterize toxicity mechanisms across multiple levels of biological organization from the genome to receptor interactions and cellular processes leading to phenotypic changes such as developmental malformations. Finally, there is a growing recognition of the links between human and wildlife health and the need for approaches that allow for assessment of real world multi-chemical exposures. The zebrafish is poised to be an important model in bridging these two conventionally separate areas of toxicology and characterizing the biological effects of chemical mixtures that could augment its role in sustainable chemistry.","author":[{"dropping-particle":"","family":"Noyes","given":"Pamela D.","non-dropping-particle":"","parse-names":false,"suffix":""},{"dropping-particle":"","family":"Garcia","given":"Gloria R.","non-dropping-particle":"","parse-names":false,"suffix":""},{"dropping-particle":"","family":"Tanguay","given":"Robert L.","non-dropping-particle":"","parse-names":false,"suffix":""}],"container-title":"Green Chemistry","id":"ITEM-1","issued":{"date-parts":[["2016"]]},"title":"Zebrafish as an: In vivo model for sustainable chemical design","type":"article"},"uris":["http://www.mendeley.com/documents/?uuid=42267154-1f19-337b-84fa-16db1a69e23d"]},{"id":"ITEM-2","itemData":{"DOI":"10.1038/srep37145","ISSN":"20452322","abstract":"Nanomaterials are being extensively produced and applied in society. Human and environmental exposures are, therefore, inevitable and so increased attention is being given to nanotoxicity. While silica nanoparticles (NP) are one of the top five nanomaterials found in consumer and biomedical products, their toxicity profile is poorly characterized. In this study, we investigated the toxicity of silica nanoparticles with diameters 20, 50 and 80 nm using an in vivo zebrafish platform that analyzes multiple endpoints related to developmental, cardio-, hepato-, and neurotoxicity. Results show that except for an acceleration in hatching time and alterations in the behavior of zebrafish embryos/larvae, silica NPs did not elicit any developmental defects, nor any cardio- and hepatotoxicity. The behavioral alterations were consistent for both embryonic photomotor and larval locomotor response and were dependent on the concentration and the size of silica NPs. As embryos and larvae exhibited a normal touch response and early hatching did not affect larval locomotor response, the behavior changes observed are most likely the consequence of modified neuroactivity. Overall, our results suggest that silica NPs do not cause any developmental, cardio- or hepatotoxicity, but they pose a potential risk for the neurobehavioral system.","author":[{"dropping-particle":"","family":"Pham","given":"Duc Hung","non-dropping-particle":"","parse-names":false,"suffix":""},{"dropping-particle":"","family":"Roo","given":"Bert","non-dropping-particle":"De","parse-names":false,"suffix":""},{"dropping-particle":"","family":"Nguyen","given":"Xuan Bac","non-dropping-particle":"","parse-names":false,"suffix":""},{"dropping-particle":"","family":"Vervaele","given":"Mattias","non-dropping-particle":"","parse-names":false,"suffix":""},{"dropping-particle":"","family":"Kecskés","given":"Angela","non-dropping-particle":"","parse-names":false,"suffix":""},{"dropping-particle":"","family":"Ny","given":"Annelii","non-dropping-particle":"","parse-names":false,"suffix":""},{"dropping-particle":"","family":"Copmans","given":"Daniëlle","non-dropping-particle":"","parse-names":false,"suffix":""},{"dropping-particle":"","family":"Vriens","given":"Hanne","non-dropping-particle":"","parse-names":false,"suffix":""},{"dropping-particle":"","family":"Locquet","given":"Jean Pierre","non-dropping-particle":"","parse-names":false,"suffix":""},{"dropping-particle":"","family":"Hoet","given":"Peter","non-dropping-particle":"","parse-names":false,"suffix":""},{"dropping-particle":"","family":"Witte","given":"Peter A.M.","non-dropping-particle":"De","parse-names":false,"suffix":""}],"container-title":"Scientific Reports","id":"ITEM-2","issued":{"date-parts":[["2016"]]},"title":"Use of Zebrafish Larvae as a Multi-Endpoint Platform to Characterize the Toxicity Profile of Silica Nanoparticles","type":"article-journal"},"uris":["http://www.mendeley.com/documents/?uuid=6f33faa2-f09c-3c4e-b451-02626fcf5bf2"]}],"mendeley":{"formattedCitation":"[19,20]","plainTextFormattedCitation":"[19,20]","previouslyFormattedCitation":"[19,20]"},"properties":{"noteIndex":0},"schema":"https://github.com/citation-style-language/schema/raw/master/csl-citation.json"}</w:instrText>
      </w:r>
      <w:r w:rsidR="00C50E08">
        <w:rPr>
          <w:lang w:val="en-US"/>
        </w:rPr>
        <w:fldChar w:fldCharType="separate"/>
      </w:r>
      <w:r w:rsidR="00B20EBB" w:rsidRPr="00B20EBB">
        <w:rPr>
          <w:noProof/>
          <w:lang w:val="en-US"/>
        </w:rPr>
        <w:t>[19,20]</w:t>
      </w:r>
      <w:r w:rsidR="00C50E08">
        <w:rPr>
          <w:lang w:val="en-US"/>
        </w:rPr>
        <w:fldChar w:fldCharType="end"/>
      </w:r>
      <w:r>
        <w:rPr>
          <w:lang w:val="en-US"/>
        </w:rPr>
        <w:t xml:space="preserve">.⁠ This ability to position zebrafish as a bridge between cell-based tools and other </w:t>
      </w:r>
      <w:r>
        <w:rPr>
          <w:i/>
          <w:iCs/>
          <w:lang w:val="en-US"/>
        </w:rPr>
        <w:t>in vivo</w:t>
      </w:r>
      <w:r>
        <w:rPr>
          <w:lang w:val="en-US"/>
        </w:rPr>
        <w:t xml:space="preserve"> models allows not only the extrapolation of the data across physiological targets and vertebrate taxa, but could also serve as a base of sustainable chemistry</w:t>
      </w:r>
      <w:bookmarkStart w:id="14" w:name="__Fieldmark__13812_1509016404"/>
      <w:bookmarkEnd w:id="14"/>
      <w:r w:rsidR="002B0446">
        <w:rPr>
          <w:lang w:val="en-US"/>
        </w:rPr>
        <w:t xml:space="preserve"> </w:t>
      </w:r>
      <w:r w:rsidR="00C50E08">
        <w:rPr>
          <w:lang w:val="en-US"/>
        </w:rPr>
        <w:fldChar w:fldCharType="begin" w:fldLock="1"/>
      </w:r>
      <w:r w:rsidR="004746A2">
        <w:rPr>
          <w:lang w:val="en-US"/>
        </w:rPr>
        <w:instrText>ADDIN CSL_CITATION {"citationItems":[{"id":"ITEM-1","itemData":{"DOI":"10.1039/c6gc02061e","ISSN":"14639270","abstract":"Heightened public awareness about the many thousands of chemicals in use and present as persistent contaminants in the environment has increased the demand for safer chemicals and more rigorous toxicity testing. There is a growing recognition that the use of traditional test models and empirical approaches is impractical for screening for toxicity the many thousands of chemicals in the environment and the hundreds of new chemistries introduced each year. These realities coupled with the green chemistry movement have prompted efforts to implement more predictive-based approaches to evaluate chemical toxicity early in product development. While used for many years in environmental toxicology and biomedicine, zebrafish use has accelerated more recently in genetic toxicology, high throughput screening (HTS), and behavioral testing. This review describes major advances in these testing methods that have positioned the zebrafish as a highly applicable model in chemical safety evaluations and sustainable chemistry efforts. Many toxic responses have been shown to be shared among fish and mammals owing to their generally well-conserved development, cellular networks, and organ systems. These shared responses have been observed for chemicals that impair endocrine functioning, development, and reproduction, as well as those that elicit cardiotoxicity and carcinogenicity, among other diseases. HTS technologies with zebrafish enable screening large chemical libraries for bioactivity that provide opportunities for testing early in product development. A compelling attribute of the zebrafish centers on being able to characterize toxicity mechanisms across multiple levels of biological organization from the genome to receptor interactions and cellular processes leading to phenotypic changes such as developmental malformations. Finally, there is a growing recognition of the links between human and wildlife health and the need for approaches that allow for assessment of real world multi-chemical exposures. The zebrafish is poised to be an important model in bridging these two conventionally separate areas of toxicology and characterizing the biological effects of chemical mixtures that could augment its role in sustainable chemistry.","author":[{"dropping-particle":"","family":"Noyes","given":"Pamela D.","non-dropping-particle":"","parse-names":false,"suffix":""},{"dropping-particle":"","family":"Garcia","given":"Gloria R.","non-dropping-particle":"","parse-names":false,"suffix":""},{"dropping-particle":"","family":"Tanguay","given":"Robert L.","non-dropping-particle":"","parse-names":false,"suffix":""}],"container-title":"Green Chemistry","id":"ITEM-1","issued":{"date-parts":[["2016"]]},"title":"Zebrafish as an: In vivo model for sustainable chemical design","type":"article"},"uris":["http://www.mendeley.com/documents/?uuid=42267154-1f19-337b-84fa-16db1a69e23d"]}],"mendeley":{"formattedCitation":"[19]","plainTextFormattedCitation":"[19]","previouslyFormattedCitation":"[19]"},"properties":{"noteIndex":0},"schema":"https://github.com/citation-style-language/schema/raw/master/csl-citation.json"}</w:instrText>
      </w:r>
      <w:r w:rsidR="00C50E08">
        <w:rPr>
          <w:lang w:val="en-US"/>
        </w:rPr>
        <w:fldChar w:fldCharType="separate"/>
      </w:r>
      <w:r w:rsidR="00B20EBB" w:rsidRPr="00B20EBB">
        <w:rPr>
          <w:noProof/>
          <w:lang w:val="en-US"/>
        </w:rPr>
        <w:t>[19]</w:t>
      </w:r>
      <w:r w:rsidR="00C50E08">
        <w:rPr>
          <w:lang w:val="en-US"/>
        </w:rPr>
        <w:fldChar w:fldCharType="end"/>
      </w:r>
      <w:r>
        <w:rPr>
          <w:lang w:val="en-US"/>
        </w:rPr>
        <w:t xml:space="preserve">.⁠ Nowadays, zebrafish are being used as </w:t>
      </w:r>
      <w:r>
        <w:rPr>
          <w:i/>
          <w:iCs/>
          <w:lang w:val="en-US"/>
        </w:rPr>
        <w:t>in vivo</w:t>
      </w:r>
      <w:r>
        <w:rPr>
          <w:lang w:val="en-US"/>
        </w:rPr>
        <w:t xml:space="preserve"> platforms to study toxic effects and determine environmental risk assessment of pharmaceuticals</w:t>
      </w:r>
      <w:bookmarkStart w:id="15" w:name="__Fieldmark__13819_1509016404"/>
      <w:bookmarkEnd w:id="15"/>
      <w:r w:rsidR="002B0446">
        <w:rPr>
          <w:lang w:val="en-US"/>
        </w:rPr>
        <w:t xml:space="preserve"> </w:t>
      </w:r>
      <w:r w:rsidR="00C50E08">
        <w:rPr>
          <w:lang w:val="en-US"/>
        </w:rPr>
        <w:fldChar w:fldCharType="begin" w:fldLock="1"/>
      </w:r>
      <w:r w:rsidR="004746A2">
        <w:rPr>
          <w:lang w:val="en-US"/>
        </w:rPr>
        <w:instrText>ADDIN CSL_CITATION {"citationItems":[{"id":"ITEM-1","itemData":{"DOI":"10.1016/j.exphem.2016.09.012","ISSN":"18732399","abstract":"Current treatment strategies for acute leukemias largely rely on nonspecific cytotoxic drugs that result in high therapy-related morbidity and mortality. Cost-effective, pertinent animal models are needed to link in vitro studies with the development of new therapeutic agents in clinical trials on a high-throughput scale. However, targeted therapies have had limited success moving from bench to clinic, often due to unexpected off-target effects. The zebrafish has emerged as a reliable in vivo tool for modeling human leukemia. Zebrafish genetic and xenograft models of acute leukemia provide an unprecedented opportunity to conduct rapid, phenotype-based screens. This allows for the identification of relevant therapies while simultaneously evaluating drug toxicity, thus circumventing the limitations of target-centric approaches.","author":[{"dropping-particle":"","family":"Deveau","given":"Adam P.","non-dropping-particle":"","parse-names":false,"suffix":""},{"dropping-particle":"","family":"Bentley","given":"Victoria L.","non-dropping-particle":"","parse-names":false,"suffix":""},{"dropping-particle":"","family":"Berman","given":"Jason N.","non-dropping-particle":"","parse-names":false,"suffix":""}],"container-title":"Experimental Hematology","id":"ITEM-1","issued":{"date-parts":[["2017"]]},"title":"Using zebrafish models of leukemia to streamline drug screening and discovery","type":"article"},"uris":["http://www.mendeley.com/documents/?uuid=69ac3638-66d3-350b-944e-faa4143db879"]}],"mendeley":{"formattedCitation":"[21]","plainTextFormattedCitation":"[21]","previouslyFormattedCitation":"[21]"},"properties":{"noteIndex":0},"schema":"https://github.com/citation-style-language/schema/raw/master/csl-citation.json"}</w:instrText>
      </w:r>
      <w:r w:rsidR="00C50E08">
        <w:rPr>
          <w:lang w:val="en-US"/>
        </w:rPr>
        <w:fldChar w:fldCharType="separate"/>
      </w:r>
      <w:r w:rsidR="00B20EBB" w:rsidRPr="00B20EBB">
        <w:rPr>
          <w:noProof/>
          <w:lang w:val="en-US"/>
        </w:rPr>
        <w:t>[21]</w:t>
      </w:r>
      <w:r w:rsidR="00C50E08">
        <w:rPr>
          <w:lang w:val="en-US"/>
        </w:rPr>
        <w:fldChar w:fldCharType="end"/>
      </w:r>
      <w:r>
        <w:rPr>
          <w:lang w:val="en-US"/>
        </w:rPr>
        <w:t>, heavy metals</w:t>
      </w:r>
      <w:bookmarkStart w:id="16" w:name="__Fieldmark__13824_1509016404"/>
      <w:bookmarkEnd w:id="16"/>
      <w:r w:rsidR="002B0446">
        <w:rPr>
          <w:lang w:val="en-US"/>
        </w:rPr>
        <w:t xml:space="preserve"> </w:t>
      </w:r>
      <w:r w:rsidR="00C50E08">
        <w:rPr>
          <w:lang w:val="en-US"/>
        </w:rPr>
        <w:fldChar w:fldCharType="begin" w:fldLock="1"/>
      </w:r>
      <w:r w:rsidR="004746A2">
        <w:rPr>
          <w:lang w:val="en-US"/>
        </w:rPr>
        <w:instrText>ADDIN CSL_CITATION {"citationItems":[{"id":"ITEM-1","itemData":{"DOI":"10.1016/j.scitotenv.2017.10.057","ISSN":"18791026","abstract":"Nickel is a heavy metal that, at high concentrations, leads to environmental contamination and causes health problems. We evaluated the effects of NiCl2 exposure on cognition and behavior in larval and adult zebrafish. Larval and adult zebrafish were exposed to NiCl2 concentrations (0.025, 2.0, 5.0, and 15.0 mg/L) or water (control) in two treatment regimens: acute and subchronic. Larvae were exposed to NiCl2 for 2 h (acute treatment: 5-day-old larvae treated for 2 h, tested after treatment) or 11 days (subchronic treatment: 11-day-old larvae treated since fertilization, tested at 5, 8 and 11 days post-fertilization, dpf). Adults were exposed for 12 h (acute treatment) or 96 h (subchronic treatment) and were tested after the treatment period. In both regimens, exposed zebrafish showed concentration-dependent increases in body nickel levels compared with controls. For larvae, delayed hatching, decreased heart rate and morphological alterations were observed in subchronically treated zebrafish. Larvae from subchronic treatment tested at 5 dpf decrease distance and mean speed at a low concentration (0.025 mg/L) and increased at higher concentrations (5.0 and 15.0 mg/L). Subchronic treated larvae decrease locomotion at 15.0 mg/L at 8 and 11 dpf, whereas decreased escape responses to an aversive stimulus was observed at 2.0, 5.0 and 15.0 mg/L in all developmental stages. For adults, the exploratory behavior test showed that subchronic nickel exposure induced anxiogenic-like behavior and decrease aggression, whereas impaired memory was observed in both treatments. These results indicate that exposure to nickel in early life stages of zebrafish leads to morphological alterations, avoidance response impairment and locomotor deficits whereas acute and subchronic exposure in adults resulst in anxiogenic effects, impaired memory and decreased aggressive behavior. These effects may be associated to neurotoxic actions of nickel and suggest this metal may influence animals’ physiology in doses that do not necessarily impact their survival.","author":[{"dropping-particle":"","family":"Nabinger","given":"Débora Dreher","non-dropping-particle":"","parse-names":false,"suffix":""},{"dropping-particle":"","family":"Altenhofen","given":"Stefani","non-dropping-particle":"","parse-names":false,"suffix":""},{"dropping-particle":"","family":"Bitencourt","given":"Paula Eliete Rodrigues","non-dropping-particle":"","parse-names":false,"suffix":""},{"dropping-particle":"","family":"Nery","given":"Laura Roesler","non-dropping-particle":"","parse-names":false,"suffix":""},{"dropping-particle":"","family":"Leite","given":"Carlos Eduardo","non-dropping-particle":"","parse-names":false,"suffix":""},{"dropping-particle":"","family":"Vianna","given":"Mônica Ryff Moreira Roca","non-dropping-particle":"","parse-names":false,"suffix":""},{"dropping-particle":"","family":"Bonan","given":"Carla Denise","non-dropping-particle":"","parse-names":false,"suffix":""}],"container-title":"Science of the Total Environment","id":"ITEM-1","issued":{"date-parts":[["2018"]]},"title":"Nickel exposure alters behavioral parameters in larval and adult zebrafish","type":"article-journal"},"uris":["http://www.mendeley.com/documents/?uuid=3fc0539d-d51c-3c01-a134-a96e89f642f2"]}],"mendeley":{"formattedCitation":"[22]","plainTextFormattedCitation":"[22]","previouslyFormattedCitation":"[22]"},"properties":{"noteIndex":0},"schema":"https://github.com/citation-style-language/schema/raw/master/csl-citation.json"}</w:instrText>
      </w:r>
      <w:r w:rsidR="00C50E08">
        <w:rPr>
          <w:lang w:val="en-US"/>
        </w:rPr>
        <w:fldChar w:fldCharType="separate"/>
      </w:r>
      <w:r w:rsidR="00B20EBB" w:rsidRPr="00B20EBB">
        <w:rPr>
          <w:noProof/>
          <w:lang w:val="en-US"/>
        </w:rPr>
        <w:t>[22]</w:t>
      </w:r>
      <w:r w:rsidR="00C50E08">
        <w:rPr>
          <w:lang w:val="en-US"/>
        </w:rPr>
        <w:fldChar w:fldCharType="end"/>
      </w:r>
      <w:r>
        <w:rPr>
          <w:lang w:val="en-US"/>
        </w:rPr>
        <w:t>,⁠ pesticides</w:t>
      </w:r>
      <w:bookmarkStart w:id="17" w:name="__Fieldmark__13829_1509016404"/>
      <w:bookmarkEnd w:id="17"/>
      <w:r w:rsidR="002B0446">
        <w:rPr>
          <w:lang w:val="en-US"/>
        </w:rPr>
        <w:t xml:space="preserve"> </w:t>
      </w:r>
      <w:r w:rsidR="00C50E08">
        <w:rPr>
          <w:lang w:val="en-US"/>
        </w:rPr>
        <w:fldChar w:fldCharType="begin" w:fldLock="1"/>
      </w:r>
      <w:r w:rsidR="004746A2">
        <w:rPr>
          <w:lang w:val="en-US"/>
        </w:rPr>
        <w:instrText>ADDIN CSL_CITATION {"citationItems":[{"id":"ITEM-1","itemData":{"DOI":"10.1016/j.tox.2017.10.007","ISSN":"18793185","abstract":"Glyphosate has become the most widely used herbicide in the world, due to the wide scale adoption of transgenic glyphosate resistant crops after its introduction in 1996. Glyphosate may be used alone, but it is commonly applied as an active ingredient of the herbicide Roundup®. This pesticide contains several adjuvants, which may promote an unknown toxicity. The indiscriminate application poses numerous problems, both for the health of the applicators and consumers, and for the environment, contaminating the soil, water and leading to the death of plants and animals. Zebrafish (Danio rerio) is quickly gaining popularity in behavioral research, because of physiological similarity to mammals, sensitivity to pharmacological factors, robust performance, low cost, short spawning intervals, external fertilization, transparency of embryos through larval stages, and rapid development. The aim of this study was evaluate the effects of glyphosate and Roundup® on behavioral and morphological parameters in zebrafish larvae and adults. Zebrafish larvae at 3 days post-fertilization and adults were exposed to glyphosate (0.01, 0.065, and 0.5 mg/L) or Roundup® (0.01, 0.065, and 0.5 mg/L) for 96 h. Immediately after the exposure, we performed the analysis of locomotor activity, aversive behavior, and morphology for the larvae and exploratory behavior, aggression and inhibitory avoidance memory for adult zebrafish. In zebrafish larvae, there were significant differences in the locomotor activity and aversive behavior after glyphosate or Roundup® exposure when compared to the control group. Our findings demonstrated that exposure to glyphosate at the concentration of 0.5 mg/L, Roundup® at 0.065 or 0.5 mg/L reduced the distance traveled, the mean speed and the line crossings in adult zebrafish. A decreased ocular distance was observed for larvae exposed at 0.5 mg/L of glyphosate. We verified that at 0.5 mg/L of Roundup®-treated adult zebrafish demonstrated a significant impairment in memory. Both glyphosate and Roundup® reduced aggressive behavior. Our data suggest that there are small differences between the effects induced by glyphosate and Roundup®, altering morphological and behavioral parameters in zebrafish, suggesting common mechanisms of toxicity and cellular response.","author":[{"dropping-particle":"","family":"Bridi","given":"Daiane","non-dropping-particle":"","parse-names":false,"suffix":""},{"dropping-particle":"","family":"Altenhofen","given":"Stefani","non-dropping-particle":"","parse-names":false,"suffix":""},{"dropping-particle":"","family":"Gonzalez","given":"Jonas Brum","non-dropping-particle":"","parse-names":false,"suffix":""},{"dropping-particle":"","family":"Reolon","given":"Gustavo Kellermann","non-dropping-particle":"","parse-names":false,"suffix":""},{"dropping-particle":"","family":"Bonan","given":"Carla Denise","non-dropping-particle":"","parse-names":false,"suffix":""}],"container-title":"Toxicology","id":"ITEM-1","issued":{"date-parts":[["2017"]]},"title":"Glyphosate and Roundup® alter morphology and behavior in zebrafish","type":"article-journal"},"uris":["http://www.mendeley.com/documents/?uuid=f41a8aa6-d4ac-39ba-b8f8-5e7032290f42"]},{"id":"ITEM-2","itemData":{"DOI":"10.1016/j.envpol.2017.05.072","ISSN":"18736424","abstract":"The health risk of triadimefon (TF) to cardiovascular system of human is still unclear, especially to pesticide suicides population, occupational population (farmers, retailers and pharmaceutical workers), and special population (young children and infants, pregnant women, older people, and those with compromised immune systems) who are at a greater risk. Therefore, firstly we explored the toxic effects and possible mechanism of cardiovascular toxicity induced by TF using zebrafish model. Zebrafish at stage of 48 h post fertilization (hpf) exposed to TF for 24 h exhibited morphological malformations which were further confirmed by histopathologic examination, including pericardial edema, circulation abnormalities, serious venous thrombosis and increased distance between the sinus venosus (SV) and bulbus arteriosus (BA) regions of the heart. In addition to morphological changes, TF induced functional deficits in the heart of zebrafish, including bradycardia and a significant reduced cardiac output that became more serious at higher concentrations. To better understand the possible molecular mechanisms underlying cardiovascular toxicity in zebrafish, we investigated the transcriptional level of genes related to calcium signaling pathway and cardiac muscle contraction. Q-PCR (quantitative real-time polymerase chain reaction) results demonstrated that the expression level of genes related to ATPase (atp2a1l, atp1b2b, atp1a3b), calcium channel (cacna1ab, cacna1da) and cardiac troponin C (tnnc1a) were significantly decreased after TF exposure. For the first time, the present study revealed that TF exposure had observable morphological and functional negative impacts on cardiovascular system of zebrafish. Mechanistically, this toxicity might result from the pressure of down-regulation of genes associated with calcium signaling pathway and cardiac muscle contraction following TF exposure. These findings generated here can provide information for better pesticide poisoning treatments, occupational disease prevention, and providing theoretical foundation for risk management measures.","author":[{"dropping-particle":"","family":"Liu","given":"Hong cui","non-dropping-particle":"","parse-names":false,"suffix":""},{"dropping-particle":"","family":"Chu","given":"Tian yi","non-dropping-particle":"","parse-names":false,"suffix":""},{"dropping-particle":"","family":"Chen","given":"Li li","non-dropping-particle":"","parse-names":false,"suffix":""},{"dropping-particle":"","family":"Gui","given":"Wen jun","non-dropping-particle":"","parse-names":false,"suffix":""},{"dropping-particle":"","family":"Zhu","given":"Guo nian","non-dropping-particle":"","parse-names":false,"suffix":""}],"container-title":"Environmental Pollution","id":"ITEM-2","issued":{"date-parts":[["2017"]]},"title":"The cardiovascular toxicity of triadimefon in early life stage of zebrafish and potential implications to human health","type":"article-journal"},"uris":["http://www.mendeley.com/documents/?uuid=6cffc67c-80eb-3213-bf6f-4b09ae8f00c9"]}],"mendeley":{"formattedCitation":"[23,24]","plainTextFormattedCitation":"[23,24]","previouslyFormattedCitation":"[23,24]"},"properties":{"noteIndex":0},"schema":"https://github.com/citation-style-language/schema/raw/master/csl-citation.json"}</w:instrText>
      </w:r>
      <w:r w:rsidR="00C50E08">
        <w:rPr>
          <w:lang w:val="en-US"/>
        </w:rPr>
        <w:fldChar w:fldCharType="separate"/>
      </w:r>
      <w:r w:rsidR="00B20EBB" w:rsidRPr="00B20EBB">
        <w:rPr>
          <w:noProof/>
          <w:lang w:val="en-US"/>
        </w:rPr>
        <w:t>[23,24]</w:t>
      </w:r>
      <w:r w:rsidR="00C50E08">
        <w:rPr>
          <w:lang w:val="en-US"/>
        </w:rPr>
        <w:fldChar w:fldCharType="end"/>
      </w:r>
      <w:r>
        <w:rPr>
          <w:lang w:val="en-US"/>
        </w:rPr>
        <w:t xml:space="preserve">,⁠ </w:t>
      </w:r>
      <w:r w:rsidR="00D23374">
        <w:rPr>
          <w:lang w:val="en-US"/>
        </w:rPr>
        <w:t xml:space="preserve">microplastics </w:t>
      </w:r>
      <w:r w:rsidR="00C50E08">
        <w:rPr>
          <w:lang w:val="en-US"/>
        </w:rPr>
        <w:fldChar w:fldCharType="begin" w:fldLock="1"/>
      </w:r>
      <w:r w:rsidR="004746A2">
        <w:rPr>
          <w:lang w:val="en-US"/>
        </w:rPr>
        <w:instrText>ADDIN CSL_CITATION {"citationItems":[{"id":"ITEM-1","itemData":{"DOI":"10.1016/j.scitotenv.2019.134867","ISSN":"18791026","abstract":"Different studies have reported the ecotoxicological effects of polyethylene microplastics (PE MPs) on aquatic organisms; however, little is known about their toxicity in the early life stages of aquatic vertebrates living in freshwater ecosystems. Thus, the aim of the current study is to evaluate the toxicity of PE MPs throughout the development of Danio rerio after their static and semi-static exposure to different concentrations of these pollutants (6.2, 12.5, 25, 50 and 100 mg/L) –models were monitored at different time-periods, namely: 24, 48, 72, 96, 120 and 144 h. Based on the collected data, small PE MP concentrations have harmful effects on D. rerio embryos and larvae; the magnitude and characteristics of these effects depend on the adopted exposure system, which can be static or semi-static. PE MPs had negative effect on embryos’ hatching rate in both exposure systems. However, the early hatching observed during the exposure through the static system could explain the lower larval survival rate after egg hatching. Nevertheless, PE MPs induced significant changes in various morphometric parameters. The present study is the first to assess the addressed topic; therefore, it is recommended to carry out future investigations to broaden the knowledge about PE MP toxicity.","author":[{"dropping-particle":"","family":"Malafaia","given":"Guilherme","non-dropping-particle":"","parse-names":false,"suffix":""},{"dropping-particle":"","family":"Souza","given":"Andreza Martins","non-dropping-particle":"de","parse-names":false,"suffix":""},{"dropping-particle":"","family":"Pereira","given":"Aryelle Canedo","non-dropping-particle":"","parse-names":false,"suffix":""},{"dropping-particle":"","family":"Gonçalves","given":"Stênio","non-dropping-particle":"","parse-names":false,"suffix":""},{"dropping-particle":"","family":"Costa Araújo","given":"Amanda Pereira","non-dropping-particle":"da","parse-names":false,"suffix":""},{"dropping-particle":"","family":"Ribeiro","given":"Renan Xavier","non-dropping-particle":"","parse-names":false,"suffix":""},{"dropping-particle":"","family":"Rocha","given":"Thiago Lopes","non-dropping-particle":"","parse-names":false,"suffix":""}],"container-title":"Science of the Total Environment","id":"ITEM-1","issued":{"date-parts":[["2020"]]},"title":"Developmental toxicity in zebrafish exposed to polyethylene microplastics under static and semi-static aquatic systems","type":"article-journal"},"uris":["http://www.mendeley.com/documents/?uuid=30ff782e-8c9a-3a65-a8e8-1bda9e2a5ed0"]},{"id":"ITEM-2","itemData":{"DOI":"10.1016/j.ecoenv.2019.03.088","ISSN":"10902414","abstract":"Microplastics have been frequently detected in both marine and freshwater ecosystems. Their impact on aquatic organisms has raised much concern. This study investigated the impact of microplastics on zebrafish embryos and larvae, with a special focus on their swimming competence. The zebrafish embryos were exposed to microplastics starting from 4 h post fertilization. Microplastics first adhered to the embryo chorion, then entered the stomach and intestinal tract of the larvae later. In the free swimming test, exposure to 1000 μg/L (around 1.91 × 10 7 particles/L) of microplastics led to a significant decrease in both swimming distance and speed of zebrafish larvae under the dark condition by 3.2% and 3.5% respectively. In the alternating light-to-dark photoperiod stimulation assay, exposure to 100 and 1000 μg/L (around 1.91 × 10 6 and 1.91 × 10 7 particles/L) of microplastics caused a 4.6% and 2.6% decrease in swimming distance, and reduced the active speed by 4.9% and 2.8%, possibly as a result of inhibited dark avoidance in treated zebrafish larvae. At the molecular level, exposure to microplastics induced upregulated expression of inflammation (il1b) and oxidative stress (cat) related genes. This study demonstrates that exposure to microplastics significantly decreases larvae swimming competence, which may have significant impacts on its population fitness in the aquatic environment and further ecological consequences.","author":[{"dropping-particle":"","family":"Qiang","given":"Liyuan","non-dropping-particle":"","parse-names":false,"suffix":""},{"dropping-particle":"","family":"Cheng","given":"Jinping","non-dropping-particle":"","parse-names":false,"suffix":""}],"container-title":"Ecotoxicology and Environmental Safety","id":"ITEM-2","issued":{"date-parts":[["2019"]]},"title":"Exposure to microplastics decreases swimming competence in larval zebrafish (Danio rerio)","type":"article-journal"},"uris":["http://www.mendeley.com/documents/?uuid=0f10a92a-3a77-3a03-b95d-066d3bbcc3bf"]}],"mendeley":{"formattedCitation":"[25,26]","plainTextFormattedCitation":"[25,26]","previouslyFormattedCitation":"[25,26]"},"properties":{"noteIndex":0},"schema":"https://github.com/citation-style-language/schema/raw/master/csl-citation.json"}</w:instrText>
      </w:r>
      <w:r w:rsidR="00C50E08">
        <w:rPr>
          <w:lang w:val="en-US"/>
        </w:rPr>
        <w:fldChar w:fldCharType="separate"/>
      </w:r>
      <w:r w:rsidR="00B20EBB" w:rsidRPr="00B20EBB">
        <w:rPr>
          <w:noProof/>
          <w:lang w:val="en-US"/>
        </w:rPr>
        <w:t>[25,26]</w:t>
      </w:r>
      <w:r w:rsidR="00C50E08">
        <w:rPr>
          <w:lang w:val="en-US"/>
        </w:rPr>
        <w:fldChar w:fldCharType="end"/>
      </w:r>
      <w:r w:rsidR="00D23374">
        <w:rPr>
          <w:lang w:val="en-US"/>
        </w:rPr>
        <w:t xml:space="preserve">, </w:t>
      </w:r>
      <w:r>
        <w:rPr>
          <w:lang w:val="en-US"/>
        </w:rPr>
        <w:t>environmental samples</w:t>
      </w:r>
      <w:bookmarkStart w:id="18" w:name="__Fieldmark__13834_1509016404"/>
      <w:bookmarkEnd w:id="18"/>
      <w:r w:rsidR="002B0446">
        <w:rPr>
          <w:lang w:val="en-US"/>
        </w:rPr>
        <w:t xml:space="preserve"> </w:t>
      </w:r>
      <w:r w:rsidR="00C50E08">
        <w:rPr>
          <w:lang w:val="en-US"/>
        </w:rPr>
        <w:fldChar w:fldCharType="begin" w:fldLock="1"/>
      </w:r>
      <w:r w:rsidR="004746A2">
        <w:rPr>
          <w:lang w:val="en-US"/>
        </w:rPr>
        <w:instrText>ADDIN CSL_CITATION {"citationItems":[{"id":"ITEM-1","itemData":{"DOI":"10.1016/j.watres.2017.02.049","ISSN":"18792448","abstract":"Wastewater treatment plant (WWTP) effluents are often complex mixtures of various organic and inorganic substances. Quality control of wastewaters and sludges has been regulated with measuring several physico-chemical parameters and sometimes using biological methods with non-specific responses, while synergistic action mechanisms of contaminants in such complex mixtures is still unknown. Toxic effects of wastewaters within and downstream of the WWTP in City of Virovitica, Croatia, were tested on zebrafish Danio rerio using a set of biomarkers that enabled an insight in wastewaters toxic potential on embryos at the cellular, tissue and the whole organism level during an early ontogenesis (24 and 48 hpf). Exposure of embryos to the wastewater samples from WWTP Virovitica increased mortality and abnormality rate. Heart rate, spontaneous movements and pigmentation formation were also markedly affected. Biochemical markers confirmed the presence of MXR inhibitors in all tested wastewater samples, indicating the increase of pollutant accumulation in the cell/organism. Also, a tendency of DNA damage decrease measured with Comet assay was evident in wastewater samples downstream from WWTP although control levels were not reached in any environmental sample. Histopathological analysis showed that exposure to tested samples resulted in impaired muscle organization, notochord malformation and retardation in eye and brain development at embryos 48 hpf. Furthermore, semi-quantitative histopathology assessment indicated increased percentage of embryo defects in river water sampled several kilometers downstream from the WWTP, confirming toxic potential of WWTP effluents. Extension of the zebrafish embryotoxicity test (ZET) with biochemical and histopathological biomarkers could serve as a guiding principle in biomonitoring of wastewater contamination.","author":[{"dropping-particle":"","family":"Babić","given":"Sanja","non-dropping-particle":"","parse-names":false,"suffix":""},{"dropping-particle":"","family":"Barišić","given":"Josip","non-dropping-particle":"","parse-names":false,"suffix":""},{"dropping-particle":"","family":"Višić","given":"Hrvoje","non-dropping-particle":"","parse-names":false,"suffix":""},{"dropping-particle":"","family":"Sauerborn Klobučar","given":"Roberta","non-dropping-particle":"","parse-names":false,"suffix":""},{"dropping-particle":"","family":"Topić Popović","given":"Natalija","non-dropping-particle":"","parse-names":false,"suffix":""},{"dropping-particle":"","family":"Strunjak-Perović","given":"Ivančica","non-dropping-particle":"","parse-names":false,"suffix":""},{"dropping-particle":"","family":"Čož-Rakovac","given":"Rozelindra","non-dropping-particle":"","parse-names":false,"suffix":""},{"dropping-particle":"","family":"Klobučar","given":"Göran","non-dropping-particle":"","parse-names":false,"suffix":""}],"container-title":"Water Research","id":"ITEM-1","issued":{"date-parts":[["2017"]]},"title":"Embryotoxic and genotoxic effects of sewage effluents in zebrafish embryo using multiple endpoint testing","type":"article-journal"},"uris":["http://www.mendeley.com/documents/?uuid=a50d48cc-ca41-3c2f-92f2-a6098be7f86a"]},{"id":"ITEM-2","itemData":{"DOI":"10.1016/j.ecoenv.2019.109406","ISSN":"10902414","abstract":"Obesity, a risk factor for the development of type-2 diabetes, hypertension, cardiovascular disease, hepatic steatosis and some cancers, has been ranked in the top 10 health risk in the world by the World Health Organization. Despite the growing body of literature evidencing an association between the obesity epidemic and specific chemical exposure across a wide range of animal taxa, very few studies assessed the effects of chemical mixtures and environmental samples on lipid homeostasis. Additionally, the mode of action of several chemicals reported to alter lipid homeostasis is still poorly understood. Aiming to fill some of these gaps, we combined an in vivo assay with the model species zebrafish (Danio rerio) to screen lipid accumulation and evaluate expression changes of key genes involved in lipid homeostasis, alongside with an in vitro transactivation assay using human and zebrafish nuclear receptors, retinoid X receptor α and peroxisome proliferator-activated receptor γ. Zebrafish larvae were exposed from 4 th day post-fertilization until the end of the experiment (day 18), to six different treatments: experimental control, solvent control, tributyltin at 100 ng/L Sn and 200 ng/L Sn (positive control), and wastewater treatment plant influent at 1.25% and 2.5%. Exposure to tributyltin and to 2.5% influent led to a significant accumulation of lipids, with white adipose tissue deposits concentrating in the perivisceral area. The highest in vitro tested influent concentration (10%) was able to significantly transactivate the human heterodimer PPARγ/RXRα, thus suggesting the presence in the influent of HsPPARγ/RXRα agonists. Our results demonstrate, for the first time, the ability of complex environmental samples from a municipal waste water treatment plant influent to induce lipid accumulation in zebrafish larvae.","author":[{"dropping-particle":"","family":"Barbosa","given":"Mélanie Audrey Gomes","non-dropping-particle":"","parse-names":false,"suffix":""},{"dropping-particle":"","family":"Capela","given":"Ricardo","non-dropping-particle":"","parse-names":false,"suffix":""},{"dropping-particle":"","family":"Rodolfo","given":"J.","non-dropping-particle":"","parse-names":false,"suffix":""},{"dropping-particle":"","family":"Fonseca","given":"Elza","non-dropping-particle":"","parse-names":false,"suffix":""},{"dropping-particle":"","family":"Montes","given":"Rosa","non-dropping-particle":"","parse-names":false,"suffix":""},{"dropping-particle":"","family":"André","given":"Ana","non-dropping-particle":"","parse-names":false,"suffix":""},{"dropping-particle":"","family":"Capitão","given":"Ana","non-dropping-particle":"","parse-names":false,"suffix":""},{"dropping-particle":"","family":"Carvalho","given":"António Paulo","non-dropping-particle":"","parse-names":false,"suffix":""},{"dropping-particle":"","family":"Quintana","given":"José Benito","non-dropping-particle":"","parse-names":false,"suffix":""},{"dropping-particle":"","family":"Castro","given":"L. Filipe C.","non-dropping-particle":"","parse-names":false,"suffix":""},{"dropping-particle":"","family":"Santos","given":"Miguel Machado","non-dropping-particle":"","parse-names":false,"suffix":""}],"container-title":"Ecotoxicology and Environmental Safety","id":"ITEM-2","issued":{"date-parts":[["2019"]]},"title":"Linking chemical exposure to lipid homeostasis: A municipal waste water treatment plant influent is obesogenic for zebrafish larvae","type":"article-journal"},"uris":["http://www.mendeley.com/documents/?uuid=a9833352-74ea-3285-8e96-9e130219d800"]},{"id":"ITEM-3","itemData":{"DOI":"10.1007/s11356-013-2193-9","ISSN":"09441344","abstract":"Pollution from urban highway runoff has been identified as one of the major causes of the deterioration of receiving water quality. The purpose of this study is to assess the toxicity of urban storm water samples in Shanghai using the zebrafish (Danio rerio) embryo test and the bacterial luminescence (Vibrio qinghaiensis) assay. The toxicity of highway runoff from seventeen storm events was investigated in both grab and composite samples. Zebrafish embryos were exposed to the runoff samples and development parameters including lethality, spontaneous movements in 20 s, heart beat rate, hatching rate, and abnormality of zebrafish embryos were observed after 24, 48, 72, and 96 h of exposure. Inhibition rates of luminescence intensity were also recorded. The results showed that in the zebrafish embryo toxicity tests, both grab and composite samples increased the lethality, reduced the percentage with spontaneous movements and heart beats, inhibited the hatching of embryos, and induced morphological abnormalities. In the Vibrio qinghaiensis toxicity test, all the grab samples inhibited the luminescence, while some of the composite samples promoted it, which indicated that different types of toxicants might have been affecting the species. The multivariate statistics analysis indicated that heavy metal (zinc, manganese, and copper) and PAHs might mainly contribute to the toxicity of runoff samples. © 2013 Springer-Verlag Berlin Heidelberg.","author":[{"dropping-particle":"","family":"Wu","given":"Lingling","non-dropping-particle":"","parse-names":false,"suffix":""},{"dropping-particle":"","family":"Jiang","given":"Yue","non-dropping-particle":"","parse-names":false,"suffix":""},{"dropping-particle":"","family":"Zhang","given":"Lili","non-dropping-particle":"","parse-names":false,"suffix":""},{"dropping-particle":"","family":"Chen","given":"Ling","non-dropping-particle":"","parse-names":false,"suffix":""},{"dropping-particle":"","family":"Zhang","given":"Haiping","non-dropping-particle":"","parse-names":false,"suffix":""}],"container-title":"Environmental Science and Pollution Research","id":"ITEM-3","issued":{"date-parts":[["2014"]]},"title":"Toxicity of urban highway runoff in Shanghai to Zebrafish (Danio rerio) embryos and luminous bacteria (Vibrio qinghaiensis.Q67)","type":"article-journal"},"uris":["http://www.mendeley.com/documents/?uuid=89d3362b-79f8-3c0c-9bd9-2ade0a2d28eb"]}],"mendeley":{"formattedCitation":"[27–29]","plainTextFormattedCitation":"[27–29]","previouslyFormattedCitation":"[27–29]"},"properties":{"noteIndex":0},"schema":"https://github.com/citation-style-language/schema/raw/master/csl-citation.json"}</w:instrText>
      </w:r>
      <w:r w:rsidR="00C50E08">
        <w:rPr>
          <w:lang w:val="en-US"/>
        </w:rPr>
        <w:fldChar w:fldCharType="separate"/>
      </w:r>
      <w:r w:rsidR="00B20EBB" w:rsidRPr="00B20EBB">
        <w:rPr>
          <w:noProof/>
          <w:lang w:val="en-US"/>
        </w:rPr>
        <w:t>[27–29]</w:t>
      </w:r>
      <w:r w:rsidR="00C50E08">
        <w:rPr>
          <w:lang w:val="en-US"/>
        </w:rPr>
        <w:fldChar w:fldCharType="end"/>
      </w:r>
      <w:r>
        <w:rPr>
          <w:lang w:val="en-US"/>
        </w:rPr>
        <w:t>, but also nanoparticles</w:t>
      </w:r>
      <w:bookmarkStart w:id="19" w:name="__Fieldmark__13839_1509016404"/>
      <w:bookmarkEnd w:id="19"/>
      <w:r w:rsidR="002B0446">
        <w:rPr>
          <w:lang w:val="en-US"/>
        </w:rPr>
        <w:t xml:space="preserve"> </w:t>
      </w:r>
      <w:r w:rsidR="00C50E08">
        <w:rPr>
          <w:lang w:val="en-US"/>
        </w:rPr>
        <w:fldChar w:fldCharType="begin" w:fldLock="1"/>
      </w:r>
      <w:r w:rsidR="004746A2">
        <w:rPr>
          <w:lang w:val="en-US"/>
        </w:rPr>
        <w:instrText>ADDIN CSL_CITATION {"citationItems":[{"id":"ITEM-1","itemData":{"DOI":"10.1016/j.jhazmat.2017.12.060","ISSN":"18733336","abstract":"As the worldwide application of silver nanomaterials in commercial products increases every year, and concern about the environmental risks of such nanoparticles also grows. A clear understanding of how different characteristics of nanoparticles contribute in their toxic behavior to organisms are imperative for predicting and control nanotoxicity. Within our research, we investigated the toxic effect of two types of silver nanoparticles (spherical and flat Ag nanoparticles) on zebrafish (Danio rerio) embryos. Particular interest was paid to proper characterization of Ag nanoparticles initially and during the experiment. A proper test medium was found and used for ecotoxicity evaluation. The behavior of flat silver nanoparticles with respect to embryos of zebrafish was analyzed and compared to the ecotoxicity of silver ionic form (AgNO3). Both types of nanoparticles showed a more pronounced toxic effect to Danio rerio embryos than silver ions (AgNO3), while silver nanoplates were more harmful than Ag nanospheres. While previous investigations showed that toxicity of Ag nanoparticles can be explained by the presence of Ag+ in solution of silver nanoparticles, our results demonstrate that the harmful effects of nanosilver may be associated with silver nanoparticles themselves than with ionic silver released into solution.","author":[{"dropping-particle":"","family":"Abramenko","given":"Natalia B.","non-dropping-particle":"","parse-names":false,"suffix":""},{"dropping-particle":"","family":"Demidova","given":"Tatiana B.","non-dropping-particle":"","parse-names":false,"suffix":""},{"dropping-particle":"V.","family":"Abkhalimov","given":"Еvgeny","non-dropping-particle":"","parse-names":false,"suffix":""},{"dropping-particle":"","family":"Ershov","given":"Boris G.","non-dropping-particle":"","parse-names":false,"suffix":""},{"dropping-particle":"","family":"Krysanov","given":"Eugene Yu","non-dropping-particle":"","parse-names":false,"suffix":""},{"dropping-particle":"","family":"Kustov","given":"Leonid M.","non-dropping-particle":"","parse-names":false,"suffix":""}],"container-title":"Journal of Hazardous Materials","id":"ITEM-1","issued":{"date-parts":[["2018"]]},"title":"Ecotoxicity of different-shaped silver nanoparticles: Case of zebrafish embryos","type":"article-journal"},"uris":["http://www.mendeley.com/documents/?uuid=8bcefaa8-2fb7-3f18-9846-639351384beb"]},{"id":"ITEM-2","itemData":{"DOI":"10.3109/17435390.2015.1102981","ISSN":"17435404","abstract":"The toxicity mechanism of nanoparticles on vertebrate cardiovascular system is still unclear, especially on the low-level exposure. This study was to explore the toxic effect and mechanisms of low-dose exposure of silica nanoparticles (SiNPs) on cardiac function in zebrafish embryos via the intravenous microinjection. The dosage of SiNPs was based on the no observed adverse effect level (NOAEL) of malformation assessment in zebrafish embryos. The mainly cardiac toxicity phenotypes induced by SiNPs were pericardial edema and bradycardia but had no effect on atrioventricular block. Using o-Dianisidine for erythrocyte staining, the cardiac output of zebrafish embryos was decreased in a dose-dependent manner. Microarray analysis and bioinformatics analysis were performed to screen the differential expression genes and possible pathway involved in cardiac function. SiNPs induced whole-embryo oxidative stress and neutrophil-mediated cardiac inflammation in Tg(mpo:GFP) zebrafish. Inflammatory cells were observed in atrium of SiNPs-treated zebrafish heart by histopathological examination. In addition, the expression of TNNT2 protein, a cardiac contraction marker in heart tissue had been down-regulated compared to control group using immunohistochemistry. Confirmed by qRT-PCR and western blot assays, results showed that SiNPs inhibited the calcium signaling pathway and cardiac muscle contraction via the down-regulated of related genes, such as ATPase-related genes (atp2a1l, atp1b2b, atp1a3b), calcium channel-related genes (cacna1ab, cacna1da) and the regulatory gene tnnc1a for cardiac troponin C. Moreover, the protein level of TNNT2 was decreased in a dose-dependent manner. For the first time, our results demonstrated that SiNPs induced cardiac dysfunction via the neutrophil-mediated cardiac inflammation and cardiac contraction in zebrafish embryos.","author":[{"dropping-particle":"","family":"Duan","given":"Junchao","non-dropping-particle":"","parse-names":false,"suffix":""},{"dropping-particle":"","family":"Yu","given":"Yang","non-dropping-particle":"","parse-names":false,"suffix":""},{"dropping-particle":"","family":"Li","given":"Yang","non-dropping-particle":"","parse-names":false,"suffix":""},{"dropping-particle":"","family":"Li","given":"Yanbo","non-dropping-particle":"","parse-names":false,"suffix":""},{"dropping-particle":"","family":"Liu","given":"Hongcui","non-dropping-particle":"","parse-names":false,"suffix":""},{"dropping-particle":"","family":"Jing","given":"Li","non-dropping-particle":"","parse-names":false,"suffix":""},{"dropping-particle":"","family":"Yang","given":"Man","non-dropping-particle":"","parse-names":false,"suffix":""},{"dropping-particle":"","family":"Wang","given":"Ji","non-dropping-particle":"","parse-names":false,"suffix":""},{"dropping-particle":"","family":"Li","given":"Chunqi","non-dropping-particle":"","parse-names":false,"suffix":""},{"dropping-particle":"","family":"Sun","given":"Zhiwei","non-dropping-particle":"","parse-names":false,"suffix":""}],"container-title":"Nanotoxicology","id":"ITEM-2","issued":{"date-parts":[["2016"]]},"title":"Low-dose exposure of silica nanoparticles induces cardiac dysfunction via neutrophil-mediated inflammation and cardiac contraction in zebrafish embryos","type":"article-journal"},"uris":["http://www.mendeley.com/documents/?uuid=c4a05441-d91b-31c2-a8f9-7e4f866778d1"]},{"id":"ITEM-3","itemData":{"DOI":"10.1016/j.ecoenv.2015.08.009","ISSN":"10902414","abstract":"Magnesium oxide nanoparticles (MgONPs) are used in medicine, manufacturing and food industries. Because of their extensive application in our daily lives, environmental exposure to these nanoparticles is inevitable. The present study examined the effects of MgONPs on zebrafish ( Danio rerio) early developmental stages. The results showed that, at different concentrations, MgONPs induced cellular apoptosis and intracellular reactive oxygen species. The hatching rate and survival of embryos decreased in a dose dependent manner. The 96-h LC50 value of MgONPs on zebrafish survival was 428. mg/l and the 48-h EC50 value of MgONPs on zebrafish embryo hatching rate was 175. mg/l. Moreover different types of malformation were observed in exposed embryos. The results demonstrate the toxic effects of MgONPs on zebrafish embryos and emphasize the need for further studies.","author":[{"dropping-particle":"","family":"Ghobadian","given":"Mehdi","non-dropping-particle":"","parse-names":false,"suffix":""},{"dropping-particle":"","family":"Nabiuni","given":"Mohammad","non-dropping-particle":"","parse-names":false,"suffix":""},{"dropping-particle":"","family":"Parivar","given":"Kazem","non-dropping-particle":"","parse-names":false,"suffix":""},{"dropping-particle":"","family":"Fathi","given":"Mojtaba","non-dropping-particle":"","parse-names":false,"suffix":""},{"dropping-particle":"","family":"Pazooki","given":"Jamileh","non-dropping-particle":"","parse-names":false,"suffix":""}],"container-title":"Ecotoxicology and Environmental Safety","id":"ITEM-3","issued":{"date-parts":[["2015"]]},"title":"Toxic effects of magnesium oxide nanoparticles on early developmental and larval stages of zebrafish (Danio rerio)","type":"article-journal"},"uris":["http://www.mendeley.com/documents/?uuid=2c2eb8f7-2021-3ed2-8c7f-1c0d5e044312"]}],"mendeley":{"formattedCitation":"[30–32]","plainTextFormattedCitation":"[30–32]","previouslyFormattedCitation":"[30–32]"},"properties":{"noteIndex":0},"schema":"https://github.com/citation-style-language/schema/raw/master/csl-citation.json"}</w:instrText>
      </w:r>
      <w:r w:rsidR="00C50E08">
        <w:rPr>
          <w:lang w:val="en-US"/>
        </w:rPr>
        <w:fldChar w:fldCharType="separate"/>
      </w:r>
      <w:r w:rsidR="00B20EBB" w:rsidRPr="00B20EBB">
        <w:rPr>
          <w:noProof/>
          <w:lang w:val="en-US"/>
        </w:rPr>
        <w:t>[30–32]</w:t>
      </w:r>
      <w:r w:rsidR="00C50E08">
        <w:rPr>
          <w:lang w:val="en-US"/>
        </w:rPr>
        <w:fldChar w:fldCharType="end"/>
      </w:r>
      <w:r w:rsidR="00E86460">
        <w:rPr>
          <w:lang w:val="en-US"/>
        </w:rPr>
        <w:t>.</w:t>
      </w:r>
    </w:p>
    <w:p w14:paraId="6EDE46C0" w14:textId="0B4B2DC3" w:rsidR="00F02E89" w:rsidRDefault="00E01693">
      <w:pPr>
        <w:spacing w:line="360" w:lineRule="auto"/>
        <w:jc w:val="both"/>
      </w:pPr>
      <w:r>
        <w:rPr>
          <w:lang w:val="en-US"/>
        </w:rPr>
        <w:t xml:space="preserve">Herein we provided the comprehensive insight into the impact of two nanosized zeolite beta </w:t>
      </w:r>
      <w:r w:rsidR="0030392A" w:rsidRPr="00A215E5">
        <w:rPr>
          <w:highlight w:val="yellow"/>
          <w:lang w:val="en-US"/>
        </w:rPr>
        <w:t>particles sizes</w:t>
      </w:r>
      <w:r>
        <w:rPr>
          <w:lang w:val="en-US"/>
        </w:rPr>
        <w:t xml:space="preserve"> on zebrafish </w:t>
      </w:r>
      <w:r>
        <w:rPr>
          <w:i/>
          <w:lang w:val="en-US"/>
        </w:rPr>
        <w:t xml:space="preserve">Danio </w:t>
      </w:r>
      <w:proofErr w:type="spellStart"/>
      <w:r>
        <w:rPr>
          <w:i/>
          <w:lang w:val="en-US"/>
        </w:rPr>
        <w:t>rerio</w:t>
      </w:r>
      <w:proofErr w:type="spellEnd"/>
      <w:r>
        <w:rPr>
          <w:lang w:val="en-US"/>
        </w:rPr>
        <w:t xml:space="preserve"> embryonic development. For the preparation of nanosized zeolite beta the presence of organic structure-directing agent (OSDA), tetraethylammonium hydroxide (TEAOH), is indispensable </w:t>
      </w:r>
      <w:r w:rsidR="00C50E08">
        <w:rPr>
          <w:lang w:val="en-US"/>
        </w:rPr>
        <w:fldChar w:fldCharType="begin" w:fldLock="1"/>
      </w:r>
      <w:r w:rsidR="00C50E08">
        <w:rPr>
          <w:lang w:val="en-US"/>
        </w:rPr>
        <w:instrText>ADDIN CSL_CITATION {"citationItems":[{"id":"ITEM-1","itemData":{"DOI":"10.1039/c4en00031e","ISSN":"20518161","abstract":"Zeolites and mesoporous silica nanoparticles are silicate or aluminosilicate nanomaterials with well-defined pore networks. Zeolites are widely used in industry for applications such as catalysis, separations and gas adsorption. Mesoporous silica nanomaterials have not been as extensively applied relative to zeolites due to the cost and reduced thermal stability, but are being intensively investigated for potential environmental and biomedical applications. In this article, zeolite and mesoporous silica nanomaterials are reviewed with emphasis on connections to the environment. Specifically, the topics of greener syntheses, environmental applications and biological toxicity will be addressed. Both of these materials are typically synthesized with a template, which is then removed to produce the pore volume. Synthetic strategies for the \"greening\" of the syntheses of zeolites and mesoporous silica will be discussed. Environmental applications including the adsorption of environmental contaminants and environmental catalysis will also be presented. Finally, the toxicity of zeolite and mesoporous silica nanomaterials will be considered.","author":[{"dropping-particle":"","family":"Lehman","given":"Sean E.","non-dropping-particle":"","parse-names":false,"suffix":""},{"dropping-particle":"","family":"Larsen","given":"Sarah C.","non-dropping-particle":"","parse-names":false,"suffix":""}],"container-title":"Environmental Science: Nano","id":"ITEM-1","issued":{"date-parts":[["2014"]]},"title":"Zeolite and mesoporous silica nanomaterials: Greener syntheses, environmental applications and biological toxicity","type":"article"},"uris":["http://www.mendeley.com/documents/?uuid=0544bd28-0a44-381f-93b7-14338631e6b3"]}],"mendeley":{"formattedCitation":"[5]","plainTextFormattedCitation":"[5]","previouslyFormattedCitation":"[5]"},"properties":{"noteIndex":0},"schema":"https://github.com/citation-style-language/schema/raw/master/csl-citation.json"}</w:instrText>
      </w:r>
      <w:r w:rsidR="00C50E08">
        <w:rPr>
          <w:lang w:val="en-US"/>
        </w:rPr>
        <w:fldChar w:fldCharType="separate"/>
      </w:r>
      <w:r w:rsidR="00C50E08" w:rsidRPr="00C50E08">
        <w:rPr>
          <w:noProof/>
          <w:lang w:val="en-US"/>
        </w:rPr>
        <w:t>[5]</w:t>
      </w:r>
      <w:r w:rsidR="00C50E08">
        <w:rPr>
          <w:lang w:val="en-US"/>
        </w:rPr>
        <w:fldChar w:fldCharType="end"/>
      </w:r>
      <w:r>
        <w:rPr>
          <w:lang w:val="en-US"/>
        </w:rPr>
        <w:t>. Namely, the TEA</w:t>
      </w:r>
      <w:r>
        <w:rPr>
          <w:vertAlign w:val="superscript"/>
          <w:lang w:val="en-US"/>
        </w:rPr>
        <w:t>+</w:t>
      </w:r>
      <w:r>
        <w:rPr>
          <w:lang w:val="en-US"/>
        </w:rPr>
        <w:t xml:space="preserve"> cations assemble the porous zeolite network and thus are located within zeolite voids, i.e. distributed throughout the crystal. Prior to any application, OSDA has to be removed from the pores by calcination of the samples</w:t>
      </w:r>
      <w:bookmarkStart w:id="20" w:name="__Fieldmark__13875_1509016404"/>
      <w:bookmarkEnd w:id="20"/>
      <w:r w:rsidR="002B0446">
        <w:rPr>
          <w:lang w:val="en-US"/>
        </w:rPr>
        <w:t xml:space="preserve"> </w:t>
      </w:r>
      <w:r w:rsidR="00C50E08">
        <w:rPr>
          <w:lang w:val="en-US"/>
        </w:rPr>
        <w:fldChar w:fldCharType="begin" w:fldLock="1"/>
      </w:r>
      <w:r w:rsidR="004746A2">
        <w:rPr>
          <w:lang w:val="en-US"/>
        </w:rPr>
        <w:instrText>ADDIN CSL_CITATION {"citationItems":[{"id":"ITEM-1","itemData":{"DOI":"10.1021/cm048799r","ISSN":"08974756","abstract":"All-silica BEA-type (Si-BEA) zeolite readily crystallizes in fluoride quasi-neutral media, while its synthesis under basic conditions is difficult. To compare the morphological features of BEA-type materials synthesized in quasi-neutral and basic media, a two-step nucleation procedure, which allows controlled synthesis of Si-BEA under basic conditions, was developed. The procedure consists of (i) aging of the initial system at a close to neutral pH, and (ii) raising the pH and a secondary aging in basic media. This procedure was further employed to study the effect of the synthesis formulation, especially its sodium and potassium content, on the crystal morphology of Si-BEA. With an increase in the pH of the system, a gradual decrease of the size of the pyramidal (h0l) face coupled with an increase of the pinacoidal (00l) face was observed. Thus, the morphology of zeolite crystals can be varied from well-developed truncated bipyramids to platelike crystals, where the pinacoidal face is dominant. A consequence of this morphological change is the different representation of the channel systems running along the a and c axes at the crystal surface. Potassium-containing systems provided products with bimodal crystal size distribution without changes in the crystal habit. The amount of K+ was correlated with the generation of small crystals, indicating its influence on the nucleation process. Small concentrations of sodium did not bring along substantial changes in the morphology of BEA-type crystals. At higher concentration, Na+ had a pronounced structure-breaking effect, and no crystalline product was obtained. The framework defectness and hydrophobicity of the materials synthesized in basic media were studied by 29Si NMR spectroscopy and TG analyses, which revealed that the alkali-free materials possessed a concentration of defect sites and hydrophobicity similar to that of the sample obtained under fluoride quasi-neutral conditions.","author":[{"dropping-particle":"","family":"Larlus","given":"Olivier","non-dropping-particle":"","parse-names":false,"suffix":""},{"dropping-particle":"","family":"Valtchev","given":"Valentin P.","non-dropping-particle":"","parse-names":false,"suffix":""}],"container-title":"Chemistry of Materials","id":"ITEM-1","issued":{"date-parts":[["2005"]]},"title":"Control of the morphology of all-silica BEA-type zeolite synthesized in basic media","type":"article-journal"},"uris":["http://www.mendeley.com/documents/?uuid=49d78a78-fd39-39dc-a92c-89920870859a"]}],"mendeley":{"formattedCitation":"[33]","plainTextFormattedCitation":"[33]","previouslyFormattedCitation":"[33]"},"properties":{"noteIndex":0},"schema":"https://github.com/citation-style-language/schema/raw/master/csl-citation.json"}</w:instrText>
      </w:r>
      <w:r w:rsidR="00C50E08">
        <w:rPr>
          <w:lang w:val="en-US"/>
        </w:rPr>
        <w:fldChar w:fldCharType="separate"/>
      </w:r>
      <w:r w:rsidR="00B20EBB" w:rsidRPr="00B20EBB">
        <w:rPr>
          <w:noProof/>
          <w:lang w:val="en-US"/>
        </w:rPr>
        <w:t>[33]</w:t>
      </w:r>
      <w:r w:rsidR="00C50E08">
        <w:rPr>
          <w:lang w:val="en-US"/>
        </w:rPr>
        <w:fldChar w:fldCharType="end"/>
      </w:r>
      <w:r>
        <w:rPr>
          <w:lang w:val="en-US"/>
        </w:rPr>
        <w:t xml:space="preserve">.⁠ For this reason, both calcined and non-calcined zeolite materials have been investigated. Firstly, the physicochemical characterization of the prepared samples has been performed by a set of complementary techniques. Subsequently, </w:t>
      </w:r>
      <w:r>
        <w:rPr>
          <w:i/>
          <w:lang w:val="en-US"/>
        </w:rPr>
        <w:t xml:space="preserve">D. </w:t>
      </w:r>
      <w:proofErr w:type="spellStart"/>
      <w:r>
        <w:rPr>
          <w:i/>
          <w:lang w:val="en-US"/>
        </w:rPr>
        <w:t>rerio</w:t>
      </w:r>
      <w:proofErr w:type="spellEnd"/>
      <w:r>
        <w:rPr>
          <w:lang w:val="en-US"/>
        </w:rPr>
        <w:t xml:space="preserve"> embryos were exposed to calcined and non-calcined nanosized zeolite samples, but also to the TEAOH in concentrations corresponding to the ones present in zeolite samples. During zebrafish embryotoxicity test (ZET) special attention was given to sublethal effects, which were supplemented with molecular modeling in order to elucidate the mechanism of the observed effect of delayed hatching. The additional extent to the ZET test was done in terms of quantifying toxic effects at the cellular level by recording apoptotic cells and reactive oxygen species (ROS) formation. Taken together, multiple biological endpoints used in this study within one model organism proved to be a valuable and reliable basis for determining the impact of zeolite beta nanoparticles.</w:t>
      </w:r>
    </w:p>
    <w:p w14:paraId="0D9DE014" w14:textId="77777777" w:rsidR="00F02E89" w:rsidRDefault="00F02E89">
      <w:pPr>
        <w:spacing w:line="360" w:lineRule="auto"/>
        <w:jc w:val="both"/>
        <w:rPr>
          <w:lang w:val="en-US"/>
        </w:rPr>
      </w:pPr>
    </w:p>
    <w:p w14:paraId="7CAA2372" w14:textId="77777777" w:rsidR="00F02E89" w:rsidRDefault="00E01693">
      <w:pPr>
        <w:spacing w:line="360" w:lineRule="auto"/>
        <w:contextualSpacing/>
        <w:jc w:val="both"/>
        <w:outlineLvl w:val="0"/>
        <w:rPr>
          <w:b/>
          <w:bCs/>
          <w:lang w:val="en-US"/>
        </w:rPr>
      </w:pPr>
      <w:r>
        <w:rPr>
          <w:b/>
          <w:bCs/>
          <w:lang w:val="en-US"/>
        </w:rPr>
        <w:t>2.0. Materials and methods</w:t>
      </w:r>
    </w:p>
    <w:p w14:paraId="261ED7DC" w14:textId="77777777" w:rsidR="00F02E89" w:rsidRDefault="00F02E89">
      <w:pPr>
        <w:spacing w:line="360" w:lineRule="auto"/>
        <w:contextualSpacing/>
        <w:jc w:val="both"/>
        <w:rPr>
          <w:b/>
          <w:lang w:val="en-US"/>
        </w:rPr>
      </w:pPr>
    </w:p>
    <w:p w14:paraId="084BC7C0" w14:textId="77777777" w:rsidR="00F02E89" w:rsidRDefault="00E01693">
      <w:pPr>
        <w:spacing w:line="360" w:lineRule="auto"/>
        <w:contextualSpacing/>
        <w:jc w:val="both"/>
        <w:outlineLvl w:val="0"/>
        <w:rPr>
          <w:b/>
          <w:bCs/>
          <w:lang w:val="en-US"/>
        </w:rPr>
      </w:pPr>
      <w:r>
        <w:rPr>
          <w:b/>
          <w:bCs/>
          <w:lang w:val="en-US"/>
        </w:rPr>
        <w:t>2.1. Chemicals</w:t>
      </w:r>
    </w:p>
    <w:p w14:paraId="5E3AC666" w14:textId="455317B5" w:rsidR="00F02E89" w:rsidRDefault="00E01693">
      <w:pPr>
        <w:spacing w:line="360" w:lineRule="auto"/>
        <w:contextualSpacing/>
        <w:jc w:val="both"/>
        <w:outlineLvl w:val="0"/>
        <w:rPr>
          <w:lang w:val="en-US" w:eastAsia="hr-HR"/>
        </w:rPr>
      </w:pPr>
      <w:r>
        <w:rPr>
          <w:lang w:val="en-US" w:eastAsia="hr-HR"/>
        </w:rPr>
        <w:t xml:space="preserve">Tetraethylammonium hydroxide (35% water solution; TEAOH), fumed silica (99.80%), </w:t>
      </w:r>
      <w:proofErr w:type="spellStart"/>
      <w:r>
        <w:rPr>
          <w:lang w:val="en-US" w:eastAsia="hr-HR"/>
        </w:rPr>
        <w:t>aluminium</w:t>
      </w:r>
      <w:proofErr w:type="spellEnd"/>
      <w:r>
        <w:rPr>
          <w:lang w:val="en-US" w:eastAsia="hr-HR"/>
        </w:rPr>
        <w:t xml:space="preserve"> </w:t>
      </w:r>
      <w:proofErr w:type="spellStart"/>
      <w:r>
        <w:rPr>
          <w:lang w:val="en-US" w:eastAsia="hr-HR"/>
        </w:rPr>
        <w:t>isopropoxide</w:t>
      </w:r>
      <w:proofErr w:type="spellEnd"/>
      <w:r>
        <w:rPr>
          <w:lang w:val="en-US" w:eastAsia="hr-HR"/>
        </w:rPr>
        <w:t xml:space="preserve"> (98%), </w:t>
      </w:r>
      <w:proofErr w:type="spellStart"/>
      <w:r>
        <w:rPr>
          <w:lang w:val="en-US" w:eastAsia="hr-HR"/>
        </w:rPr>
        <w:t>Ludox</w:t>
      </w:r>
      <w:proofErr w:type="spellEnd"/>
      <w:r>
        <w:rPr>
          <w:lang w:val="en-US" w:eastAsia="hr-HR"/>
        </w:rPr>
        <w:t xml:space="preserve"> HS-30, acridine orange (AO), 2′,7′-dichlorofluorescin diacetate (DFC), ethyl 3-aminobenzoate </w:t>
      </w:r>
      <w:proofErr w:type="spellStart"/>
      <w:r>
        <w:rPr>
          <w:lang w:val="en-US" w:eastAsia="hr-HR"/>
        </w:rPr>
        <w:t>methanesulfonate</w:t>
      </w:r>
      <w:proofErr w:type="spellEnd"/>
      <w:r>
        <w:rPr>
          <w:lang w:val="en-US" w:eastAsia="hr-HR"/>
        </w:rPr>
        <w:t xml:space="preserve"> salt (MS-222), as well as calcium chloride dihydrate (p.a.), magnesium sulfate heptahydrate (98%) sodium bicarbonate (p.a.) were obtained from Sigma Aldrich (Germany). Potassium hydroxide (pellets, 85%) and sodium </w:t>
      </w:r>
      <w:r>
        <w:rPr>
          <w:lang w:val="en-US" w:eastAsia="hr-HR"/>
        </w:rPr>
        <w:lastRenderedPageBreak/>
        <w:t xml:space="preserve">hydroxide (pellets, 98%) were obtained from </w:t>
      </w:r>
      <w:proofErr w:type="spellStart"/>
      <w:r>
        <w:rPr>
          <w:lang w:val="en-US" w:eastAsia="hr-HR"/>
        </w:rPr>
        <w:t>Kemika</w:t>
      </w:r>
      <w:proofErr w:type="spellEnd"/>
      <w:r>
        <w:rPr>
          <w:lang w:val="en-US" w:eastAsia="hr-HR"/>
        </w:rPr>
        <w:t xml:space="preserve"> (Croatia), while sodium aluminate (54% Al</w:t>
      </w:r>
      <w:r>
        <w:rPr>
          <w:vertAlign w:val="subscript"/>
          <w:lang w:val="en-US" w:eastAsia="hr-HR"/>
        </w:rPr>
        <w:t>2</w:t>
      </w:r>
      <w:r>
        <w:rPr>
          <w:lang w:val="en-US" w:eastAsia="hr-HR"/>
        </w:rPr>
        <w:t>O</w:t>
      </w:r>
      <w:r>
        <w:rPr>
          <w:vertAlign w:val="subscript"/>
          <w:lang w:val="en-US" w:eastAsia="hr-HR"/>
        </w:rPr>
        <w:t>3</w:t>
      </w:r>
      <w:r>
        <w:rPr>
          <w:lang w:val="en-US" w:eastAsia="hr-HR"/>
        </w:rPr>
        <w:t xml:space="preserve">) was purchased from Honeywell Riedel-de </w:t>
      </w:r>
      <w:proofErr w:type="spellStart"/>
      <w:r>
        <w:rPr>
          <w:lang w:val="en-US" w:eastAsia="hr-HR"/>
        </w:rPr>
        <w:t>Haën</w:t>
      </w:r>
      <w:proofErr w:type="spellEnd"/>
      <w:r>
        <w:rPr>
          <w:lang w:val="en-US" w:eastAsia="hr-HR"/>
        </w:rPr>
        <w:t xml:space="preserve"> AG (Germany).</w:t>
      </w:r>
      <w:r w:rsidR="00B8506D" w:rsidRPr="00B8506D">
        <w:rPr>
          <w:color w:val="333333"/>
        </w:rPr>
        <w:t xml:space="preserve"> </w:t>
      </w:r>
      <w:proofErr w:type="spellStart"/>
      <w:r w:rsidR="00B8506D" w:rsidRPr="00A215E5">
        <w:rPr>
          <w:color w:val="333333"/>
          <w:highlight w:val="yellow"/>
        </w:rPr>
        <w:t>Artificial</w:t>
      </w:r>
      <w:proofErr w:type="spellEnd"/>
      <w:r w:rsidR="00B8506D" w:rsidRPr="00A215E5">
        <w:rPr>
          <w:color w:val="333333"/>
          <w:highlight w:val="yellow"/>
        </w:rPr>
        <w:t xml:space="preserve"> water </w:t>
      </w:r>
      <w:proofErr w:type="spellStart"/>
      <w:r w:rsidR="00B8506D" w:rsidRPr="00A215E5">
        <w:rPr>
          <w:color w:val="333333"/>
          <w:highlight w:val="yellow"/>
        </w:rPr>
        <w:t>was</w:t>
      </w:r>
      <w:proofErr w:type="spellEnd"/>
      <w:r w:rsidR="00B8506D" w:rsidRPr="00A215E5">
        <w:rPr>
          <w:color w:val="333333"/>
          <w:highlight w:val="yellow"/>
        </w:rPr>
        <w:t xml:space="preserve"> </w:t>
      </w:r>
      <w:proofErr w:type="spellStart"/>
      <w:r w:rsidR="00B8506D" w:rsidRPr="00A215E5">
        <w:rPr>
          <w:color w:val="333333"/>
          <w:highlight w:val="yellow"/>
        </w:rPr>
        <w:t>prepared</w:t>
      </w:r>
      <w:proofErr w:type="spellEnd"/>
      <w:r w:rsidR="00B8506D" w:rsidRPr="00A215E5">
        <w:rPr>
          <w:color w:val="333333"/>
          <w:highlight w:val="yellow"/>
        </w:rPr>
        <w:t xml:space="preserve"> </w:t>
      </w:r>
      <w:proofErr w:type="spellStart"/>
      <w:r w:rsidR="00B8506D" w:rsidRPr="00A215E5">
        <w:rPr>
          <w:color w:val="333333"/>
          <w:highlight w:val="yellow"/>
        </w:rPr>
        <w:t>by</w:t>
      </w:r>
      <w:proofErr w:type="spellEnd"/>
      <w:r w:rsidR="00B8506D" w:rsidRPr="00A215E5">
        <w:rPr>
          <w:color w:val="333333"/>
          <w:highlight w:val="yellow"/>
        </w:rPr>
        <w:t xml:space="preserve"> </w:t>
      </w:r>
      <w:proofErr w:type="spellStart"/>
      <w:r w:rsidR="00B8506D" w:rsidRPr="00A215E5">
        <w:rPr>
          <w:color w:val="333333"/>
          <w:highlight w:val="yellow"/>
        </w:rPr>
        <w:t>dissolving</w:t>
      </w:r>
      <w:proofErr w:type="spellEnd"/>
      <w:r w:rsidR="00B8506D" w:rsidRPr="00A215E5">
        <w:rPr>
          <w:color w:val="333333"/>
          <w:highlight w:val="yellow"/>
        </w:rPr>
        <w:t xml:space="preserve"> 294.0 mg L</w:t>
      </w:r>
      <w:r w:rsidR="00B8506D" w:rsidRPr="00A215E5">
        <w:rPr>
          <w:color w:val="333333"/>
          <w:highlight w:val="yellow"/>
          <w:vertAlign w:val="superscript"/>
        </w:rPr>
        <w:t>-1</w:t>
      </w:r>
      <w:r w:rsidR="00B8506D" w:rsidRPr="00A215E5">
        <w:rPr>
          <w:color w:val="333333"/>
          <w:highlight w:val="yellow"/>
        </w:rPr>
        <w:t xml:space="preserve"> CaCl</w:t>
      </w:r>
      <w:r w:rsidR="00B8506D" w:rsidRPr="00A215E5">
        <w:rPr>
          <w:color w:val="333333"/>
          <w:highlight w:val="yellow"/>
          <w:vertAlign w:val="subscript"/>
        </w:rPr>
        <w:t>2</w:t>
      </w:r>
      <w:r w:rsidR="00B8506D" w:rsidRPr="00A215E5">
        <w:rPr>
          <w:color w:val="333333"/>
          <w:highlight w:val="yellow"/>
        </w:rPr>
        <w:t xml:space="preserve"> </w:t>
      </w:r>
      <w:r w:rsidR="00A215E5" w:rsidRPr="00A215E5">
        <w:rPr>
          <w:color w:val="333333"/>
          <w:highlight w:val="yellow"/>
        </w:rPr>
        <w:t>×</w:t>
      </w:r>
      <w:r w:rsidR="00B8506D" w:rsidRPr="00A215E5">
        <w:rPr>
          <w:color w:val="333333"/>
          <w:highlight w:val="yellow"/>
        </w:rPr>
        <w:t xml:space="preserve"> 2 H</w:t>
      </w:r>
      <w:r w:rsidR="00B8506D" w:rsidRPr="00A215E5">
        <w:rPr>
          <w:color w:val="333333"/>
          <w:highlight w:val="yellow"/>
          <w:vertAlign w:val="subscript"/>
        </w:rPr>
        <w:t>2</w:t>
      </w:r>
      <w:r w:rsidR="00B8506D" w:rsidRPr="00A215E5">
        <w:rPr>
          <w:color w:val="333333"/>
          <w:highlight w:val="yellow"/>
        </w:rPr>
        <w:t>O, 123.3 mg L</w:t>
      </w:r>
      <w:r w:rsidR="00B8506D" w:rsidRPr="00A215E5">
        <w:rPr>
          <w:color w:val="333333"/>
          <w:highlight w:val="yellow"/>
          <w:vertAlign w:val="superscript"/>
        </w:rPr>
        <w:t>-1</w:t>
      </w:r>
      <w:r w:rsidR="00B8506D" w:rsidRPr="00A215E5">
        <w:rPr>
          <w:color w:val="333333"/>
          <w:highlight w:val="yellow"/>
        </w:rPr>
        <w:t xml:space="preserve"> MgSO</w:t>
      </w:r>
      <w:r w:rsidR="00B8506D" w:rsidRPr="00A215E5">
        <w:rPr>
          <w:color w:val="333333"/>
          <w:highlight w:val="yellow"/>
          <w:vertAlign w:val="subscript"/>
        </w:rPr>
        <w:t>4</w:t>
      </w:r>
      <w:r w:rsidR="00B8506D" w:rsidRPr="00A215E5">
        <w:rPr>
          <w:color w:val="333333"/>
          <w:highlight w:val="yellow"/>
        </w:rPr>
        <w:t xml:space="preserve"> </w:t>
      </w:r>
      <w:r w:rsidR="00A215E5" w:rsidRPr="00A215E5">
        <w:rPr>
          <w:color w:val="333333"/>
          <w:highlight w:val="yellow"/>
        </w:rPr>
        <w:t>×</w:t>
      </w:r>
      <w:r w:rsidR="00B8506D" w:rsidRPr="00A215E5">
        <w:rPr>
          <w:color w:val="333333"/>
          <w:highlight w:val="yellow"/>
        </w:rPr>
        <w:t xml:space="preserve"> 7H</w:t>
      </w:r>
      <w:r w:rsidR="00B8506D" w:rsidRPr="00A215E5">
        <w:rPr>
          <w:color w:val="333333"/>
          <w:highlight w:val="yellow"/>
          <w:vertAlign w:val="subscript"/>
        </w:rPr>
        <w:t>2</w:t>
      </w:r>
      <w:r w:rsidR="00B8506D" w:rsidRPr="00A215E5">
        <w:rPr>
          <w:color w:val="333333"/>
          <w:highlight w:val="yellow"/>
        </w:rPr>
        <w:t>O, 63.0 mg</w:t>
      </w:r>
      <w:r w:rsidR="00A215E5">
        <w:rPr>
          <w:color w:val="333333"/>
          <w:highlight w:val="yellow"/>
        </w:rPr>
        <w:t xml:space="preserve"> </w:t>
      </w:r>
      <w:r w:rsidR="00B8506D" w:rsidRPr="00A215E5">
        <w:rPr>
          <w:color w:val="333333"/>
          <w:highlight w:val="yellow"/>
        </w:rPr>
        <w:t>L</w:t>
      </w:r>
      <w:r w:rsidR="00B8506D" w:rsidRPr="00A215E5">
        <w:rPr>
          <w:color w:val="333333"/>
          <w:highlight w:val="yellow"/>
          <w:vertAlign w:val="superscript"/>
        </w:rPr>
        <w:t>-1</w:t>
      </w:r>
      <w:r w:rsidR="00B8506D" w:rsidRPr="00A215E5">
        <w:rPr>
          <w:color w:val="333333"/>
          <w:highlight w:val="yellow"/>
        </w:rPr>
        <w:t xml:space="preserve"> NaHCO</w:t>
      </w:r>
      <w:r w:rsidR="00B8506D" w:rsidRPr="00A215E5">
        <w:rPr>
          <w:color w:val="333333"/>
          <w:highlight w:val="yellow"/>
          <w:vertAlign w:val="subscript"/>
        </w:rPr>
        <w:t>3</w:t>
      </w:r>
      <w:r w:rsidR="00B8506D" w:rsidRPr="00A215E5">
        <w:rPr>
          <w:color w:val="333333"/>
          <w:highlight w:val="yellow"/>
        </w:rPr>
        <w:t xml:space="preserve">, </w:t>
      </w:r>
      <w:proofErr w:type="spellStart"/>
      <w:r w:rsidR="00B8506D" w:rsidRPr="00A215E5">
        <w:rPr>
          <w:color w:val="333333"/>
          <w:highlight w:val="yellow"/>
        </w:rPr>
        <w:t>and</w:t>
      </w:r>
      <w:proofErr w:type="spellEnd"/>
      <w:r w:rsidR="00B8506D" w:rsidRPr="00A215E5">
        <w:rPr>
          <w:color w:val="333333"/>
          <w:highlight w:val="yellow"/>
        </w:rPr>
        <w:t xml:space="preserve"> 5.5 mg L</w:t>
      </w:r>
      <w:r w:rsidR="00B8506D" w:rsidRPr="00A215E5">
        <w:rPr>
          <w:color w:val="333333"/>
          <w:highlight w:val="yellow"/>
          <w:vertAlign w:val="superscript"/>
        </w:rPr>
        <w:t>-1</w:t>
      </w:r>
      <w:r w:rsidR="00B8506D" w:rsidRPr="00A215E5">
        <w:rPr>
          <w:color w:val="333333"/>
          <w:highlight w:val="yellow"/>
        </w:rPr>
        <w:t xml:space="preserve"> </w:t>
      </w:r>
      <w:proofErr w:type="spellStart"/>
      <w:r w:rsidR="00B8506D" w:rsidRPr="00A215E5">
        <w:rPr>
          <w:color w:val="333333"/>
          <w:highlight w:val="yellow"/>
        </w:rPr>
        <w:t>KCl</w:t>
      </w:r>
      <w:proofErr w:type="spellEnd"/>
      <w:r w:rsidR="00B8506D" w:rsidRPr="00A215E5">
        <w:rPr>
          <w:color w:val="333333"/>
          <w:highlight w:val="yellow"/>
        </w:rPr>
        <w:t xml:space="preserve"> </w:t>
      </w:r>
      <w:r w:rsidR="00A02432" w:rsidRPr="00A215E5">
        <w:rPr>
          <w:color w:val="333333"/>
          <w:highlight w:val="yellow"/>
        </w:rPr>
        <w:t>(</w:t>
      </w:r>
      <w:proofErr w:type="spellStart"/>
      <w:r w:rsidR="00A02432" w:rsidRPr="00A215E5">
        <w:rPr>
          <w:color w:val="333333"/>
          <w:highlight w:val="yellow"/>
        </w:rPr>
        <w:t>Sigma</w:t>
      </w:r>
      <w:proofErr w:type="spellEnd"/>
      <w:r w:rsidR="00A02432" w:rsidRPr="00A215E5">
        <w:rPr>
          <w:color w:val="333333"/>
          <w:highlight w:val="yellow"/>
        </w:rPr>
        <w:t xml:space="preserve"> </w:t>
      </w:r>
      <w:proofErr w:type="spellStart"/>
      <w:r w:rsidR="00A02432" w:rsidRPr="00A215E5">
        <w:rPr>
          <w:color w:val="333333"/>
          <w:highlight w:val="yellow"/>
        </w:rPr>
        <w:t>Aldrich</w:t>
      </w:r>
      <w:proofErr w:type="spellEnd"/>
      <w:r w:rsidR="00A02432" w:rsidRPr="00A215E5">
        <w:rPr>
          <w:color w:val="333333"/>
          <w:highlight w:val="yellow"/>
        </w:rPr>
        <w:t xml:space="preserve">, </w:t>
      </w:r>
      <w:proofErr w:type="spellStart"/>
      <w:r w:rsidR="00A02432" w:rsidRPr="00A215E5">
        <w:rPr>
          <w:color w:val="333333"/>
          <w:highlight w:val="yellow"/>
        </w:rPr>
        <w:t>Germany</w:t>
      </w:r>
      <w:proofErr w:type="spellEnd"/>
      <w:r w:rsidR="00A02432" w:rsidRPr="00A215E5">
        <w:rPr>
          <w:color w:val="333333"/>
          <w:highlight w:val="yellow"/>
        </w:rPr>
        <w:t xml:space="preserve">) </w:t>
      </w:r>
      <w:proofErr w:type="spellStart"/>
      <w:r w:rsidR="00B8506D" w:rsidRPr="00A215E5">
        <w:rPr>
          <w:color w:val="333333"/>
          <w:highlight w:val="yellow"/>
        </w:rPr>
        <w:t>in</w:t>
      </w:r>
      <w:proofErr w:type="spellEnd"/>
      <w:r w:rsidR="00B8506D" w:rsidRPr="00A215E5">
        <w:rPr>
          <w:color w:val="333333"/>
          <w:highlight w:val="yellow"/>
        </w:rPr>
        <w:t xml:space="preserve"> </w:t>
      </w:r>
      <w:proofErr w:type="spellStart"/>
      <w:r w:rsidR="00B8506D" w:rsidRPr="00A215E5">
        <w:rPr>
          <w:color w:val="333333"/>
          <w:highlight w:val="yellow"/>
        </w:rPr>
        <w:t>deionized</w:t>
      </w:r>
      <w:proofErr w:type="spellEnd"/>
      <w:r w:rsidR="00B8506D" w:rsidRPr="00A215E5">
        <w:rPr>
          <w:color w:val="333333"/>
          <w:highlight w:val="yellow"/>
        </w:rPr>
        <w:t xml:space="preserve"> water.</w:t>
      </w:r>
    </w:p>
    <w:p w14:paraId="0FDA12FF" w14:textId="77777777" w:rsidR="00F02E89" w:rsidRDefault="00F02E89">
      <w:pPr>
        <w:spacing w:line="360" w:lineRule="auto"/>
        <w:contextualSpacing/>
        <w:jc w:val="both"/>
        <w:rPr>
          <w:b/>
          <w:lang w:val="en-US"/>
        </w:rPr>
      </w:pPr>
    </w:p>
    <w:p w14:paraId="3C176F3E" w14:textId="77777777" w:rsidR="00F02E89" w:rsidRDefault="00E01693">
      <w:pPr>
        <w:spacing w:line="360" w:lineRule="auto"/>
        <w:contextualSpacing/>
        <w:outlineLvl w:val="0"/>
        <w:rPr>
          <w:b/>
          <w:bCs/>
          <w:lang w:val="en-US"/>
        </w:rPr>
      </w:pPr>
      <w:r>
        <w:rPr>
          <w:b/>
          <w:bCs/>
          <w:lang w:val="en-US"/>
        </w:rPr>
        <w:t>2.2. Preparation and characterization of zeolite nanoparticles</w:t>
      </w:r>
    </w:p>
    <w:p w14:paraId="6A13769C" w14:textId="02AEB058" w:rsidR="00F02E89" w:rsidRDefault="00E01693">
      <w:pPr>
        <w:spacing w:line="360" w:lineRule="auto"/>
        <w:contextualSpacing/>
        <w:jc w:val="both"/>
      </w:pPr>
      <w:r>
        <w:rPr>
          <w:lang w:val="en-US" w:eastAsia="hr-HR"/>
        </w:rPr>
        <w:t>Sample BEA-140 was prepared according to</w:t>
      </w:r>
      <w:r w:rsidR="00216035">
        <w:rPr>
          <w:lang w:val="en-US" w:eastAsia="hr-HR"/>
        </w:rPr>
        <w:t xml:space="preserve"> Landau et al. </w:t>
      </w:r>
      <w:r w:rsidR="00CE78B4">
        <w:rPr>
          <w:lang w:val="en-US" w:eastAsia="hr-HR"/>
        </w:rPr>
        <w:fldChar w:fldCharType="begin" w:fldLock="1"/>
      </w:r>
      <w:r w:rsidR="004746A2">
        <w:rPr>
          <w:lang w:val="en-US" w:eastAsia="hr-HR"/>
        </w:rPr>
        <w:instrText>ADDIN CSL_CITATION {"citationItems":[{"id":"ITEM-1","itemData":{"DOI":"10.1021/ie020899o","ISSN":"0888-5885","abstract":"Two 0.5 wt % Pt/(zeolite beta-alumina) catalysts with zeolite crystal sizes of 200-500 nm (designated as Z1) and 10-30 nm (designated as Z2) showed similar acidities (ammonia temperature-programmed desorption), surface areas, mesopore volumes (N2 adsorption), Ptcomponent hydrogenation activities, and coke contents after catalytic runs (temperatureprogrammed oxidation). The two zeolite components of these catalysts displayed the same framework structures (XRD, HRTEM, and FTIR spectroscopy). The nanocrystals of Z2 comprised individual single A (tetragonal) or B (monoclinic) polymorphs of zeolite beta, whereas the same polymorphs existed in the microcrystals of Z1 as domains of ~20 nm that grow simultaneously, side by side, within the common grain. In the hydrocracking of heavy vacuum gas oil (HVGO) at 623 K and 5.5 MPa, the decrease in zeolite crystal size from the upper to the lower limit of the nanoscale range (i.e., from Z1 to Z2) gave an approximately 2-fold increase in both the rate constant and the effectiveness factor. The critical crystal size of zeolite beta beyond which the diffusion limitations became insignificant was 50 nm. The effective diffusion coefficient of HVGO inside the crystals of zeolite beta was 2 * 10-14 cm2/g. The kinetic measurements and Thiele modulus analysis provided evidence for the significant contribution of the internal surface of zeolite channels to the catalytic process.","author":[{"dropping-particle":"V.","family":"Landau","given":"Miron","non-dropping-particle":"","parse-names":false,"suffix":""},{"dropping-particle":"","family":"Vradman","given":"Leonid","non-dropping-particle":"","parse-names":false,"suffix":""},{"dropping-particle":"","family":"Valtchev","given":"Valentin","non-dropping-particle":"","parse-names":false,"suffix":""},{"dropping-particle":"","family":"Lezervant","given":"Jérôme","non-dropping-particle":"","parse-names":false,"suffix":""},{"dropping-particle":"","family":"Liubich","given":"Elena","non-dropping-particle":"","parse-names":false,"suffix":""},{"dropping-particle":"","family":"Talianker","given":"Michael","non-dropping-particle":"","parse-names":false,"suffix":""}],"container-title":"Industrial &amp; Engineering Chemistry Research","id":"ITEM-1","issue":"12","issued":{"date-parts":[["2003"]]},"page":"2773-2782","title":"Hydrocracking of Heavy Vacuum Gas Oil with a Pt/H-beta−Al 2 O 3 Catalyst: Effect of Zeolite Crystal Size in the Nanoscale Range","type":"article-journal","volume":"42"},"uris":["http://www.mendeley.com/documents/?uuid=9c917dcf-15a4-494c-a1f0-f55c097e6460"]}],"mendeley":{"formattedCitation":"[34]","plainTextFormattedCitation":"[34]","previouslyFormattedCitation":"[34]"},"properties":{"noteIndex":0},"schema":"https://github.com/citation-style-language/schema/raw/master/csl-citation.json"}</w:instrText>
      </w:r>
      <w:r w:rsidR="00CE78B4">
        <w:rPr>
          <w:lang w:val="en-US" w:eastAsia="hr-HR"/>
        </w:rPr>
        <w:fldChar w:fldCharType="separate"/>
      </w:r>
      <w:r w:rsidR="00B20EBB" w:rsidRPr="00B20EBB">
        <w:rPr>
          <w:noProof/>
          <w:lang w:val="en-US" w:eastAsia="hr-HR"/>
        </w:rPr>
        <w:t>[34]</w:t>
      </w:r>
      <w:r w:rsidR="00CE78B4">
        <w:rPr>
          <w:lang w:val="en-US" w:eastAsia="hr-HR"/>
        </w:rPr>
        <w:fldChar w:fldCharType="end"/>
      </w:r>
      <w:r w:rsidR="00CE78B4">
        <w:t>.</w:t>
      </w:r>
      <w:r>
        <w:rPr>
          <w:lang w:val="en-US" w:eastAsia="hr-HR"/>
        </w:rPr>
        <w:t xml:space="preserve"> The needed amount of </w:t>
      </w:r>
      <w:proofErr w:type="spellStart"/>
      <w:r>
        <w:rPr>
          <w:lang w:val="en-US" w:eastAsia="hr-HR"/>
        </w:rPr>
        <w:t>aluminium</w:t>
      </w:r>
      <w:proofErr w:type="spellEnd"/>
      <w:r>
        <w:rPr>
          <w:lang w:val="en-US" w:eastAsia="hr-HR"/>
        </w:rPr>
        <w:t xml:space="preserve"> </w:t>
      </w:r>
      <w:proofErr w:type="spellStart"/>
      <w:r>
        <w:rPr>
          <w:lang w:val="en-US" w:eastAsia="hr-HR"/>
        </w:rPr>
        <w:t>isopropoxide</w:t>
      </w:r>
      <w:proofErr w:type="spellEnd"/>
      <w:r>
        <w:rPr>
          <w:lang w:val="en-US" w:eastAsia="hr-HR"/>
        </w:rPr>
        <w:t xml:space="preserve"> was dissolved in TEAOH. Freeze-dried </w:t>
      </w:r>
      <w:proofErr w:type="spellStart"/>
      <w:r>
        <w:rPr>
          <w:lang w:val="en-US" w:eastAsia="hr-HR"/>
        </w:rPr>
        <w:t>Ludox</w:t>
      </w:r>
      <w:proofErr w:type="spellEnd"/>
      <w:r>
        <w:rPr>
          <w:lang w:val="en-US" w:eastAsia="hr-HR"/>
        </w:rPr>
        <w:t xml:space="preserve"> HS-30 was added to TEAOH and stirred for 10 minutes by using a magnetic stirrer. Two components were mixed and stirred for 10 minutes and subsequently transferred into an oven preheated at 100°C. The final molar oxide composition of the synthesis mixture was 0.35Na</w:t>
      </w:r>
      <w:r>
        <w:rPr>
          <w:vertAlign w:val="subscript"/>
          <w:lang w:val="en-US" w:eastAsia="hr-HR"/>
        </w:rPr>
        <w:t>2</w:t>
      </w:r>
      <w:r>
        <w:rPr>
          <w:lang w:val="en-US" w:eastAsia="hr-HR"/>
        </w:rPr>
        <w:t>O:0.5Al</w:t>
      </w:r>
      <w:r>
        <w:rPr>
          <w:vertAlign w:val="subscript"/>
          <w:lang w:val="en-US" w:eastAsia="hr-HR"/>
        </w:rPr>
        <w:t>2</w:t>
      </w:r>
      <w:r>
        <w:rPr>
          <w:lang w:val="en-US" w:eastAsia="hr-HR"/>
        </w:rPr>
        <w:t>O</w:t>
      </w:r>
      <w:r>
        <w:rPr>
          <w:vertAlign w:val="subscript"/>
          <w:lang w:val="en-US" w:eastAsia="hr-HR"/>
        </w:rPr>
        <w:t>3</w:t>
      </w:r>
      <w:r>
        <w:rPr>
          <w:lang w:val="en-US" w:eastAsia="hr-HR"/>
        </w:rPr>
        <w:t>:25 SiO</w:t>
      </w:r>
      <w:r>
        <w:rPr>
          <w:vertAlign w:val="subscript"/>
          <w:lang w:val="en-US" w:eastAsia="hr-HR"/>
        </w:rPr>
        <w:t>2</w:t>
      </w:r>
      <w:r>
        <w:rPr>
          <w:lang w:val="en-US" w:eastAsia="hr-HR"/>
        </w:rPr>
        <w:t>:9TEAOH:295H</w:t>
      </w:r>
      <w:r>
        <w:rPr>
          <w:vertAlign w:val="subscript"/>
          <w:lang w:val="en-US" w:eastAsia="hr-HR"/>
        </w:rPr>
        <w:t>2</w:t>
      </w:r>
      <w:r>
        <w:rPr>
          <w:lang w:val="en-US" w:eastAsia="hr-HR"/>
        </w:rPr>
        <w:t xml:space="preserve">O. The crystalline sample was recovered after 7 days of hydrothermal treatment. The solid phase has been washed with deionized water repeatedly until pH 7 by centrifugation and dried by freeze-drying. Organic structure-directing agent (TEAOH) was removed by calcination of the dried powder at 550°C for 6 h in static air (BEA-140-calc). </w:t>
      </w:r>
    </w:p>
    <w:p w14:paraId="07BA3DC1" w14:textId="0E454C2A" w:rsidR="00F02E89" w:rsidRDefault="00E01693">
      <w:pPr>
        <w:spacing w:line="360" w:lineRule="auto"/>
        <w:contextualSpacing/>
        <w:jc w:val="both"/>
      </w:pPr>
      <w:r>
        <w:rPr>
          <w:lang w:val="en-US" w:eastAsia="hr-HR"/>
        </w:rPr>
        <w:t xml:space="preserve">Sample BEA-600 was prepared by mixing of the suspension of fumed silica in a solution of </w:t>
      </w:r>
      <w:proofErr w:type="spellStart"/>
      <w:r>
        <w:rPr>
          <w:lang w:val="en-US" w:eastAsia="hr-HR"/>
        </w:rPr>
        <w:t>KCl</w:t>
      </w:r>
      <w:proofErr w:type="spellEnd"/>
      <w:r>
        <w:rPr>
          <w:lang w:val="en-US" w:eastAsia="hr-HR"/>
        </w:rPr>
        <w:t xml:space="preserve"> in H</w:t>
      </w:r>
      <w:r>
        <w:rPr>
          <w:vertAlign w:val="subscript"/>
          <w:lang w:val="en-US" w:eastAsia="hr-HR"/>
        </w:rPr>
        <w:t>2</w:t>
      </w:r>
      <w:r>
        <w:rPr>
          <w:lang w:val="en-US" w:eastAsia="hr-HR"/>
        </w:rPr>
        <w:t>O and TEAOH together with the solution of sodium aluminate in water and KOH. The molar oxide composition was 1.23K</w:t>
      </w:r>
      <w:r>
        <w:rPr>
          <w:vertAlign w:val="subscript"/>
          <w:lang w:val="en-US" w:eastAsia="hr-HR"/>
        </w:rPr>
        <w:t>2</w:t>
      </w:r>
      <w:r>
        <w:rPr>
          <w:lang w:val="en-US" w:eastAsia="hr-HR"/>
        </w:rPr>
        <w:t>O:1.23Na</w:t>
      </w:r>
      <w:r>
        <w:rPr>
          <w:vertAlign w:val="subscript"/>
          <w:lang w:val="en-US" w:eastAsia="hr-HR"/>
        </w:rPr>
        <w:t>2</w:t>
      </w:r>
      <w:r>
        <w:rPr>
          <w:lang w:val="en-US" w:eastAsia="hr-HR"/>
        </w:rPr>
        <w:t>O:1Al</w:t>
      </w:r>
      <w:r>
        <w:rPr>
          <w:vertAlign w:val="subscript"/>
          <w:lang w:val="en-US" w:eastAsia="hr-HR"/>
        </w:rPr>
        <w:t>2</w:t>
      </w:r>
      <w:r>
        <w:rPr>
          <w:lang w:val="en-US" w:eastAsia="hr-HR"/>
        </w:rPr>
        <w:t>O</w:t>
      </w:r>
      <w:r>
        <w:rPr>
          <w:vertAlign w:val="subscript"/>
          <w:lang w:val="en-US" w:eastAsia="hr-HR"/>
        </w:rPr>
        <w:t>3</w:t>
      </w:r>
      <w:r>
        <w:rPr>
          <w:lang w:val="en-US" w:eastAsia="hr-HR"/>
        </w:rPr>
        <w:t>:50SiO</w:t>
      </w:r>
      <w:r>
        <w:rPr>
          <w:vertAlign w:val="subscript"/>
          <w:lang w:val="en-US" w:eastAsia="hr-HR"/>
        </w:rPr>
        <w:t>2</w:t>
      </w:r>
      <w:r>
        <w:rPr>
          <w:lang w:val="en-US" w:eastAsia="hr-HR"/>
        </w:rPr>
        <w:t>:25TEAOH:745H</w:t>
      </w:r>
      <w:r>
        <w:rPr>
          <w:vertAlign w:val="subscript"/>
          <w:lang w:val="en-US" w:eastAsia="hr-HR"/>
        </w:rPr>
        <w:t>2</w:t>
      </w:r>
      <w:r>
        <w:rPr>
          <w:lang w:val="en-US" w:eastAsia="hr-HR"/>
        </w:rPr>
        <w:t>O</w:t>
      </w:r>
      <w:bookmarkStart w:id="21" w:name="__Fieldmark__13985_1509016404"/>
      <w:bookmarkEnd w:id="21"/>
      <w:r w:rsidR="00216035">
        <w:rPr>
          <w:lang w:val="en-US" w:eastAsia="hr-HR"/>
        </w:rPr>
        <w:t xml:space="preserve"> </w:t>
      </w:r>
      <w:r w:rsidR="005E1565">
        <w:rPr>
          <w:lang w:val="en-US" w:eastAsia="hr-HR"/>
        </w:rPr>
        <w:fldChar w:fldCharType="begin" w:fldLock="1"/>
      </w:r>
      <w:r w:rsidR="004746A2">
        <w:rPr>
          <w:lang w:val="en-US" w:eastAsia="hr-HR"/>
        </w:rPr>
        <w:instrText>ADDIN CSL_CITATION {"citationItems":[{"id":"ITEM-1","itemData":{"DOI":"10.1016/S0144-2449(05)80220-9","ISSN":"01442449","abstract":"Crystallization of zeolite Beta has been studied in the whole range of K/(K + Na) molar ratios. Chemical changes of both solid and liquid phases have been related to the crystallization curves and crystal-size distributions of the final products. The role of the alkali cations in regulating the aluminum concentration in the liquid phase and modifying the nucleation events leading to the zeolite crystals is discussed. © 1991 Butterworth-Heinemann.","author":[{"dropping-particle":"","family":"Camblor","given":"M. A.","non-dropping-particle":"","parse-names":false,"suffix":""},{"dropping-particle":"","family":"Pérez-Pariente","given":"J.","non-dropping-particle":"","parse-names":false,"suffix":""}],"container-title":"Zeolites","id":"ITEM-1","issued":{"date-parts":[["1991"]]},"title":"Crystallization of zeolite beta: Effect of Na and K ions","type":"article-journal"},"uris":["http://www.mendeley.com/documents/?uuid=40448f8a-d451-34bd-afcb-6c97d41da79d"]}],"mendeley":{"formattedCitation":"[35]","plainTextFormattedCitation":"[35]","previouslyFormattedCitation":"[35]"},"properties":{"noteIndex":0},"schema":"https://github.com/citation-style-language/schema/raw/master/csl-citation.json"}</w:instrText>
      </w:r>
      <w:r w:rsidR="005E1565">
        <w:rPr>
          <w:lang w:val="en-US" w:eastAsia="hr-HR"/>
        </w:rPr>
        <w:fldChar w:fldCharType="separate"/>
      </w:r>
      <w:r w:rsidR="00B20EBB" w:rsidRPr="00B20EBB">
        <w:rPr>
          <w:noProof/>
          <w:lang w:val="en-US" w:eastAsia="hr-HR"/>
        </w:rPr>
        <w:t>[35]</w:t>
      </w:r>
      <w:r w:rsidR="005E1565">
        <w:rPr>
          <w:lang w:val="en-US" w:eastAsia="hr-HR"/>
        </w:rPr>
        <w:fldChar w:fldCharType="end"/>
      </w:r>
      <w:r>
        <w:rPr>
          <w:lang w:val="en-US" w:eastAsia="hr-HR"/>
        </w:rPr>
        <w:t xml:space="preserve">. After 10 minutes of agitation, the synthesis mixture was treated for 30 h at 140°C. The solid phase was centrifuged repeatedly in deionized water until pH 7 and dried by freeze-drying. Organic structure directing agent was removed by calcination of the dried powder at 550°C for 6 h in static air. In this way, the sample BEA-600-calc was obtained. </w:t>
      </w:r>
    </w:p>
    <w:p w14:paraId="0EDFCAFD" w14:textId="77777777" w:rsidR="00F02E89" w:rsidRDefault="00E01693">
      <w:pPr>
        <w:spacing w:line="360" w:lineRule="auto"/>
        <w:contextualSpacing/>
        <w:jc w:val="both"/>
        <w:rPr>
          <w:lang w:val="en-US" w:eastAsia="hr-HR"/>
        </w:rPr>
      </w:pPr>
      <w:r>
        <w:rPr>
          <w:lang w:val="en-US" w:eastAsia="hr-HR"/>
        </w:rPr>
        <w:t xml:space="preserve">Powder X-ray diffraction (XRD) data of the solid sample were collected on a Phillips PW3710 diffractometer with </w:t>
      </w:r>
      <w:proofErr w:type="spellStart"/>
      <w:r>
        <w:rPr>
          <w:lang w:val="en-US" w:eastAsia="hr-HR"/>
        </w:rPr>
        <w:t>CuK</w:t>
      </w:r>
      <w:proofErr w:type="spellEnd"/>
      <w:r>
        <w:rPr>
          <w:vertAlign w:val="subscript"/>
          <w:lang w:val="en-US" w:eastAsia="hr-HR"/>
        </w:rPr>
        <w:t>α</w:t>
      </w:r>
      <w:r>
        <w:rPr>
          <w:lang w:val="en-US" w:eastAsia="hr-HR"/>
        </w:rPr>
        <w:t xml:space="preserve"> source. Thermogravimetric measurements (TG) of the solid samples were performed using a </w:t>
      </w:r>
      <w:proofErr w:type="spellStart"/>
      <w:r>
        <w:rPr>
          <w:lang w:val="en-US" w:eastAsia="hr-HR"/>
        </w:rPr>
        <w:t>Setaram</w:t>
      </w:r>
      <w:proofErr w:type="spellEnd"/>
      <w:r>
        <w:rPr>
          <w:lang w:val="en-US" w:eastAsia="hr-HR"/>
        </w:rPr>
        <w:t xml:space="preserve"> </w:t>
      </w:r>
      <w:proofErr w:type="spellStart"/>
      <w:r>
        <w:rPr>
          <w:lang w:val="en-US" w:eastAsia="hr-HR"/>
        </w:rPr>
        <w:t>Setsys</w:t>
      </w:r>
      <w:proofErr w:type="spellEnd"/>
      <w:r>
        <w:rPr>
          <w:lang w:val="en-US" w:eastAsia="hr-HR"/>
        </w:rPr>
        <w:t xml:space="preserve"> TGA instrument, heating rate 5°C min</w:t>
      </w:r>
      <w:r>
        <w:rPr>
          <w:vertAlign w:val="superscript"/>
          <w:lang w:val="en-US" w:eastAsia="hr-HR"/>
        </w:rPr>
        <w:t>-1</w:t>
      </w:r>
      <w:r>
        <w:rPr>
          <w:lang w:val="en-US" w:eastAsia="hr-HR"/>
        </w:rPr>
        <w:t xml:space="preserve"> in air. The size of the crystals was measured employing Malvern </w:t>
      </w:r>
      <w:proofErr w:type="spellStart"/>
      <w:r>
        <w:rPr>
          <w:lang w:val="en-US" w:eastAsia="hr-HR"/>
        </w:rPr>
        <w:t>Zetasizer</w:t>
      </w:r>
      <w:proofErr w:type="spellEnd"/>
      <w:r>
        <w:rPr>
          <w:lang w:val="en-US" w:eastAsia="hr-HR"/>
        </w:rPr>
        <w:t xml:space="preserve"> Nano ZS. The powders were dispersed both in deionized and artificial water and measured as such. Scanning electron micrographs were obtained by employing an FE-SEM JEOL JSM-7000F microscope (SEM). For transmission electron microscopy (TEM) imaging, a small amount of the sample was dispersed in ethanol. After being treated by ultrasonication, one drop of the sample mixture was taken from the ethanol solution and transferred to a copper grid covered by a holey carbon film. Transmission electron microscope JEOL JEM-3010 was used for TEM studies. A </w:t>
      </w:r>
      <w:proofErr w:type="spellStart"/>
      <w:r>
        <w:rPr>
          <w:lang w:val="en-US" w:eastAsia="hr-HR"/>
        </w:rPr>
        <w:t>Gatan</w:t>
      </w:r>
      <w:proofErr w:type="spellEnd"/>
      <w:r>
        <w:rPr>
          <w:lang w:val="en-US" w:eastAsia="hr-HR"/>
        </w:rPr>
        <w:t xml:space="preserve"> 794 CCD camera was used for recording transmission electron microscopy images.</w:t>
      </w:r>
    </w:p>
    <w:p w14:paraId="3A7B1664" w14:textId="6CBA3A6F" w:rsidR="00F02E89" w:rsidRDefault="00B8506D">
      <w:pPr>
        <w:spacing w:line="360" w:lineRule="auto"/>
        <w:contextualSpacing/>
        <w:jc w:val="both"/>
      </w:pPr>
      <w:r w:rsidRPr="00A215E5">
        <w:rPr>
          <w:highlight w:val="yellow"/>
          <w:lang w:val="en-US" w:eastAsia="hr-HR"/>
        </w:rPr>
        <w:lastRenderedPageBreak/>
        <w:t>Zeolite suspensions were</w:t>
      </w:r>
      <w:r w:rsidR="00E01693" w:rsidRPr="00A215E5">
        <w:rPr>
          <w:highlight w:val="yellow"/>
          <w:lang w:val="en-US" w:eastAsia="hr-HR"/>
        </w:rPr>
        <w:t xml:space="preserve"> prepared in three concentrations</w:t>
      </w:r>
      <w:r w:rsidR="00A215E5">
        <w:rPr>
          <w:highlight w:val="yellow"/>
          <w:lang w:val="en-US" w:eastAsia="hr-HR"/>
        </w:rPr>
        <w:t>:</w:t>
      </w:r>
      <w:r w:rsidR="00E01693">
        <w:rPr>
          <w:lang w:val="en-US" w:eastAsia="hr-HR"/>
        </w:rPr>
        <w:t xml:space="preserve"> - 25, 50 and 100 µg L</w:t>
      </w:r>
      <w:r w:rsidR="00E01693">
        <w:rPr>
          <w:vertAlign w:val="superscript"/>
          <w:lang w:val="en-US" w:eastAsia="hr-HR"/>
        </w:rPr>
        <w:t>-1</w:t>
      </w:r>
      <w:r w:rsidR="00E01693">
        <w:rPr>
          <w:lang w:val="en-US" w:eastAsia="hr-HR"/>
        </w:rPr>
        <w:t xml:space="preserve"> by dispersing in artificial water. Prior to embryotoxicity test samples were aerated to oxygen saturation</w:t>
      </w:r>
      <w:bookmarkStart w:id="22" w:name="__Fieldmark__14039_1509016404"/>
      <w:bookmarkEnd w:id="22"/>
      <w:r w:rsidR="00E01693">
        <w:rPr>
          <w:lang w:val="en-US" w:eastAsia="hr-HR"/>
        </w:rPr>
        <w:t>. TEAOH solutions in artificial water having concentrations 4.5, 9 and 18 µg L</w:t>
      </w:r>
      <w:r w:rsidR="00E01693">
        <w:rPr>
          <w:vertAlign w:val="superscript"/>
          <w:lang w:val="en-US" w:eastAsia="hr-HR"/>
        </w:rPr>
        <w:t>-1</w:t>
      </w:r>
      <w:r w:rsidR="00E01693">
        <w:rPr>
          <w:lang w:val="en-US" w:eastAsia="hr-HR"/>
        </w:rPr>
        <w:t xml:space="preserve"> were tested as well. These concentrations correspond to the average amount of organic species within the zeolite material (18 </w:t>
      </w:r>
      <w:proofErr w:type="spellStart"/>
      <w:r w:rsidR="00E01693">
        <w:rPr>
          <w:lang w:val="en-US" w:eastAsia="hr-HR"/>
        </w:rPr>
        <w:t>wt</w:t>
      </w:r>
      <w:proofErr w:type="spellEnd"/>
      <w:r w:rsidR="00E01693">
        <w:rPr>
          <w:lang w:val="en-US" w:eastAsia="hr-HR"/>
        </w:rPr>
        <w:t>% as measured by TG).</w:t>
      </w:r>
    </w:p>
    <w:p w14:paraId="1F16C2F0" w14:textId="77777777" w:rsidR="00F02E89" w:rsidRDefault="00F02E89">
      <w:pPr>
        <w:spacing w:line="360" w:lineRule="auto"/>
        <w:contextualSpacing/>
        <w:rPr>
          <w:b/>
          <w:lang w:val="en-US"/>
        </w:rPr>
      </w:pPr>
    </w:p>
    <w:p w14:paraId="2936BEC9" w14:textId="4CC89DD0" w:rsidR="00F02E89" w:rsidRPr="007B1B96" w:rsidRDefault="00E01693">
      <w:pPr>
        <w:spacing w:line="360" w:lineRule="auto"/>
        <w:contextualSpacing/>
        <w:rPr>
          <w:b/>
          <w:lang w:val="en-US"/>
        </w:rPr>
      </w:pPr>
      <w:r>
        <w:rPr>
          <w:b/>
          <w:lang w:val="en-US"/>
        </w:rPr>
        <w:t>2.3. Toxicity testing</w:t>
      </w:r>
    </w:p>
    <w:p w14:paraId="3441E9CE" w14:textId="77777777" w:rsidR="00291838" w:rsidRDefault="00291838">
      <w:pPr>
        <w:spacing w:line="360" w:lineRule="auto"/>
        <w:contextualSpacing/>
        <w:rPr>
          <w:lang w:val="en-US"/>
        </w:rPr>
      </w:pPr>
    </w:p>
    <w:p w14:paraId="5FB353EF" w14:textId="77777777" w:rsidR="00291838" w:rsidRPr="00291838" w:rsidRDefault="00291838" w:rsidP="00291838">
      <w:pPr>
        <w:spacing w:line="360" w:lineRule="auto"/>
        <w:contextualSpacing/>
        <w:jc w:val="both"/>
        <w:rPr>
          <w:b/>
          <w:lang w:val="en-US"/>
        </w:rPr>
      </w:pPr>
      <w:r w:rsidRPr="00291838">
        <w:rPr>
          <w:b/>
          <w:lang w:val="en-US"/>
        </w:rPr>
        <w:t>2.3.</w:t>
      </w:r>
      <w:r>
        <w:rPr>
          <w:b/>
          <w:lang w:val="en-US"/>
        </w:rPr>
        <w:t>1.</w:t>
      </w:r>
      <w:r w:rsidRPr="00291838">
        <w:rPr>
          <w:b/>
          <w:lang w:val="en-US"/>
        </w:rPr>
        <w:t xml:space="preserve"> Ethics statement</w:t>
      </w:r>
    </w:p>
    <w:p w14:paraId="7DA7D854" w14:textId="16714F22" w:rsidR="00F02E89" w:rsidRPr="001E664E" w:rsidRDefault="00291838" w:rsidP="00291838">
      <w:pPr>
        <w:spacing w:line="360" w:lineRule="auto"/>
        <w:contextualSpacing/>
        <w:jc w:val="both"/>
        <w:rPr>
          <w:lang w:val="en-US"/>
        </w:rPr>
      </w:pPr>
      <w:r w:rsidRPr="001E664E">
        <w:rPr>
          <w:lang w:val="en-US"/>
        </w:rPr>
        <w:t xml:space="preserve">Animal housing and spawning were performed in aquaria units approved by the Croatian Ministry of Agriculture and according to the Directive </w:t>
      </w:r>
      <w:r w:rsidR="0053672E" w:rsidRPr="0053672E">
        <w:rPr>
          <w:lang w:val="en-US"/>
        </w:rPr>
        <w:t>2010/63/EU on the protection of animals used for scientific</w:t>
      </w:r>
      <w:r w:rsidR="0053672E">
        <w:rPr>
          <w:lang w:val="en-US"/>
        </w:rPr>
        <w:t xml:space="preserve"> purposes</w:t>
      </w:r>
      <w:r w:rsidR="0053672E" w:rsidRPr="0053672E">
        <w:rPr>
          <w:lang w:val="en-US"/>
        </w:rPr>
        <w:t xml:space="preserve"> </w:t>
      </w:r>
      <w:r w:rsidR="005E1565">
        <w:rPr>
          <w:lang w:val="en-US"/>
        </w:rPr>
        <w:fldChar w:fldCharType="begin" w:fldLock="1"/>
      </w:r>
      <w:r w:rsidR="00B20EBB">
        <w:rPr>
          <w:lang w:val="en-US"/>
        </w:rPr>
        <w:instrText>ADDIN CSL_CITATION {"citationItems":[{"id":"ITEM-1","itemData":{"DOI":"doi:10.3000/19770677.L_2013.124.eng","abstract":"COMMISSION RECOMMENDATION of 9 April 2013 on the use of common methods to measure and communicate the life cycle environmental performance of products and organisations","author":[{"dropping-particle":"","family":"European Parliament and Council of the European Union","given":"","non-dropping-particle":"","parse-names":false,"suffix":""}],"container-title":"Official Journal of the European Union","id":"ITEM-1","issued":{"date-parts":[["2013"]]},"title":"Directive 2010/63/EU of the European Parliament and of the Council of 22 September 2010 on the protection of animals used for scientific purposes","type":"legislation"},"uris":["http://www.mendeley.com/documents/?uuid=7a865cea-6f56-38c0-9808-2047374c04f8"]}],"mendeley":{"formattedCitation":"[36]","plainTextFormattedCitation":"[36]","previouslyFormattedCitation":"[36]"},"properties":{"noteIndex":0},"schema":"https://github.com/citation-style-language/schema/raw/master/csl-citation.json"}</w:instrText>
      </w:r>
      <w:r w:rsidR="005E1565">
        <w:rPr>
          <w:lang w:val="en-US"/>
        </w:rPr>
        <w:fldChar w:fldCharType="separate"/>
      </w:r>
      <w:r w:rsidR="00B20EBB" w:rsidRPr="00B20EBB">
        <w:rPr>
          <w:noProof/>
          <w:lang w:val="en-US"/>
        </w:rPr>
        <w:t>[36]</w:t>
      </w:r>
      <w:r w:rsidR="005E1565">
        <w:rPr>
          <w:lang w:val="en-US"/>
        </w:rPr>
        <w:fldChar w:fldCharType="end"/>
      </w:r>
      <w:r w:rsidRPr="001E664E">
        <w:rPr>
          <w:lang w:val="en-US"/>
        </w:rPr>
        <w:t xml:space="preserve">. All experiments in this study were conducted on the non-protected embryonal stages (up to 72 </w:t>
      </w:r>
      <w:proofErr w:type="spellStart"/>
      <w:r w:rsidRPr="001E664E">
        <w:rPr>
          <w:lang w:val="en-US"/>
        </w:rPr>
        <w:t>hpf</w:t>
      </w:r>
      <w:proofErr w:type="spellEnd"/>
      <w:r w:rsidRPr="001E664E">
        <w:rPr>
          <w:lang w:val="en-US"/>
        </w:rPr>
        <w:t xml:space="preserve">), which do not require permission by animal welfare commissions </w:t>
      </w:r>
      <w:r w:rsidR="005E1565">
        <w:rPr>
          <w:lang w:val="en-US"/>
        </w:rPr>
        <w:fldChar w:fldCharType="begin" w:fldLock="1"/>
      </w:r>
      <w:r w:rsidR="00B20EBB">
        <w:rPr>
          <w:lang w:val="en-US"/>
        </w:rPr>
        <w:instrText>ADDIN CSL_CITATION {"citationItems":[{"id":"ITEM-1","itemData":{"DOI":"doi:10.3000/19770677.L_2013.124.eng","abstract":"COMMISSION RECOMMENDATION of 9 April 2013 on the use of common methods to measure and communicate the life cycle environmental performance of products and organisations","author":[{"dropping-particle":"","family":"European Parliament and Council of the European Union","given":"","non-dropping-particle":"","parse-names":false,"suffix":""}],"container-title":"Official Journal of the European Union","id":"ITEM-1","issued":{"date-parts":[["2013"]]},"title":"Directive 2010/63/EU of the European Parliament and of the Council of 22 September 2010 on the protection of animals used for scientific purposes","type":"legislation"},"uris":["http://www.mendeley.com/documents/?uuid=7a865cea-6f56-38c0-9808-2047374c04f8"]}],"mendeley":{"formattedCitation":"[36]","plainTextFormattedCitation":"[36]","previouslyFormattedCitation":"[36]"},"properties":{"noteIndex":0},"schema":"https://github.com/citation-style-language/schema/raw/master/csl-citation.json"}</w:instrText>
      </w:r>
      <w:r w:rsidR="005E1565">
        <w:rPr>
          <w:lang w:val="en-US"/>
        </w:rPr>
        <w:fldChar w:fldCharType="separate"/>
      </w:r>
      <w:r w:rsidR="00B20EBB" w:rsidRPr="00B20EBB">
        <w:rPr>
          <w:noProof/>
          <w:lang w:val="en-US"/>
        </w:rPr>
        <w:t>[36]</w:t>
      </w:r>
      <w:r w:rsidR="005E1565">
        <w:rPr>
          <w:lang w:val="en-US"/>
        </w:rPr>
        <w:fldChar w:fldCharType="end"/>
      </w:r>
      <w:r w:rsidRPr="001E664E">
        <w:rPr>
          <w:lang w:val="en-US"/>
        </w:rPr>
        <w:t>.</w:t>
      </w:r>
    </w:p>
    <w:p w14:paraId="2B230CEC" w14:textId="77777777" w:rsidR="00291838" w:rsidRDefault="00291838" w:rsidP="00291838">
      <w:pPr>
        <w:spacing w:line="360" w:lineRule="auto"/>
        <w:contextualSpacing/>
        <w:jc w:val="both"/>
        <w:rPr>
          <w:b/>
          <w:lang w:val="en-US"/>
        </w:rPr>
      </w:pPr>
    </w:p>
    <w:p w14:paraId="7AB37DB1" w14:textId="3289B2DC" w:rsidR="00F02E89" w:rsidRDefault="00E01693">
      <w:pPr>
        <w:spacing w:line="360" w:lineRule="auto"/>
        <w:contextualSpacing/>
        <w:outlineLvl w:val="0"/>
        <w:rPr>
          <w:b/>
          <w:bCs/>
          <w:lang w:val="en-US"/>
        </w:rPr>
      </w:pPr>
      <w:r>
        <w:rPr>
          <w:b/>
          <w:bCs/>
          <w:lang w:val="en-US"/>
        </w:rPr>
        <w:t>2.3.</w:t>
      </w:r>
      <w:r w:rsidR="00291838">
        <w:rPr>
          <w:b/>
          <w:bCs/>
          <w:lang w:val="en-US"/>
        </w:rPr>
        <w:t>2</w:t>
      </w:r>
      <w:r>
        <w:rPr>
          <w:b/>
          <w:bCs/>
          <w:lang w:val="en-US"/>
        </w:rPr>
        <w:t xml:space="preserve">. Zebrafish maintenance and egg production </w:t>
      </w:r>
    </w:p>
    <w:p w14:paraId="52E9E5D6" w14:textId="49125A21" w:rsidR="00F02E89" w:rsidRDefault="00E01693">
      <w:pPr>
        <w:spacing w:line="360" w:lineRule="auto"/>
        <w:contextualSpacing/>
        <w:jc w:val="both"/>
      </w:pPr>
      <w:r>
        <w:rPr>
          <w:lang w:val="en-US" w:eastAsia="hr-HR"/>
        </w:rPr>
        <w:t xml:space="preserve">Zebrafish </w:t>
      </w:r>
      <w:r>
        <w:rPr>
          <w:i/>
          <w:iCs/>
          <w:lang w:val="en-US" w:eastAsia="hr-HR"/>
        </w:rPr>
        <w:t xml:space="preserve">D. </w:t>
      </w:r>
      <w:proofErr w:type="spellStart"/>
      <w:r>
        <w:rPr>
          <w:i/>
          <w:iCs/>
          <w:lang w:val="en-US" w:eastAsia="hr-HR"/>
        </w:rPr>
        <w:t>rerio</w:t>
      </w:r>
      <w:proofErr w:type="spellEnd"/>
      <w:r>
        <w:rPr>
          <w:lang w:val="en-US" w:eastAsia="hr-HR"/>
        </w:rPr>
        <w:t xml:space="preserve"> (wildtype</w:t>
      </w:r>
      <w:r>
        <w:rPr>
          <w:lang w:val="en-US"/>
        </w:rPr>
        <w:t>) were maintained under controlled laboratory conditions, described in detail in our previous works</w:t>
      </w:r>
      <w:bookmarkStart w:id="23" w:name="__Fieldmark__14066_1509016404"/>
      <w:bookmarkEnd w:id="23"/>
      <w:r w:rsidR="00820881">
        <w:rPr>
          <w:lang w:val="en-US"/>
        </w:rPr>
        <w:t xml:space="preserve"> </w:t>
      </w:r>
      <w:r w:rsidR="005E1565">
        <w:rPr>
          <w:lang w:val="en-US"/>
        </w:rPr>
        <w:fldChar w:fldCharType="begin" w:fldLock="1"/>
      </w:r>
      <w:r w:rsidR="004746A2">
        <w:rPr>
          <w:lang w:val="en-US"/>
        </w:rPr>
        <w:instrText>ADDIN CSL_CITATION {"citationItems":[{"id":"ITEM-1","itemData":{"DOI":"10.1016/j.watres.2017.02.049","ISSN":"18792448","abstract":"Wastewater treatment plant (WWTP) effluents are often complex mixtures of various organic and inorganic substances. Quality control of wastewaters and sludges has been regulated with measuring several physico-chemical parameters and sometimes using biological methods with non-specific responses, while synergistic action mechanisms of contaminants in such complex mixtures is still unknown. Toxic effects of wastewaters within and downstream of the WWTP in City of Virovitica, Croatia, were tested on zebrafish Danio rerio using a set of biomarkers that enabled an insight in wastewaters toxic potential on embryos at the cellular, tissue and the whole organism level during an early ontogenesis (24 and 48 hpf). Exposure of embryos to the wastewater samples from WWTP Virovitica increased mortality and abnormality rate. Heart rate, spontaneous movements and pigmentation formation were also markedly affected. Biochemical markers confirmed the presence of MXR inhibitors in all tested wastewater samples, indicating the increase of pollutant accumulation in the cell/organism. Also, a tendency of DNA damage decrease measured with Comet assay was evident in wastewater samples downstream from WWTP although control levels were not reached in any environmental sample. Histopathological analysis showed that exposure to tested samples resulted in impaired muscle organization, notochord malformation and retardation in eye and brain development at embryos 48 hpf. Furthermore, semi-quantitative histopathology assessment indicated increased percentage of embryo defects in river water sampled several kilometers downstream from the WWTP, confirming toxic potential of WWTP effluents. Extension of the zebrafish embryotoxicity test (ZET) with biochemical and histopathological biomarkers could serve as a guiding principle in biomonitoring of wastewater contamination.","author":[{"dropping-particle":"","family":"Babić","given":"Sanja","non-dropping-particle":"","parse-names":false,"suffix":""},{"dropping-particle":"","family":"Barišić","given":"Josip","non-dropping-particle":"","parse-names":false,"suffix":""},{"dropping-particle":"","family":"Višić","given":"Hrvoje","non-dropping-particle":"","parse-names":false,"suffix":""},{"dropping-particle":"","family":"Sauerborn Klobučar","given":"Roberta","non-dropping-particle":"","parse-names":false,"suffix":""},{"dropping-particle":"","family":"Topić Popović","given":"Natalija","non-dropping-particle":"","parse-names":false,"suffix":""},{"dropping-particle":"","family":"Strunjak-Perović","given":"Ivančica","non-dropping-particle":"","parse-names":false,"suffix":""},{"dropping-particle":"","family":"Čož-Rakovac","given":"Rozelindra","non-dropping-particle":"","parse-names":false,"suffix":""},{"dropping-particle":"","family":"Klobučar","given":"Göran","non-dropping-particle":"","parse-names":false,"suffix":""}],"container-title":"Water Research","id":"ITEM-1","issued":{"date-parts":[["2017"]]},"title":"Embryotoxic and genotoxic effects of sewage effluents in zebrafish embryo using multiple endpoint testing","type":"article-journal"},"uris":["http://www.mendeley.com/documents/?uuid=a50d48cc-ca41-3c2f-92f2-a6098be7f86a"]}],"mendeley":{"formattedCitation":"[27]","plainTextFormattedCitation":"[27]","previouslyFormattedCitation":"[27]"},"properties":{"noteIndex":0},"schema":"https://github.com/citation-style-language/schema/raw/master/csl-citation.json"}</w:instrText>
      </w:r>
      <w:r w:rsidR="005E1565">
        <w:rPr>
          <w:lang w:val="en-US"/>
        </w:rPr>
        <w:fldChar w:fldCharType="separate"/>
      </w:r>
      <w:r w:rsidR="00B20EBB" w:rsidRPr="00B20EBB">
        <w:rPr>
          <w:noProof/>
          <w:lang w:val="en-US"/>
        </w:rPr>
        <w:t>[27]</w:t>
      </w:r>
      <w:r w:rsidR="005E1565">
        <w:rPr>
          <w:lang w:val="en-US"/>
        </w:rPr>
        <w:fldChar w:fldCharType="end"/>
      </w:r>
      <w:r>
        <w:rPr>
          <w:lang w:val="en-US"/>
        </w:rPr>
        <w:t>.</w:t>
      </w:r>
      <w:r>
        <w:rPr>
          <w:vertAlign w:val="superscript"/>
          <w:lang w:val="en-US"/>
        </w:rPr>
        <w:t>⁠</w:t>
      </w:r>
      <w:r>
        <w:rPr>
          <w:lang w:val="en-US"/>
        </w:rPr>
        <w:t xml:space="preserve"> In the evening, males and females were sequentially added into the </w:t>
      </w:r>
      <w:proofErr w:type="spellStart"/>
      <w:r>
        <w:rPr>
          <w:lang w:val="en-US"/>
        </w:rPr>
        <w:t>iSpawn</w:t>
      </w:r>
      <w:proofErr w:type="spellEnd"/>
      <w:r>
        <w:rPr>
          <w:lang w:val="en-US"/>
        </w:rPr>
        <w:t>-S Benchtop Size Breeding System (</w:t>
      </w:r>
      <w:proofErr w:type="spellStart"/>
      <w:r>
        <w:rPr>
          <w:lang w:val="en-US"/>
        </w:rPr>
        <w:t>Techniplast</w:t>
      </w:r>
      <w:proofErr w:type="spellEnd"/>
      <w:r>
        <w:rPr>
          <w:lang w:val="en-US"/>
        </w:rPr>
        <w:t xml:space="preserve">, Italy) and were kept separated by a divider. The next day, the divider was removed and the spawning platform lifted to initiate the spawning. After spawning, eggs were collected within 20 min using 800 </w:t>
      </w:r>
      <w:proofErr w:type="spellStart"/>
      <w:r>
        <w:rPr>
          <w:lang w:val="en-US"/>
        </w:rPr>
        <w:t>μm</w:t>
      </w:r>
      <w:proofErr w:type="spellEnd"/>
      <w:r>
        <w:rPr>
          <w:lang w:val="en-US"/>
        </w:rPr>
        <w:t xml:space="preserve"> mesh and were rinsed with </w:t>
      </w:r>
      <w:r w:rsidR="005E1565">
        <w:rPr>
          <w:lang w:val="en-US"/>
        </w:rPr>
        <w:t>artificial water (</w:t>
      </w:r>
      <w:r>
        <w:rPr>
          <w:lang w:val="en-US"/>
        </w:rPr>
        <w:t>AW</w:t>
      </w:r>
      <w:r w:rsidR="005E1565">
        <w:rPr>
          <w:lang w:val="en-US"/>
        </w:rPr>
        <w:t>)</w:t>
      </w:r>
      <w:r>
        <w:rPr>
          <w:lang w:val="en-US"/>
        </w:rPr>
        <w:t xml:space="preserve"> in order to remove the debris. </w:t>
      </w:r>
    </w:p>
    <w:p w14:paraId="72232A5E" w14:textId="77777777" w:rsidR="00F02E89" w:rsidRDefault="00F02E89">
      <w:pPr>
        <w:spacing w:line="360" w:lineRule="auto"/>
        <w:contextualSpacing/>
        <w:rPr>
          <w:lang w:val="en-US"/>
        </w:rPr>
      </w:pPr>
    </w:p>
    <w:p w14:paraId="4A1D3A01" w14:textId="6F6CD922" w:rsidR="00F02E89" w:rsidRDefault="00E01693">
      <w:pPr>
        <w:spacing w:line="360" w:lineRule="auto"/>
        <w:contextualSpacing/>
        <w:outlineLvl w:val="0"/>
        <w:rPr>
          <w:b/>
          <w:bCs/>
          <w:lang w:val="en-US"/>
        </w:rPr>
      </w:pPr>
      <w:r>
        <w:rPr>
          <w:b/>
          <w:bCs/>
          <w:lang w:val="en-US"/>
        </w:rPr>
        <w:t>2.3.</w:t>
      </w:r>
      <w:r w:rsidR="00291838">
        <w:rPr>
          <w:b/>
          <w:bCs/>
          <w:lang w:val="en-US"/>
        </w:rPr>
        <w:t>3</w:t>
      </w:r>
      <w:r>
        <w:rPr>
          <w:b/>
          <w:bCs/>
          <w:lang w:val="en-US"/>
        </w:rPr>
        <w:t>. Zebrafish embryotoxicity test</w:t>
      </w:r>
    </w:p>
    <w:p w14:paraId="5E471AE4" w14:textId="0878B5A5" w:rsidR="00F02E89" w:rsidRDefault="00E01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pPr>
      <w:r>
        <w:rPr>
          <w:lang w:val="en-US"/>
        </w:rPr>
        <w:t>Exposure was performed by the ZET test</w:t>
      </w:r>
      <w:bookmarkStart w:id="24" w:name="__Fieldmark__14084_1509016404"/>
      <w:bookmarkEnd w:id="24"/>
      <w:r w:rsidR="00820881">
        <w:rPr>
          <w:lang w:val="en-US"/>
        </w:rPr>
        <w:t xml:space="preserve"> </w:t>
      </w:r>
      <w:r w:rsidR="0050232C">
        <w:rPr>
          <w:lang w:val="en-US"/>
        </w:rPr>
        <w:fldChar w:fldCharType="begin" w:fldLock="1"/>
      </w:r>
      <w:r w:rsidR="00B20EBB">
        <w:rPr>
          <w:lang w:val="en-US"/>
        </w:rPr>
        <w:instrText>ADDIN CSL_CITATION {"citationItems":[{"id":"ITEM-1","itemData":{"DOI":"10.1787/9789264203709-en","ISBN":"9789264203709","abstract":"This Test Guideline is designed to be used for assessing the effects of chemicals on the reproductive output of the enchytraeid worm, 8yhs…ƒfp†„</w:instrText>
      </w:r>
      <w:r w:rsidR="00B20EBB">
        <w:rPr>
          <w:rFonts w:hint="eastAsia"/>
          <w:lang w:val="en-US"/>
        </w:rPr>
        <w:instrText></w:instrText>
      </w:r>
      <w:r w:rsidR="00B20EBB">
        <w:rPr>
          <w:lang w:val="en-US"/>
        </w:rPr>
        <w:instrText>fwgti†„ Henle 1873, in soil It is based principally on a method developed by the Umweltbundesamt, Germany (1) that has been ring-tested (2). Other methods for testing the toxicity of chemicals to Enchytraeidae and earthworms have also been considered (3)(4)(5)(6)(7)(8).","author":[{"dropping-particle":"","family":"OECD","given":"","non-dropping-particle":"","parse-names":false,"suffix":""}],"container-title":"OECD Guidelines for the Testing of Chemicals, Section 2, OECD Publishing","id":"ITEM-1","issued":{"date-parts":[["2013"]]},"title":"Test No. 236: Fish Embryo Acute Toxicity (FET) Test.","type":"article-journal"},"uris":["http://www.mendeley.com/documents/?uuid=c7d6983b-ac94-32bc-aa15-5dc7e6aded68"]}],"mendeley":{"formattedCitation":"[37]","plainTextFormattedCitation":"[37]","previouslyFormattedCitation":"[37]"},"properties":{"noteIndex":0},"schema":"https://github.com/citation-style-language/schema/raw/master/csl-citation.json"}</w:instrText>
      </w:r>
      <w:r w:rsidR="0050232C">
        <w:rPr>
          <w:lang w:val="en-US"/>
        </w:rPr>
        <w:fldChar w:fldCharType="separate"/>
      </w:r>
      <w:r w:rsidR="00B20EBB" w:rsidRPr="00B20EBB">
        <w:rPr>
          <w:noProof/>
          <w:lang w:val="en-US"/>
        </w:rPr>
        <w:t>[37]</w:t>
      </w:r>
      <w:r w:rsidR="0050232C">
        <w:rPr>
          <w:lang w:val="en-US"/>
        </w:rPr>
        <w:fldChar w:fldCharType="end"/>
      </w:r>
      <w:r>
        <w:rPr>
          <w:lang w:val="en-US"/>
        </w:rPr>
        <w:t>. Fertilized eggs from 4- to 64- blastomeres were selected under a stereomicroscope (PRO-LUX, Croatia) and transferred individually into 24-well plates containing 1 mL of calcined and non-calcined BEA suspensions (25, 50, 100 µg mL</w:t>
      </w:r>
      <w:r>
        <w:rPr>
          <w:vertAlign w:val="superscript"/>
          <w:lang w:val="en-US"/>
        </w:rPr>
        <w:t>-1</w:t>
      </w:r>
      <w:r>
        <w:rPr>
          <w:lang w:val="en-US"/>
        </w:rPr>
        <w:t>) and TEAOH (4.5, 9 and 18 µg mL</w:t>
      </w:r>
      <w:r>
        <w:rPr>
          <w:vertAlign w:val="superscript"/>
          <w:lang w:val="en-US"/>
        </w:rPr>
        <w:t>-1</w:t>
      </w:r>
      <w:r>
        <w:rPr>
          <w:lang w:val="en-US"/>
        </w:rPr>
        <w:t xml:space="preserve">). </w:t>
      </w:r>
      <w:r w:rsidR="00A215E5" w:rsidRPr="00A215E5">
        <w:rPr>
          <w:highlight w:val="yellow"/>
          <w:lang w:val="en-US"/>
        </w:rPr>
        <w:t>The</w:t>
      </w:r>
      <w:r w:rsidR="00A215E5">
        <w:rPr>
          <w:lang w:val="en-US"/>
        </w:rPr>
        <w:t xml:space="preserve"> </w:t>
      </w:r>
      <w:r w:rsidR="00B8506D" w:rsidRPr="00A215E5">
        <w:rPr>
          <w:highlight w:val="yellow"/>
          <w:lang w:val="en-US"/>
        </w:rPr>
        <w:t>artificial water was used</w:t>
      </w:r>
      <w:r w:rsidR="00A215E5" w:rsidRPr="00A215E5">
        <w:rPr>
          <w:highlight w:val="yellow"/>
          <w:lang w:val="en-US"/>
        </w:rPr>
        <w:t xml:space="preserve"> </w:t>
      </w:r>
      <w:r w:rsidR="00A215E5">
        <w:rPr>
          <w:highlight w:val="yellow"/>
          <w:lang w:val="en-US"/>
        </w:rPr>
        <w:t>a</w:t>
      </w:r>
      <w:r w:rsidR="00A215E5" w:rsidRPr="00A215E5">
        <w:rPr>
          <w:highlight w:val="yellow"/>
          <w:lang w:val="en-US"/>
        </w:rPr>
        <w:t>s negative control</w:t>
      </w:r>
      <w:r w:rsidR="00B8506D" w:rsidRPr="00A215E5">
        <w:rPr>
          <w:highlight w:val="yellow"/>
          <w:lang w:val="en-US"/>
        </w:rPr>
        <w:t>.</w:t>
      </w:r>
      <w:r w:rsidR="00B8506D">
        <w:rPr>
          <w:lang w:val="en-US"/>
        </w:rPr>
        <w:t xml:space="preserve"> </w:t>
      </w:r>
      <w:r>
        <w:rPr>
          <w:lang w:val="en-US"/>
        </w:rPr>
        <w:t>Plates were kept at 2</w:t>
      </w:r>
      <w:r w:rsidR="00B8506D">
        <w:rPr>
          <w:lang w:val="en-US"/>
        </w:rPr>
        <w:t>7</w:t>
      </w:r>
      <w:r>
        <w:rPr>
          <w:lang w:val="en-US"/>
        </w:rPr>
        <w:t>.</w:t>
      </w:r>
      <w:r w:rsidR="00B8506D">
        <w:rPr>
          <w:lang w:val="en-US"/>
        </w:rPr>
        <w:t>0</w:t>
      </w:r>
      <w:r>
        <w:rPr>
          <w:lang w:val="en-US"/>
        </w:rPr>
        <w:t>±0.5°C with a 14/10 h light/dark cycle in the Innova 42 incubator shaker (New Brunswick). Daily, 30% of the test sample</w:t>
      </w:r>
      <w:r w:rsidR="00393383">
        <w:rPr>
          <w:lang w:val="en-US"/>
        </w:rPr>
        <w:t xml:space="preserve"> volume</w:t>
      </w:r>
      <w:r w:rsidR="00B8506D">
        <w:rPr>
          <w:lang w:val="en-US"/>
        </w:rPr>
        <w:t xml:space="preserve"> (</w:t>
      </w:r>
      <w:proofErr w:type="spellStart"/>
      <w:r w:rsidR="00B8506D">
        <w:rPr>
          <w:lang w:val="en-US"/>
        </w:rPr>
        <w:t>nano</w:t>
      </w:r>
      <w:proofErr w:type="spellEnd"/>
      <w:r w:rsidR="00B8506D">
        <w:rPr>
          <w:lang w:val="en-US"/>
        </w:rPr>
        <w:t>-zeolites, TEAOH, artificial water)</w:t>
      </w:r>
      <w:r>
        <w:rPr>
          <w:lang w:val="en-US"/>
        </w:rPr>
        <w:t xml:space="preserve"> was replaced</w:t>
      </w:r>
      <w:r w:rsidR="00393383" w:rsidRPr="00393383">
        <w:rPr>
          <w:lang w:val="en-US"/>
        </w:rPr>
        <w:t xml:space="preserve"> </w:t>
      </w:r>
      <w:r w:rsidR="00393383" w:rsidRPr="00A215E5">
        <w:rPr>
          <w:highlight w:val="yellow"/>
          <w:lang w:val="en-US"/>
        </w:rPr>
        <w:t xml:space="preserve">in order to ensure constant conditions - minimize/prevent exposure concentration change during the assay, but </w:t>
      </w:r>
      <w:r w:rsidR="00A215E5">
        <w:rPr>
          <w:highlight w:val="yellow"/>
          <w:lang w:val="en-US"/>
        </w:rPr>
        <w:t>also</w:t>
      </w:r>
      <w:r w:rsidR="00393383" w:rsidRPr="00A215E5">
        <w:rPr>
          <w:highlight w:val="yellow"/>
          <w:lang w:val="en-US"/>
        </w:rPr>
        <w:t xml:space="preserve"> to preserve the optimal dissolved oxygen concentration necessary for zebrafish normal development. </w:t>
      </w:r>
      <w:r w:rsidRPr="00A215E5">
        <w:rPr>
          <w:highlight w:val="yellow"/>
          <w:lang w:val="en-US"/>
        </w:rPr>
        <w:t xml:space="preserve">Prior to solution replacement, </w:t>
      </w:r>
      <w:proofErr w:type="spellStart"/>
      <w:r w:rsidR="00393383" w:rsidRPr="00A215E5">
        <w:rPr>
          <w:highlight w:val="yellow"/>
          <w:lang w:val="en-US"/>
        </w:rPr>
        <w:t>nano-zeolite</w:t>
      </w:r>
      <w:r w:rsidRPr="00A215E5">
        <w:rPr>
          <w:highlight w:val="yellow"/>
          <w:lang w:val="en-US"/>
        </w:rPr>
        <w:t>suspensions</w:t>
      </w:r>
      <w:proofErr w:type="spellEnd"/>
      <w:r w:rsidRPr="00A215E5">
        <w:rPr>
          <w:highlight w:val="yellow"/>
          <w:lang w:val="en-US"/>
        </w:rPr>
        <w:t xml:space="preserve"> were dispersed by </w:t>
      </w:r>
      <w:proofErr w:type="spellStart"/>
      <w:r w:rsidRPr="00A215E5">
        <w:rPr>
          <w:highlight w:val="yellow"/>
          <w:lang w:val="en-US"/>
        </w:rPr>
        <w:t>sonicator</w:t>
      </w:r>
      <w:proofErr w:type="spellEnd"/>
      <w:r w:rsidRPr="00A215E5">
        <w:rPr>
          <w:highlight w:val="yellow"/>
          <w:lang w:val="en-US"/>
        </w:rPr>
        <w:t xml:space="preserve"> in order to prevent agglomeration (</w:t>
      </w:r>
      <w:proofErr w:type="spellStart"/>
      <w:r w:rsidRPr="00A215E5">
        <w:rPr>
          <w:highlight w:val="yellow"/>
          <w:lang w:val="en-US"/>
        </w:rPr>
        <w:t>Bandelin</w:t>
      </w:r>
      <w:proofErr w:type="spellEnd"/>
      <w:r w:rsidRPr="00A215E5">
        <w:rPr>
          <w:highlight w:val="yellow"/>
          <w:lang w:val="en-US"/>
        </w:rPr>
        <w:t xml:space="preserve"> </w:t>
      </w:r>
      <w:proofErr w:type="spellStart"/>
      <w:r w:rsidRPr="00A215E5">
        <w:rPr>
          <w:highlight w:val="yellow"/>
          <w:lang w:val="en-US"/>
        </w:rPr>
        <w:lastRenderedPageBreak/>
        <w:t>Sonorex</w:t>
      </w:r>
      <w:proofErr w:type="spellEnd"/>
      <w:r w:rsidRPr="00A215E5">
        <w:rPr>
          <w:highlight w:val="yellow"/>
          <w:lang w:val="en-US"/>
        </w:rPr>
        <w:t>).</w:t>
      </w:r>
      <w:r>
        <w:rPr>
          <w:lang w:val="en-US"/>
        </w:rPr>
        <w:t xml:space="preserve"> The test was conducted with 10 embryos in three independent replicas. Up to 72 hours post-fertilization (</w:t>
      </w:r>
      <w:proofErr w:type="spellStart"/>
      <w:r>
        <w:rPr>
          <w:lang w:val="en-US"/>
        </w:rPr>
        <w:t>hpf</w:t>
      </w:r>
      <w:proofErr w:type="spellEnd"/>
      <w:r>
        <w:rPr>
          <w:lang w:val="en-US"/>
        </w:rPr>
        <w:t>) lethal and sub-lethal effects were estimated</w:t>
      </w:r>
      <w:bookmarkStart w:id="25" w:name="__UnoMark__128022_1509016404"/>
      <w:r w:rsidR="009F09CB">
        <w:rPr>
          <w:lang w:val="en-US"/>
        </w:rPr>
        <w:t xml:space="preserve"> </w:t>
      </w:r>
      <w:r w:rsidR="005E1565">
        <w:rPr>
          <w:lang w:val="en-US"/>
        </w:rPr>
        <w:fldChar w:fldCharType="begin" w:fldLock="1"/>
      </w:r>
      <w:r w:rsidR="004746A2">
        <w:rPr>
          <w:lang w:val="en-US"/>
        </w:rPr>
        <w:instrText>ADDIN CSL_CITATION {"citationItems":[{"id":"ITEM-1","itemData":{"DOI":"10.1016/j.watres.2017.02.049","ISSN":"18792448","abstract":"Wastewater treatment plant (WWTP) effluents are often complex mixtures of various organic and inorganic substances. Quality control of wastewaters and sludges has been regulated with measuring several physico-chemical parameters and sometimes using biological methods with non-specific responses, while synergistic action mechanisms of contaminants in such complex mixtures is still unknown. Toxic effects of wastewaters within and downstream of the WWTP in City of Virovitica, Croatia, were tested on zebrafish Danio rerio using a set of biomarkers that enabled an insight in wastewaters toxic potential on embryos at the cellular, tissue and the whole organism level during an early ontogenesis (24 and 48 hpf). Exposure of embryos to the wastewater samples from WWTP Virovitica increased mortality and abnormality rate. Heart rate, spontaneous movements and pigmentation formation were also markedly affected. Biochemical markers confirmed the presence of MXR inhibitors in all tested wastewater samples, indicating the increase of pollutant accumulation in the cell/organism. Also, a tendency of DNA damage decrease measured with Comet assay was evident in wastewater samples downstream from WWTP although control levels were not reached in any environmental sample. Histopathological analysis showed that exposure to tested samples resulted in impaired muscle organization, notochord malformation and retardation in eye and brain development at embryos 48 hpf. Furthermore, semi-quantitative histopathology assessment indicated increased percentage of embryo defects in river water sampled several kilometers downstream from the WWTP, confirming toxic potential of WWTP effluents. Extension of the zebrafish embryotoxicity test (ZET) with biochemical and histopathological biomarkers could serve as a guiding principle in biomonitoring of wastewater contamination.","author":[{"dropping-particle":"","family":"Babić","given":"Sanja","non-dropping-particle":"","parse-names":false,"suffix":""},{"dropping-particle":"","family":"Barišić","given":"Josip","non-dropping-particle":"","parse-names":false,"suffix":""},{"dropping-particle":"","family":"Višić","given":"Hrvoje","non-dropping-particle":"","parse-names":false,"suffix":""},{"dropping-particle":"","family":"Sauerborn Klobučar","given":"Roberta","non-dropping-particle":"","parse-names":false,"suffix":""},{"dropping-particle":"","family":"Topić Popović","given":"Natalija","non-dropping-particle":"","parse-names":false,"suffix":""},{"dropping-particle":"","family":"Strunjak-Perović","given":"Ivančica","non-dropping-particle":"","parse-names":false,"suffix":""},{"dropping-particle":"","family":"Čož-Rakovac","given":"Rozelindra","non-dropping-particle":"","parse-names":false,"suffix":""},{"dropping-particle":"","family":"Klobučar","given":"Göran","non-dropping-particle":"","parse-names":false,"suffix":""}],"container-title":"Water Research","id":"ITEM-1","issued":{"date-parts":[["2017"]]},"title":"Embryotoxic and genotoxic effects of sewage effluents in zebrafish embryo using multiple endpoint testing","type":"article-journal"},"uris":["http://www.mendeley.com/documents/?uuid=a50d48cc-ca41-3c2f-92f2-a6098be7f86a"]},{"id":"ITEM-2","itemData":{"DOI":"10.1787/9789264203709-en","ISBN":"9789264203709","abstract":"This Test Guideline is designed to be used for assessing the effects of chemicals on the reproductive output of the enchytraeid worm, 8yhs…ƒfp†„</w:instrText>
      </w:r>
      <w:r w:rsidR="004746A2">
        <w:rPr>
          <w:rFonts w:hint="eastAsia"/>
          <w:lang w:val="en-US"/>
        </w:rPr>
        <w:instrText></w:instrText>
      </w:r>
      <w:r w:rsidR="004746A2">
        <w:rPr>
          <w:lang w:val="en-US"/>
        </w:rPr>
        <w:instrText>fwgti Henle 1873, in soil It is based principally on a method developed by the Umweltbundesamt, Germany (1) that has been ring-tested (2). Other methods for testing the toxicity of chemicals to Enchytraeidae and earthworms have also been considered (3)(4)(5)(6)(7)(8).","author":[{"dropping-particle":"","family":"OECD","given":"","non-dropping-particle":"","parse-names":false,"suffix":""}],"container-title":"OECD Guidelines for the Testing of Chemicals, Section 2, OECD Publishing","id":"ITEM-2","issued":{"date-parts":[["2013"]]},"title":"Test No. 236: Fish Embryo Acute Toxicity (FET) Test.","type":"article-journal"},"uris":["http://www.mendeley.com/documents/?uuid=c7d6983b-ac94-32bc-aa15-5dc7e6aded68"]}],"mendeley":{"formattedCitation":"[27,37]","plainTextFormattedCitation":"[27,37]","previouslyFormattedCitation":"[27,37]"},"properties":{"noteIndex":0},"schema":"https://github.com/citation-style-language/schema/raw/master/csl-citation.json"}</w:instrText>
      </w:r>
      <w:r w:rsidR="005E1565">
        <w:rPr>
          <w:lang w:val="en-US"/>
        </w:rPr>
        <w:fldChar w:fldCharType="separate"/>
      </w:r>
      <w:r w:rsidR="00B20EBB" w:rsidRPr="00B20EBB">
        <w:rPr>
          <w:noProof/>
          <w:lang w:val="en-US"/>
        </w:rPr>
        <w:t>[27,37]</w:t>
      </w:r>
      <w:r w:rsidR="005E1565">
        <w:rPr>
          <w:lang w:val="en-US"/>
        </w:rPr>
        <w:fldChar w:fldCharType="end"/>
      </w:r>
      <w:r>
        <w:fldChar w:fldCharType="begin"/>
      </w:r>
      <w:bookmarkEnd w:id="25"/>
      <w:r>
        <w:fldChar w:fldCharType="separate"/>
      </w:r>
      <w:r>
        <w:rPr>
          <w:lang w:val="en-US"/>
        </w:rPr>
        <w:t>using an inverted microscope (Olympus CKX41), equipped with Leica EC3 digital camera and LAS EZ 3.2.0 digitizing software. Heartbeat and hatching rates were evaluated by recording beats per 15 sec and percent of hatched larvae, respectively. Pigmentation was also estimated on an ordinal scale between 0 (no pigmentation) and 3 (full pigmentation)</w:t>
      </w:r>
      <w:bookmarkStart w:id="26" w:name="__Fieldmark__14132_1509016404"/>
      <w:r>
        <w:fldChar w:fldCharType="end"/>
      </w:r>
      <w:bookmarkEnd w:id="26"/>
      <w:r w:rsidR="009F09CB">
        <w:t>.</w:t>
      </w:r>
      <w:r>
        <w:rPr>
          <w:vertAlign w:val="superscript"/>
          <w:lang w:val="en-US"/>
        </w:rPr>
        <w:t xml:space="preserve">⁠ </w:t>
      </w:r>
    </w:p>
    <w:p w14:paraId="68DF978F" w14:textId="77777777" w:rsidR="00F02E89" w:rsidRDefault="00F02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lang w:val="en-US"/>
        </w:rPr>
      </w:pPr>
    </w:p>
    <w:p w14:paraId="64C63704" w14:textId="58E97C76" w:rsidR="00F02E89" w:rsidRDefault="00E01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b/>
          <w:lang w:val="en-US"/>
        </w:rPr>
      </w:pPr>
      <w:r>
        <w:rPr>
          <w:b/>
          <w:lang w:val="en-US"/>
        </w:rPr>
        <w:t>2.3.</w:t>
      </w:r>
      <w:r w:rsidR="00291838">
        <w:rPr>
          <w:b/>
          <w:lang w:val="en-US"/>
        </w:rPr>
        <w:t>3</w:t>
      </w:r>
      <w:r>
        <w:rPr>
          <w:b/>
          <w:lang w:val="en-US"/>
        </w:rPr>
        <w:t>.1. Reactive oxygen species</w:t>
      </w:r>
      <w:r>
        <w:rPr>
          <w:lang w:val="en-US"/>
        </w:rPr>
        <w:t xml:space="preserve"> </w:t>
      </w:r>
      <w:r>
        <w:rPr>
          <w:b/>
          <w:lang w:val="en-US"/>
        </w:rPr>
        <w:t xml:space="preserve">assay </w:t>
      </w:r>
    </w:p>
    <w:p w14:paraId="23398E24" w14:textId="47F5B710" w:rsidR="00F02E89" w:rsidRDefault="00E01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lang w:val="en-US"/>
        </w:rPr>
      </w:pPr>
      <w:r>
        <w:rPr>
          <w:lang w:val="en-US"/>
        </w:rPr>
        <w:t xml:space="preserve">For identification of ROS induced by </w:t>
      </w:r>
      <w:proofErr w:type="spellStart"/>
      <w:r>
        <w:rPr>
          <w:lang w:val="en-US"/>
        </w:rPr>
        <w:t>nano</w:t>
      </w:r>
      <w:proofErr w:type="spellEnd"/>
      <w:r>
        <w:rPr>
          <w:lang w:val="en-US"/>
        </w:rPr>
        <w:t>-zeolites, embryo staining with DCFDA was performed</w:t>
      </w:r>
      <w:bookmarkStart w:id="27" w:name="__Fieldmark__14145_1509016404"/>
      <w:bookmarkEnd w:id="27"/>
      <w:r w:rsidR="009F09CB">
        <w:rPr>
          <w:lang w:val="en-US"/>
        </w:rPr>
        <w:t xml:space="preserve"> </w:t>
      </w:r>
      <w:r w:rsidR="005E1565">
        <w:rPr>
          <w:lang w:val="en-US"/>
        </w:rPr>
        <w:fldChar w:fldCharType="begin" w:fldLock="1"/>
      </w:r>
      <w:r w:rsidR="00B20EBB">
        <w:rPr>
          <w:lang w:val="en-US"/>
        </w:rPr>
        <w:instrText>ADDIN CSL_CITATION {"citationItems":[{"id":"ITEM-1","itemData":{"DOI":"10.1039/c8nr09321k","ISSN":"20403372","abstract":"As nano- and micro-sized plastics accumulate in the environment and the food chain of animals, including humans, it is imperative to assess the effects of nanoplastics in living organisms in a systematic manner, especially because of their ability to adsorb potential toxicants such as pollutants, heavy metals, and organic macromolecules that coexist in the environment. Using the zebrafish embryo as an animal model, we investigated the bioaccumulation and in vivo toxicity of polystyrene (PS) nanoplastics individually or in combination with the Au ion. We showed that smaller PS nanoplastics readily penetrated the chorion and developing embryos and accumulated throughout the whole body, mostly in lipid-rich regions such as in yolk lipids. We also showed that PS nanoplastics induced only marginal effects on the survival, hatching rate, developmental abnormalities, and cell death of zebrafish embryos but that these effects were synergistically exacerbated by the Au ion in a dose- and size-dependent manner. Such exacerbation of toxicity was well correlated with the production of reactive oxygen species and the pro-inflammatory responses synergized by the presence of PS, supporting the combined toxicity of PS and Au ions. The synergistic effect of PS on toxicity appeared to relate to mitochondrial damage as determined by ultrastructural analysis. Taken together, the effects of PS nanoplastics were marginal but could be a trigger for exacerbating the toxicity induced by other toxicants such as metal ions.","author":[{"dropping-particle":"","family":"Lee","given":"Wang Sik","non-dropping-particle":"","parse-names":false,"suffix":""},{"dropping-particle":"","family":"Cho","given":"Hyun Ju","non-dropping-particle":"","parse-names":false,"suffix":""},{"dropping-particle":"","family":"Kim","given":"Eungwang","non-dropping-particle":"","parse-names":false,"suffix":""},{"dropping-particle":"","family":"Huh","given":"Yang Hoon","non-dropping-particle":"","parse-names":false,"suffix":""},{"dropping-particle":"","family":"Kim","given":"Hyo Jeong","non-dropping-particle":"","parse-names":false,"suffix":""},{"dropping-particle":"","family":"Kim","given":"Bongsoo","non-dropping-particle":"","parse-names":false,"suffix":""},{"dropping-particle":"","family":"Kang","given":"Taejoon","non-dropping-particle":"","parse-names":false,"suffix":""},{"dropping-particle":"","family":"Lee","given":"Jeong Soo","non-dropping-particle":"","parse-names":false,"suffix":""},{"dropping-particle":"","family":"Jeong","given":"Jinyoung","non-dropping-particle":"","parse-names":false,"suffix":""}],"container-title":"Nanoscale","id":"ITEM-1","issued":{"date-parts":[["2019"]]},"title":"Bioaccumulation of polystyrene nanoplastics and their effect on the toxicity of Au ions in zebrafish embryos","type":"article-journal"},"uris":["http://www.mendeley.com/documents/?uuid=44cca836-7d11-3946-a086-8422ceb9f3e5"]}],"mendeley":{"formattedCitation":"[38]","plainTextFormattedCitation":"[38]","previouslyFormattedCitation":"[38]"},"properties":{"noteIndex":0},"schema":"https://github.com/citation-style-language/schema/raw/master/csl-citation.json"}</w:instrText>
      </w:r>
      <w:r w:rsidR="005E1565">
        <w:rPr>
          <w:lang w:val="en-US"/>
        </w:rPr>
        <w:fldChar w:fldCharType="separate"/>
      </w:r>
      <w:r w:rsidR="00B20EBB" w:rsidRPr="00B20EBB">
        <w:rPr>
          <w:noProof/>
          <w:lang w:val="en-US"/>
        </w:rPr>
        <w:t>[38]</w:t>
      </w:r>
      <w:r w:rsidR="005E1565">
        <w:rPr>
          <w:lang w:val="en-US"/>
        </w:rPr>
        <w:fldChar w:fldCharType="end"/>
      </w:r>
      <w:r>
        <w:rPr>
          <w:lang w:val="en-US"/>
        </w:rPr>
        <w:t>.</w:t>
      </w:r>
      <w:r w:rsidR="009F09CB">
        <w:rPr>
          <w:lang w:val="en-US"/>
        </w:rPr>
        <w:t xml:space="preserve"> </w:t>
      </w:r>
      <w:r>
        <w:rPr>
          <w:lang w:val="en-US"/>
        </w:rPr>
        <w:t xml:space="preserve">DCFDA is commonly used in detecting oxidative stress in zebrafish embryos because it is a cell-permeable and ROS-reactive reagent. After 72 </w:t>
      </w:r>
      <w:proofErr w:type="spellStart"/>
      <w:r>
        <w:rPr>
          <w:lang w:val="en-US"/>
        </w:rPr>
        <w:t>hpf</w:t>
      </w:r>
      <w:proofErr w:type="spellEnd"/>
      <w:r>
        <w:rPr>
          <w:lang w:val="en-US"/>
        </w:rPr>
        <w:t xml:space="preserve"> larvae exposed to the highest concentration of each tested sample</w:t>
      </w:r>
      <w:r w:rsidR="00A02432">
        <w:rPr>
          <w:lang w:val="en-US"/>
        </w:rPr>
        <w:t xml:space="preserve"> </w:t>
      </w:r>
      <w:r w:rsidR="00A02432" w:rsidRPr="00A215E5">
        <w:rPr>
          <w:highlight w:val="yellow"/>
          <w:lang w:val="en-US"/>
        </w:rPr>
        <w:t>(100 and 18 µg mL</w:t>
      </w:r>
      <w:r w:rsidR="00A02432" w:rsidRPr="00A215E5">
        <w:rPr>
          <w:highlight w:val="yellow"/>
          <w:vertAlign w:val="superscript"/>
          <w:lang w:val="en-US"/>
        </w:rPr>
        <w:t>-1</w:t>
      </w:r>
      <w:r w:rsidR="00A02432" w:rsidRPr="00A215E5">
        <w:rPr>
          <w:highlight w:val="yellow"/>
          <w:lang w:val="en-US"/>
        </w:rPr>
        <w:t xml:space="preserve"> of </w:t>
      </w:r>
      <w:proofErr w:type="spellStart"/>
      <w:r w:rsidR="00A02432" w:rsidRPr="00A215E5">
        <w:rPr>
          <w:highlight w:val="yellow"/>
          <w:lang w:val="en-US"/>
        </w:rPr>
        <w:t>nano</w:t>
      </w:r>
      <w:proofErr w:type="spellEnd"/>
      <w:r w:rsidR="00A02432" w:rsidRPr="00A215E5">
        <w:rPr>
          <w:highlight w:val="yellow"/>
          <w:lang w:val="en-US"/>
        </w:rPr>
        <w:t>-zeolite suspensions and TEAOH, respectively)</w:t>
      </w:r>
      <w:r>
        <w:rPr>
          <w:lang w:val="en-US"/>
        </w:rPr>
        <w:t xml:space="preserve"> were rinsed three times with AW and exposed to 10 </w:t>
      </w:r>
      <w:proofErr w:type="spellStart"/>
      <w:r>
        <w:rPr>
          <w:lang w:val="en-US"/>
        </w:rPr>
        <w:t>μM</w:t>
      </w:r>
      <w:proofErr w:type="spellEnd"/>
      <w:r>
        <w:rPr>
          <w:lang w:val="en-US"/>
        </w:rPr>
        <w:t xml:space="preserve"> DCFDA in darkness. After 1 h of incubation, larvae were rinsed three times with AW and anesthetized with 0.03% MS-222 for 2 min. ROS formation was observed in DCFDA-stained fish using a fluorescence microscope (Olympus® BX51 light binocular microscope equipped with the Microsoft® </w:t>
      </w:r>
      <w:proofErr w:type="spellStart"/>
      <w:r>
        <w:rPr>
          <w:lang w:val="en-US"/>
        </w:rPr>
        <w:t>AnalySIS</w:t>
      </w:r>
      <w:proofErr w:type="spellEnd"/>
      <w:r>
        <w:rPr>
          <w:lang w:val="en-US"/>
        </w:rPr>
        <w:t xml:space="preserve"> Soft Imaging System Software) with a green fluorescent filter.</w:t>
      </w:r>
      <w:r>
        <w:t xml:space="preserve"> </w:t>
      </w:r>
      <w:r>
        <w:rPr>
          <w:lang w:val="en-US"/>
        </w:rPr>
        <w:t xml:space="preserve">Semi-quantitative analysis was performed using ImageJ software (n=10). In order to detect possible interferences of </w:t>
      </w:r>
      <w:proofErr w:type="spellStart"/>
      <w:r>
        <w:rPr>
          <w:lang w:val="en-US"/>
        </w:rPr>
        <w:t>nano</w:t>
      </w:r>
      <w:proofErr w:type="spellEnd"/>
      <w:r>
        <w:rPr>
          <w:lang w:val="en-US"/>
        </w:rPr>
        <w:t>-zeolites with the ROS assay (e.g. binding of assay components, fluorescence interference due to the same wavelength of the assay dye and tested samples), interference</w:t>
      </w:r>
      <w:r w:rsidR="0059652B">
        <w:rPr>
          <w:lang w:val="en-US"/>
        </w:rPr>
        <w:t xml:space="preserve"> controls were run in parallel</w:t>
      </w:r>
      <w:r w:rsidR="00C62DC2">
        <w:rPr>
          <w:lang w:val="en-US"/>
        </w:rPr>
        <w:t xml:space="preserve"> </w:t>
      </w:r>
      <w:r w:rsidR="005E1565">
        <w:rPr>
          <w:lang w:val="en-US"/>
        </w:rPr>
        <w:fldChar w:fldCharType="begin" w:fldLock="1"/>
      </w:r>
      <w:r w:rsidR="00B20EBB">
        <w:rPr>
          <w:lang w:val="en-US"/>
        </w:rPr>
        <w:instrText>ADDIN CSL_CITATION {"citationItems":[{"id":"ITEM-1","itemData":{"DOI":"10.1515/entl-2015-0006","abstract":"Manufactured nanomaterials provide promising features for new technologies in cosmetic, food, and pharmaceutical applications. On the other hand, orally ingested nanomaterials/ nanoparticles may interact with or enter intestinal cells via different mechanisms, resulting in possible injuries of the biological system. For that reason, the current study aims to provide useful information concerning physicochemical properties of nanoparticles with regard to cytotoxic effects and uptake mechanisms in the small intestine. Differently charged polystyrene nanoparticles were used and cytotoxicity and uptake were studied with an intestinal in vitro co-culture model, mimicking the villus epithelium and a triple-culture model recapitulating the follicle-associated epithelium. Mechanisms of cellular transport were investigated at 37°C and 4°C to verify that internalization mainly occurs energy-dependently. Chemical inhibitors (i.e., chlorpromazine, genistein, dynasore) were used to block dynamin-dependent endocytic pathways without affecting cell viability and membrane integrity. Qualification and quantification were performed via confocal microscopy and flow cytometry. Furthermore, co-localization studies with commonly used markers (i.e., transferrin, lactosylceramide) were carried out and co-localization was assessed via calculation of Pearson´s correlation coefficient and Mander´s overlap coefficient. The results show that size and surface chemistry play a crucial role in cytotoxic interactions and cellular uptake of nanoparticles (NPs). Independent of the surface charge, NPs strongly interact with intestinal mucus and are immobilized. Uptake predominantly occurs via M cells and is surface-charge dependent. Whereas negatively charged particles fail to enter cells, positive and neutral particles penetrate M cells energy-dependently. More precisely, both clathrin- and caveolae-mediated endocytosis are involved. It can be concluded that the presented system serves as a valuable tool to assess safety aspects of manufactured nanomaterials and hence, substantially contributes to nanosafety efforts.","author":[{"dropping-particle":"","family":"Schimpel","given":"Christa","non-dropping-particle":"","parse-names":false,"suffix":""},{"dropping-particle":"","family":"Rinner","given":"Beate","non-dropping-particle":"","parse-names":false,"suffix":""},{"dropping-particle":"","family":"Absenger-Novak","given":"Markus","non-dropping-particle":"","parse-names":false,"suffix":""},{"dropping-particle":"","family":"Meindl","given":"Claudia","non-dropping-particle":"","parse-names":false,"suffix":""},{"dropping-particle":"","family":"Fröhlich","given":"Eleonore","non-dropping-particle":"","parse-names":false,"suffix":""},{"dropping-particle":"","family":"Falk","given":"Andreas","non-dropping-particle":"","parse-names":false,"suffix":""},{"dropping-particle":"","family":"Zimmer","given":"Andreas","non-dropping-particle":"","parse-names":false,"suffix":""},{"dropping-particle":"","family":"Roblegg","given":"Eva","non-dropping-particle":"","parse-names":false,"suffix":""}],"container-title":"EURO-NanoTox-Letters","id":"ITEM-1","issued":{"date-parts":[["2016"]]},"title":"A novel In Vitro Model for Studying Nanoparticle Interactions with the Small Intestine","type":"article-journal"},"uris":["http://www.mendeley.com/documents/?uuid=40100b89-7e71-3e43-bf49-29e54ccaf654"]}],"mendeley":{"formattedCitation":"[39]","plainTextFormattedCitation":"[39]","previouslyFormattedCitation":"[39]"},"properties":{"noteIndex":0},"schema":"https://github.com/citation-style-language/schema/raw/master/csl-citation.json"}</w:instrText>
      </w:r>
      <w:r w:rsidR="005E1565">
        <w:rPr>
          <w:lang w:val="en-US"/>
        </w:rPr>
        <w:fldChar w:fldCharType="separate"/>
      </w:r>
      <w:r w:rsidR="00B20EBB" w:rsidRPr="00B20EBB">
        <w:rPr>
          <w:noProof/>
          <w:lang w:val="en-US"/>
        </w:rPr>
        <w:t>[39]</w:t>
      </w:r>
      <w:r w:rsidR="005E1565">
        <w:rPr>
          <w:lang w:val="en-US"/>
        </w:rPr>
        <w:fldChar w:fldCharType="end"/>
      </w:r>
      <w:r>
        <w:rPr>
          <w:lang w:val="en-US"/>
        </w:rPr>
        <w:t xml:space="preserve">.  </w:t>
      </w:r>
    </w:p>
    <w:p w14:paraId="720EADF4" w14:textId="77777777" w:rsidR="0059652B" w:rsidRDefault="00596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lang w:val="en-US"/>
        </w:rPr>
      </w:pPr>
    </w:p>
    <w:p w14:paraId="3834504B" w14:textId="2845F641" w:rsidR="00F02E89" w:rsidRDefault="00E01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b/>
          <w:lang w:val="en-US"/>
        </w:rPr>
      </w:pPr>
      <w:r>
        <w:rPr>
          <w:b/>
          <w:lang w:val="en-US"/>
        </w:rPr>
        <w:t>2.3.</w:t>
      </w:r>
      <w:r w:rsidR="00291838" w:rsidDel="00291838">
        <w:rPr>
          <w:b/>
          <w:lang w:val="en-US"/>
        </w:rPr>
        <w:t xml:space="preserve"> </w:t>
      </w:r>
      <w:r w:rsidR="00291838">
        <w:rPr>
          <w:b/>
          <w:lang w:val="en-US"/>
        </w:rPr>
        <w:t>3</w:t>
      </w:r>
      <w:r>
        <w:rPr>
          <w:b/>
          <w:lang w:val="en-US"/>
        </w:rPr>
        <w:t xml:space="preserve">.2. Apoptosis assay </w:t>
      </w:r>
    </w:p>
    <w:p w14:paraId="49F92164" w14:textId="2797B6ED" w:rsidR="00F02E89" w:rsidRDefault="00E01693" w:rsidP="00A0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pPr>
      <w:r>
        <w:rPr>
          <w:lang w:val="en-US"/>
        </w:rPr>
        <w:t xml:space="preserve">To investigate the potential apoptosis in </w:t>
      </w:r>
      <w:r w:rsidR="003263A7">
        <w:rPr>
          <w:lang w:val="en-US"/>
        </w:rPr>
        <w:t xml:space="preserve">the whole </w:t>
      </w:r>
      <w:r>
        <w:rPr>
          <w:lang w:val="en-US"/>
        </w:rPr>
        <w:t>zebrafish</w:t>
      </w:r>
      <w:r w:rsidR="003263A7">
        <w:rPr>
          <w:lang w:val="en-US"/>
        </w:rPr>
        <w:t xml:space="preserve"> larvae</w:t>
      </w:r>
      <w:r>
        <w:rPr>
          <w:lang w:val="en-US"/>
        </w:rPr>
        <w:t>, nucleic acid-selective dye, AO was used</w:t>
      </w:r>
      <w:bookmarkStart w:id="28" w:name="__Fieldmark__14176_1509016404"/>
      <w:bookmarkEnd w:id="28"/>
      <w:r w:rsidR="009F09CB">
        <w:rPr>
          <w:lang w:val="en-US"/>
        </w:rPr>
        <w:t xml:space="preserve"> </w:t>
      </w:r>
      <w:r w:rsidR="004746A2">
        <w:rPr>
          <w:lang w:val="en-US"/>
        </w:rPr>
        <w:fldChar w:fldCharType="begin" w:fldLock="1"/>
      </w:r>
      <w:r w:rsidR="001C2278">
        <w:rPr>
          <w:lang w:val="en-US"/>
        </w:rPr>
        <w:instrText>ADDIN CSL_CITATION {"citationItems":[{"id":"ITEM-1","itemData":{"DOI":"10.1039/c8nr09321k","ISSN":"20403372","abstract":"As nano- and micro-sized plastics accumulate in the environment and the food chain of animals, including humans, it is imperative to assess the effects of nanoplastics in living organisms in a systematic manner, especially because of their ability to adsorb potential toxicants such as pollutants, heavy metals, and organic macromolecules that coexist in the environment. Using the zebrafish embryo as an animal model, we investigated the bioaccumulation and in vivo toxicity of polystyrene (PS) nanoplastics individually or in combination with the Au ion. We showed that smaller PS nanoplastics readily penetrated the chorion and developing embryos and accumulated throughout the whole body, mostly in lipid-rich regions such as in yolk lipids. We also showed that PS nanoplastics induced only marginal effects on the survival, hatching rate, developmental abnormalities, and cell death of zebrafish embryos but that these effects were synergistically exacerbated by the Au ion in a dose- and size-dependent manner. Such exacerbation of toxicity was well correlated with the production of reactive oxygen species and the pro-inflammatory responses synergized by the presence of PS, supporting the combined toxicity of PS and Au ions. The synergistic effect of PS on toxicity appeared to relate to mitochondrial damage as determined by ultrastructural analysis. Taken together, the effects of PS nanoplastics were marginal but could be a trigger for exacerbating the toxicity induced by other toxicants such as metal ions.","author":[{"dropping-particle":"","family":"Lee","given":"Wang Sik","non-dropping-particle":"","parse-names":false,"suffix":""},{"dropping-particle":"","family":"Cho","given":"Hyun Ju","non-dropping-particle":"","parse-names":false,"suffix":""},{"dropping-particle":"","family":"Kim","given":"Eungwang","non-dropping-particle":"","parse-names":false,"suffix":""},{"dropping-particle":"","family":"Huh","given":"Yang Hoon","non-dropping-particle":"","parse-names":false,"suffix":""},{"dropping-particle":"","family":"Kim","given":"Hyo Jeong","non-dropping-particle":"","parse-names":false,"suffix":""},{"dropping-particle":"","family":"Kim","given":"Bongsoo","non-dropping-particle":"","parse-names":false,"suffix":""},{"dropping-particle":"","family":"Kang","given":"Taejoon","non-dropping-particle":"","parse-names":false,"suffix":""},{"dropping-particle":"","family":"Lee","given":"Jeong Soo","non-dropping-particle":"","parse-names":false,"suffix":""},{"dropping-particle":"","family":"Jeong","given":"Jinyoung","non-dropping-particle":"","parse-names":false,"suffix":""}],"container-title":"Nanoscale","id":"ITEM-1","issued":{"date-parts":[["2019"]]},"title":"Bioaccumulation of polystyrene nanoplastics and their effect on the toxicity of Au ions in zebrafish embryos","type":"article-journal"},"uris":["http://www.mendeley.com/documents/?uuid=44cca836-7d11-3946-a086-8422ceb9f3e5"]}],"mendeley":{"formattedCitation":"[38]","plainTextFormattedCitation":"[38]","previouslyFormattedCitation":"[38]"},"properties":{"noteIndex":0},"schema":"https://github.com/citation-style-language/schema/raw/master/csl-citation.json"}</w:instrText>
      </w:r>
      <w:r w:rsidR="004746A2">
        <w:rPr>
          <w:lang w:val="en-US"/>
        </w:rPr>
        <w:fldChar w:fldCharType="separate"/>
      </w:r>
      <w:r w:rsidR="004746A2" w:rsidRPr="004746A2">
        <w:rPr>
          <w:noProof/>
          <w:lang w:val="en-US"/>
        </w:rPr>
        <w:t>[38]</w:t>
      </w:r>
      <w:r w:rsidR="004746A2">
        <w:rPr>
          <w:lang w:val="en-US"/>
        </w:rPr>
        <w:fldChar w:fldCharType="end"/>
      </w:r>
      <w:r w:rsidR="009F09CB">
        <w:rPr>
          <w:lang w:val="en-US"/>
        </w:rPr>
        <w:t>.</w:t>
      </w:r>
      <w:r>
        <w:rPr>
          <w:vertAlign w:val="superscript"/>
          <w:lang w:val="en-US"/>
        </w:rPr>
        <w:t>⁠</w:t>
      </w:r>
      <w:r>
        <w:rPr>
          <w:lang w:val="en-US"/>
        </w:rPr>
        <w:t xml:space="preserve"> </w:t>
      </w:r>
      <w:r w:rsidR="00A02432" w:rsidRPr="00A215E5">
        <w:rPr>
          <w:highlight w:val="yellow"/>
          <w:lang w:val="en-US"/>
        </w:rPr>
        <w:t xml:space="preserve">After 72-h exposure to </w:t>
      </w:r>
      <w:proofErr w:type="spellStart"/>
      <w:r w:rsidR="00A02432" w:rsidRPr="00A215E5">
        <w:rPr>
          <w:highlight w:val="yellow"/>
          <w:lang w:val="en-US"/>
        </w:rPr>
        <w:t>nano</w:t>
      </w:r>
      <w:proofErr w:type="spellEnd"/>
      <w:r w:rsidR="00A02432" w:rsidRPr="00A215E5">
        <w:rPr>
          <w:highlight w:val="yellow"/>
          <w:lang w:val="en-US"/>
        </w:rPr>
        <w:t>-zeolite suspensions (100 µg mL</w:t>
      </w:r>
      <w:r w:rsidR="00A02432" w:rsidRPr="00A215E5">
        <w:rPr>
          <w:highlight w:val="yellow"/>
          <w:vertAlign w:val="superscript"/>
          <w:lang w:val="en-US"/>
        </w:rPr>
        <w:t>-1</w:t>
      </w:r>
      <w:r w:rsidR="00A02432" w:rsidRPr="00A215E5">
        <w:rPr>
          <w:highlight w:val="yellow"/>
          <w:lang w:val="en-US"/>
        </w:rPr>
        <w:t>) and TEAOH (18 µg mL</w:t>
      </w:r>
      <w:r w:rsidR="00A02432" w:rsidRPr="00A215E5">
        <w:rPr>
          <w:highlight w:val="yellow"/>
          <w:vertAlign w:val="superscript"/>
          <w:lang w:val="en-US"/>
        </w:rPr>
        <w:t>-1</w:t>
      </w:r>
      <w:r w:rsidR="00A02432" w:rsidRPr="00A215E5">
        <w:rPr>
          <w:highlight w:val="yellow"/>
          <w:lang w:val="en-US"/>
        </w:rPr>
        <w:t>), zebrafish larvae</w:t>
      </w:r>
      <w:r w:rsidR="00A02432">
        <w:rPr>
          <w:lang w:val="en-US"/>
        </w:rPr>
        <w:t xml:space="preserve"> </w:t>
      </w:r>
      <w:r>
        <w:rPr>
          <w:lang w:val="en-US"/>
        </w:rPr>
        <w:t xml:space="preserve">were rinsed three times with AW and incubated in AO (5 </w:t>
      </w:r>
      <w:proofErr w:type="spellStart"/>
      <w:r>
        <w:rPr>
          <w:lang w:val="en-US"/>
        </w:rPr>
        <w:t>μg</w:t>
      </w:r>
      <w:proofErr w:type="spellEnd"/>
      <w:r>
        <w:rPr>
          <w:lang w:val="en-US"/>
        </w:rPr>
        <w:t xml:space="preserve"> mL</w:t>
      </w:r>
      <w:r>
        <w:rPr>
          <w:vertAlign w:val="superscript"/>
          <w:lang w:val="en-US"/>
        </w:rPr>
        <w:t>−1</w:t>
      </w:r>
      <w:r>
        <w:rPr>
          <w:lang w:val="en-US"/>
        </w:rPr>
        <w:t xml:space="preserve"> in AW) for 30 min in darkness. After the incubation period, fish were rinsed three times with AW. The AO-stained fish were anesthetized with 0.03% MS-222 for 2 min and observed under a fluorescence microscope (Olympus® BX51 light binocular microscope equipped with the Microsoft® </w:t>
      </w:r>
      <w:proofErr w:type="spellStart"/>
      <w:r>
        <w:rPr>
          <w:lang w:val="en-US"/>
        </w:rPr>
        <w:t>AnalySIS</w:t>
      </w:r>
      <w:proofErr w:type="spellEnd"/>
      <w:r>
        <w:rPr>
          <w:lang w:val="en-US"/>
        </w:rPr>
        <w:t xml:space="preserve"> Soft Imaging System Software) with a green fluorescent filter.</w:t>
      </w:r>
      <w:r>
        <w:t xml:space="preserve"> </w:t>
      </w:r>
      <w:r>
        <w:rPr>
          <w:lang w:val="en-US"/>
        </w:rPr>
        <w:t>Semi-quantitative analysis was performed using ImageJ software (n=10). In parallel with these experiments, interference controls were also tested</w:t>
      </w:r>
      <w:r w:rsidR="00C62DC2">
        <w:rPr>
          <w:lang w:val="en-US"/>
        </w:rPr>
        <w:t xml:space="preserve"> </w:t>
      </w:r>
      <w:r w:rsidR="005E1565">
        <w:rPr>
          <w:lang w:val="en-US"/>
        </w:rPr>
        <w:fldChar w:fldCharType="begin" w:fldLock="1"/>
      </w:r>
      <w:r w:rsidR="00B20EBB">
        <w:rPr>
          <w:lang w:val="en-US"/>
        </w:rPr>
        <w:instrText>ADDIN CSL_CITATION {"citationItems":[{"id":"ITEM-1","itemData":{"DOI":"10.1515/entl-2015-0006","abstract":"Manufactured nanomaterials provide promising features for new technologies in cosmetic, food, and pharmaceutical applications. On the other hand, orally ingested nanomaterials/ nanoparticles may interact with or enter intestinal cells via different mechanisms, resulting in possible injuries of the biological system. For that reason, the current study aims to provide useful information concerning physicochemical properties of nanoparticles with regard to cytotoxic effects and uptake mechanisms in the small intestine. Differently charged polystyrene nanoparticles were used and cytotoxicity and uptake were studied with an intestinal in vitro co-culture model, mimicking the villus epithelium and a triple-culture model recapitulating the follicle-associated epithelium. Mechanisms of cellular transport were investigated at 37°C and 4°C to verify that internalization mainly occurs energy-dependently. Chemical inhibitors (i.e., chlorpromazine, genistein, dynasore) were used to block dynamin-dependent endocytic pathways without affecting cell viability and membrane integrity. Qualification and quantification were performed via confocal microscopy and flow cytometry. Furthermore, co-localization studies with commonly used markers (i.e., transferrin, lactosylceramide) were carried out and co-localization was assessed via calculation of Pearson´s correlation coefficient and Mander´s overlap coefficient. The results show that size and surface chemistry play a crucial role in cytotoxic interactions and cellular uptake of nanoparticles (NPs). Independent of the surface charge, NPs strongly interact with intestinal mucus and are immobilized. Uptake predominantly occurs via M cells and is surface-charge dependent. Whereas negatively charged particles fail to enter cells, positive and neutral particles penetrate M cells energy-dependently. More precisely, both clathrin- and caveolae-mediated endocytosis are involved. It can be concluded that the presented system serves as a valuable tool to assess safety aspects of manufactured nanomaterials and hence, substantially contributes to nanosafety efforts.","author":[{"dropping-particle":"","family":"Schimpel","given":"Christa","non-dropping-particle":"","parse-names":false,"suffix":""},{"dropping-particle":"","family":"Rinner","given":"Beate","non-dropping-particle":"","parse-names":false,"suffix":""},{"dropping-particle":"","family":"Absenger-Novak","given":"Markus","non-dropping-particle":"","parse-names":false,"suffix":""},{"dropping-particle":"","family":"Meindl","given":"Claudia","non-dropping-particle":"","parse-names":false,"suffix":""},{"dropping-particle":"","family":"Fröhlich","given":"Eleonore","non-dropping-particle":"","parse-names":false,"suffix":""},{"dropping-particle":"","family":"Falk","given":"Andreas","non-dropping-particle":"","parse-names":false,"suffix":""},{"dropping-particle":"","family":"Zimmer","given":"Andreas","non-dropping-particle":"","parse-names":false,"suffix":""},{"dropping-particle":"","family":"Roblegg","given":"Eva","non-dropping-particle":"","parse-names":false,"suffix":""}],"container-title":"EURO-NanoTox-Letters","id":"ITEM-1","issued":{"date-parts":[["2016"]]},"title":"A novel In Vitro Model for Studying Nanoparticle Interactions with the Small Intestine","type":"article-journal"},"uris":["http://www.mendeley.com/documents/?uuid=40100b89-7e71-3e43-bf49-29e54ccaf654"]}],"mendeley":{"formattedCitation":"[39]","plainTextFormattedCitation":"[39]","previouslyFormattedCitation":"[39]"},"properties":{"noteIndex":0},"schema":"https://github.com/citation-style-language/schema/raw/master/csl-citation.json"}</w:instrText>
      </w:r>
      <w:r w:rsidR="005E1565">
        <w:rPr>
          <w:lang w:val="en-US"/>
        </w:rPr>
        <w:fldChar w:fldCharType="separate"/>
      </w:r>
      <w:r w:rsidR="00B20EBB" w:rsidRPr="00B20EBB">
        <w:rPr>
          <w:noProof/>
          <w:lang w:val="en-US"/>
        </w:rPr>
        <w:t>[39]</w:t>
      </w:r>
      <w:r w:rsidR="005E1565">
        <w:rPr>
          <w:lang w:val="en-US"/>
        </w:rPr>
        <w:fldChar w:fldCharType="end"/>
      </w:r>
      <w:r w:rsidR="00C62DC2">
        <w:rPr>
          <w:lang w:val="en-US"/>
        </w:rPr>
        <w:t>.</w:t>
      </w:r>
    </w:p>
    <w:p w14:paraId="7582D27D" w14:textId="77777777" w:rsidR="00F02E89" w:rsidRDefault="00F02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lang w:val="en-US"/>
        </w:rPr>
      </w:pPr>
    </w:p>
    <w:p w14:paraId="36D20B75" w14:textId="42B3CB3F" w:rsidR="00F02E89" w:rsidRDefault="00E01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outlineLvl w:val="0"/>
        <w:rPr>
          <w:b/>
          <w:bCs/>
          <w:lang w:val="en-US"/>
        </w:rPr>
      </w:pPr>
      <w:r>
        <w:rPr>
          <w:b/>
          <w:bCs/>
          <w:lang w:val="en-US"/>
        </w:rPr>
        <w:t>2.3.</w:t>
      </w:r>
      <w:r w:rsidR="00291838">
        <w:rPr>
          <w:b/>
          <w:bCs/>
          <w:lang w:val="en-US"/>
        </w:rPr>
        <w:t>3</w:t>
      </w:r>
      <w:r>
        <w:rPr>
          <w:b/>
          <w:bCs/>
          <w:lang w:val="en-US"/>
        </w:rPr>
        <w:t xml:space="preserve">.3. Thermogravimetric analysis of zebrafish </w:t>
      </w:r>
    </w:p>
    <w:p w14:paraId="330E5FB2" w14:textId="77777777" w:rsidR="00F02E89" w:rsidRDefault="00E01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lang w:val="en-US"/>
        </w:rPr>
      </w:pPr>
      <w:r>
        <w:rPr>
          <w:lang w:val="en-US"/>
        </w:rPr>
        <w:t xml:space="preserve">To determine the accumulation of nanosized zeolite beta during the zebrafish embryonic development, samples were studied by TG analysis. After the estimation of previously mentioned endpoints at 72 </w:t>
      </w:r>
      <w:proofErr w:type="spellStart"/>
      <w:r>
        <w:rPr>
          <w:lang w:val="en-US"/>
        </w:rPr>
        <w:t>hpf</w:t>
      </w:r>
      <w:proofErr w:type="spellEnd"/>
      <w:r>
        <w:rPr>
          <w:lang w:val="en-US"/>
        </w:rPr>
        <w:t xml:space="preserve">, the remaining larvae were rinsed three times with deionized </w:t>
      </w:r>
      <w:r>
        <w:rPr>
          <w:lang w:val="en-US"/>
        </w:rPr>
        <w:lastRenderedPageBreak/>
        <w:t>water. Further, fish were sonicated for 2 min, rinsed three times with deionized water, sonicated for an additional 2 min and finally rinsed three times with deionized water. Sonication was conducted twice in order to remove particles that potentially remained at the surface of the fish body. Samples were then incubated at 60°C until a constant dry mass was recorded. Controls on AW were run in parallel. Considering larvae low body mass, all dried fish per tested sample were transferred into an alumina crucible and heated till 800</w:t>
      </w:r>
      <w:r>
        <w:rPr>
          <w:lang w:val="en-US" w:eastAsia="hr-HR"/>
        </w:rPr>
        <w:t xml:space="preserve">°C using a </w:t>
      </w:r>
      <w:proofErr w:type="spellStart"/>
      <w:r>
        <w:rPr>
          <w:lang w:val="en-US" w:eastAsia="hr-HR"/>
        </w:rPr>
        <w:t>Setaram</w:t>
      </w:r>
      <w:proofErr w:type="spellEnd"/>
      <w:r>
        <w:rPr>
          <w:lang w:val="en-US" w:eastAsia="hr-HR"/>
        </w:rPr>
        <w:t xml:space="preserve"> </w:t>
      </w:r>
      <w:proofErr w:type="spellStart"/>
      <w:r>
        <w:rPr>
          <w:lang w:val="en-US" w:eastAsia="hr-HR"/>
        </w:rPr>
        <w:t>Setsys</w:t>
      </w:r>
      <w:proofErr w:type="spellEnd"/>
      <w:r>
        <w:rPr>
          <w:lang w:val="en-US" w:eastAsia="hr-HR"/>
        </w:rPr>
        <w:t xml:space="preserve"> TGA instrument, heating rate 5°C min</w:t>
      </w:r>
      <w:r>
        <w:rPr>
          <w:vertAlign w:val="superscript"/>
          <w:lang w:val="en-US" w:eastAsia="hr-HR"/>
        </w:rPr>
        <w:t>-1</w:t>
      </w:r>
      <w:r>
        <w:rPr>
          <w:lang w:val="en-US" w:eastAsia="hr-HR"/>
        </w:rPr>
        <w:t xml:space="preserve"> in air.</w:t>
      </w:r>
      <w:r>
        <w:rPr>
          <w:lang w:val="en-US"/>
        </w:rPr>
        <w:t xml:space="preserve"> </w:t>
      </w:r>
    </w:p>
    <w:p w14:paraId="497A017C" w14:textId="77777777" w:rsidR="00F02E89" w:rsidRDefault="00F02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lang w:val="en-US"/>
        </w:rPr>
      </w:pPr>
    </w:p>
    <w:p w14:paraId="6897D95F" w14:textId="0E5707E8" w:rsidR="00F02E89" w:rsidRDefault="00E01693">
      <w:pPr>
        <w:spacing w:line="360" w:lineRule="auto"/>
        <w:jc w:val="both"/>
        <w:rPr>
          <w:b/>
          <w:lang w:val="en-US"/>
        </w:rPr>
      </w:pPr>
      <w:r>
        <w:rPr>
          <w:b/>
          <w:lang w:val="en-US"/>
        </w:rPr>
        <w:t>2.3.</w:t>
      </w:r>
      <w:r w:rsidR="00291838">
        <w:rPr>
          <w:b/>
          <w:lang w:val="en-US"/>
        </w:rPr>
        <w:t>4</w:t>
      </w:r>
      <w:r>
        <w:rPr>
          <w:b/>
          <w:lang w:val="en-US"/>
        </w:rPr>
        <w:t>. Docking</w:t>
      </w:r>
    </w:p>
    <w:p w14:paraId="247AFDDC" w14:textId="139C8615" w:rsidR="00F02E89" w:rsidRDefault="00E01693">
      <w:pPr>
        <w:spacing w:line="360" w:lineRule="auto"/>
        <w:jc w:val="both"/>
      </w:pPr>
      <w:proofErr w:type="spellStart"/>
      <w:r>
        <w:rPr>
          <w:lang w:val="en-US"/>
        </w:rPr>
        <w:t>AutoDock</w:t>
      </w:r>
      <w:proofErr w:type="spellEnd"/>
      <w:r>
        <w:rPr>
          <w:lang w:val="en-US"/>
        </w:rPr>
        <w:t xml:space="preserve"> Vina</w:t>
      </w:r>
      <w:bookmarkStart w:id="29" w:name="__UnoMark__128038_1509016404"/>
      <w:r w:rsidR="009F09CB">
        <w:rPr>
          <w:lang w:val="en-US"/>
        </w:rPr>
        <w:t xml:space="preserve"> </w:t>
      </w:r>
      <w:r w:rsidR="005E1565">
        <w:rPr>
          <w:lang w:val="en-US"/>
        </w:rPr>
        <w:fldChar w:fldCharType="begin" w:fldLock="1"/>
      </w:r>
      <w:r w:rsidR="00B20EBB">
        <w:rPr>
          <w:lang w:val="en-US"/>
        </w:rPr>
        <w:instrText>ADDIN CSL_CITATION {"citationItems":[{"id":"ITEM-1","itemData":{"DOI":"10.1002/jcc.21334","ISSN":"01928651","PMID":"19499576","abstract":"AutoDock Vina, a new program for molecular docking and virtual screening, is presented. AutoDock Vina achieves an approximately two orders of magnitude speed-up compared with the molecular docking software previously developed in our lab (AutoDock 4), while also significantly improving the accuracy of the binding mode predictions, judging by our tests on the training set used in AutoDock 4 development. Further speed-up is achieved from parallelism, by using multithreading on multicore machines. AutoDock. Vina automatically calculates the grid maps and clusters the results in a way transparent to the user. © 2009 Wiley Periodicals, Inc.","author":[{"dropping-particle":"","family":"Trott","given":"Oleg","non-dropping-particle":"","parse-names":false,"suffix":""},{"dropping-particle":"","family":"Olson","given":"Arthur J.","non-dropping-particle":"","parse-names":false,"suffix":""}],"container-title":"Journal of Computational Chemistry","id":"ITEM-1","issued":{"date-parts":[["2010"]]},"title":"Software news and update AutoDock Vina: Improving the speed and accuracy of docking with a new scoring function, efficient optimization, and multithreading","type":"article-journal"},"uris":["http://www.mendeley.com/documents/?uuid=33c5f66d-b0f5-3325-9d64-66447d9d5be5"]}],"mendeley":{"formattedCitation":"[40]","plainTextFormattedCitation":"[40]","previouslyFormattedCitation":"[40]"},"properties":{"noteIndex":0},"schema":"https://github.com/citation-style-language/schema/raw/master/csl-citation.json"}</w:instrText>
      </w:r>
      <w:r w:rsidR="005E1565">
        <w:rPr>
          <w:lang w:val="en-US"/>
        </w:rPr>
        <w:fldChar w:fldCharType="separate"/>
      </w:r>
      <w:r w:rsidR="00B20EBB" w:rsidRPr="00B20EBB">
        <w:rPr>
          <w:noProof/>
          <w:lang w:val="en-US"/>
        </w:rPr>
        <w:t>[40]</w:t>
      </w:r>
      <w:r w:rsidR="005E1565">
        <w:rPr>
          <w:lang w:val="en-US"/>
        </w:rPr>
        <w:fldChar w:fldCharType="end"/>
      </w:r>
      <w:bookmarkEnd w:id="29"/>
      <w:r>
        <w:rPr>
          <w:lang w:val="en-US"/>
        </w:rPr>
        <w:t xml:space="preserve"> version 1.1.2 was used to explore potential binding sites for TEA (tetraethylammonium) cation on the zebrafish hatching enzyme ZHE1 whose structure was taken from the PDB data bank (PDB ID 3LQB)</w:t>
      </w:r>
      <w:r w:rsidR="009F09CB">
        <w:rPr>
          <w:lang w:val="en-US"/>
        </w:rPr>
        <w:t xml:space="preserve"> </w:t>
      </w:r>
      <w:r w:rsidR="005E1565">
        <w:rPr>
          <w:lang w:val="en-US"/>
        </w:rPr>
        <w:fldChar w:fldCharType="begin" w:fldLock="1"/>
      </w:r>
      <w:r w:rsidR="00B20EBB">
        <w:rPr>
          <w:lang w:val="en-US"/>
        </w:rPr>
        <w:instrText>ADDIN CSL_CITATION {"citationItems":[{"id":"ITEM-1","itemData":{"DOI":"10.1016/j.jmb.2010.08.023","ISSN":"00222836","abstract":"Fish hatching enzymes are zinc metalloproteases that digest the egg envelope (chorion) at the time of hatching. The crystal structure of zebrafish hatching enzyme 1 (ZHE1) has been solved at 1.10 Å resolution. ZHE1 is monomeric, is mitten shaped, and has a cleft at the center of the molecule. ZHE1 consists of three 310-helices, three α-helices, and two β-sheets. The central cleft represents the active site of the enzyme that is crucial for substrate recognition and catalysis. Alanine-scanning mutagenesis of the two substrate peptides has shown that AspP1' contributes the most and that the residues at P4-P2' also contribute to the recognition of the major substrate peptide by ZHE1, whereas GluP3' and the hydrophobic residues at P4-P2, P2', and P5' contribute significantly to the recognition of the minor substrate peptide by ZHE1. Molecular models of these two substrate peptides bound to ZHE1 have been built based on the crystal structure of a transition-state analog inhibitor bound to astacin. In substrate-recognition models, the AspP1' in the major substrate peptide forms a salt bridge with Arg182 of ZHE1, while the GluP3' in the minor substrate peptide instead forms a salt bridge with Arg182. Thus, these two substrate peptides would be differently recognized by ZHE1. The shapes and electrostatic potentials of the substrate-binding clefts of ZHE1 and the structurally similar proteins astacin and bone morphogenetic protein 1 are significantly dissimilar due to different side chains, which would confer their distinctive substrate preferences. © 2010 Elsevier Ltd.","author":[{"dropping-particle":"","family":"Okada","given":"Akitoshi","non-dropping-particle":"","parse-names":false,"suffix":""},{"dropping-particle":"","family":"Sano","given":"Kaori","non-dropping-particle":"","parse-names":false,"suffix":""},{"dropping-particle":"","family":"Nagata","given":"Koji","non-dropping-particle":"","parse-names":false,"suffix":""},{"dropping-particle":"","family":"Yasumasu","given":"Shigeki","non-dropping-particle":"","parse-names":false,"suffix":""},{"dropping-particle":"","family":"Ohtsuka","given":"Jun","non-dropping-particle":"","parse-names":false,"suffix":""},{"dropping-particle":"","family":"Yamamura","given":"Akihiro","non-dropping-particle":"","parse-names":false,"suffix":""},{"dropping-particle":"","family":"Kubota","given":"Keiko","non-dropping-particle":"","parse-names":false,"suffix":""},{"dropping-particle":"","family":"Iuchi","given":"Ichiro","non-dropping-particle":"","parse-names":false,"suffix":""},{"dropping-particle":"","family":"Tanokura","given":"Masaru","non-dropping-particle":"","parse-names":false,"suffix":""}],"container-title":"Journal of Molecular Biology","id":"ITEM-1","issued":{"date-parts":[["2010"]]},"title":"Crystal Structure of Zebrafish Hatching Enzyme 1 from the Zebrafish Danio rerio","type":"article-journal"},"uris":["http://www.mendeley.com/documents/?uuid=0ea9caac-cf0b-3852-9eb3-405f7d76ff4f"]}],"mendeley":{"formattedCitation":"[41]","plainTextFormattedCitation":"[41]","previouslyFormattedCitation":"[41]"},"properties":{"noteIndex":0},"schema":"https://github.com/citation-style-language/schema/raw/master/csl-citation.json"}</w:instrText>
      </w:r>
      <w:r w:rsidR="005E1565">
        <w:rPr>
          <w:lang w:val="en-US"/>
        </w:rPr>
        <w:fldChar w:fldCharType="separate"/>
      </w:r>
      <w:r w:rsidR="00B20EBB" w:rsidRPr="00B20EBB">
        <w:rPr>
          <w:noProof/>
          <w:lang w:val="en-US"/>
        </w:rPr>
        <w:t>[41]</w:t>
      </w:r>
      <w:r w:rsidR="005E1565">
        <w:rPr>
          <w:lang w:val="en-US"/>
        </w:rPr>
        <w:fldChar w:fldCharType="end"/>
      </w:r>
      <w:r>
        <w:rPr>
          <w:lang w:val="en-US"/>
        </w:rPr>
        <w:t>.</w:t>
      </w:r>
      <w:r>
        <w:rPr>
          <w:vertAlign w:val="superscript"/>
          <w:lang w:val="en-US"/>
        </w:rPr>
        <w:t>⁠</w:t>
      </w:r>
      <w:bookmarkStart w:id="30" w:name="__Fieldmark__14250_1509016404"/>
      <w:bookmarkEnd w:id="30"/>
      <w:r w:rsidR="009F09CB">
        <w:rPr>
          <w:lang w:val="en-US"/>
        </w:rPr>
        <w:t xml:space="preserve"> </w:t>
      </w:r>
      <w:r>
        <w:rPr>
          <w:lang w:val="en-US"/>
        </w:rPr>
        <w:t>Atomic coordinates for TEA were also taken from the PDB (PDB ID 1A9X)</w:t>
      </w:r>
      <w:bookmarkStart w:id="31" w:name="__Fieldmark__14255_1509016404"/>
      <w:bookmarkEnd w:id="31"/>
      <w:r w:rsidR="009F09CB">
        <w:rPr>
          <w:lang w:val="en-US"/>
        </w:rPr>
        <w:t xml:space="preserve"> </w:t>
      </w:r>
      <w:r w:rsidR="005E1565">
        <w:rPr>
          <w:lang w:val="en-US"/>
        </w:rPr>
        <w:fldChar w:fldCharType="begin" w:fldLock="1"/>
      </w:r>
      <w:r w:rsidR="00B20EBB">
        <w:rPr>
          <w:lang w:val="en-US"/>
        </w:rPr>
        <w:instrText>ADDIN CSL_CITATION {"citationItems":[{"id":"ITEM-1","itemData":{"DOI":"10.1021/bi9807761","ISSN":"00062960","abstract":"Carbamoyl phosphate synthetase from Escherichia coli catalyzes the production of carbamoyl phosphate from two molecules of Mg2+ATP, one molecule of bicarbonate, and one molecule of glutamine. The enzyme consists of two polypeptide chains referred to as the large and small subunits. While the large subunit provides the active sites responsible for the binding of nucleotides and other effector ligands, the small subunit contains those amino acid residues that catalyze the hydrolysis of glutamine to glutamate and ammonia. From both amino acid sequence analyses and structural studies it is now known that the small subunit belongs to the class I amidotransferase family of enzymes. Numerous biochemical studies have suggested that the reaction mechanism of the small subunit proceeds through the formation of the glutamyl thioester intermediate and that both Cys 269 and His 353 are critical for catalysis. Here we describe the X-ray crystallographic structure of carbamoyl phosphate synthetase from E. coli in which His 353 has been replaced with an asparagine residue. Crystals employed in the investigation were grown in the presence of glutamine, and the model has been refined to a crystallographic R-factor of 19.1% for all measured X-ray data from 30 to 1.8 Å resolution. The active site of the small subunit clearly contains a covalently bound thioester intermediate at Cys 269, and indeed, this investigation provides the first direct structural observation of an enzyme intermediate in the amidotransferase family.","author":[{"dropping-particle":"","family":"Thoden","given":"James B.","non-dropping-particle":"","parse-names":false,"suffix":""},{"dropping-particle":"","family":"Miran","given":"Sophie G.","non-dropping-particle":"","parse-names":false,"suffix":""},{"dropping-particle":"","family":"Phillips","given":"James C.","non-dropping-particle":"","parse-names":false,"suffix":""},{"dropping-particle":"","family":"Howard","given":"Andrew J.","non-dropping-particle":"","parse-names":false,"suffix":""},{"dropping-particle":"","family":"Raushel","given":"Frank M.","non-dropping-particle":"","parse-names":false,"suffix":""},{"dropping-particle":"","family":"Holden","given":"Hazel M.","non-dropping-particle":"","parse-names":false,"suffix":""}],"container-title":"Biochemistry","id":"ITEM-1","issued":{"date-parts":[["1998"]]},"title":"Carbamoyl phosphate synthetase: Caught in the act of glutamine hydrolysis","type":"article-journal"},"uris":["http://www.mendeley.com/documents/?uuid=63e0ebe4-e57a-341c-9bfb-bbcd9c8a79b2"]}],"mendeley":{"formattedCitation":"[42]","plainTextFormattedCitation":"[42]","previouslyFormattedCitation":"[42]"},"properties":{"noteIndex":0},"schema":"https://github.com/citation-style-language/schema/raw/master/csl-citation.json"}</w:instrText>
      </w:r>
      <w:r w:rsidR="005E1565">
        <w:rPr>
          <w:lang w:val="en-US"/>
        </w:rPr>
        <w:fldChar w:fldCharType="separate"/>
      </w:r>
      <w:r w:rsidR="00B20EBB" w:rsidRPr="00B20EBB">
        <w:rPr>
          <w:noProof/>
          <w:lang w:val="en-US"/>
        </w:rPr>
        <w:t>[42]</w:t>
      </w:r>
      <w:r w:rsidR="005E1565">
        <w:rPr>
          <w:lang w:val="en-US"/>
        </w:rPr>
        <w:fldChar w:fldCharType="end"/>
      </w:r>
      <w:r w:rsidR="009F09CB">
        <w:rPr>
          <w:lang w:val="en-US"/>
        </w:rPr>
        <w:t>.</w:t>
      </w:r>
      <w:r>
        <w:rPr>
          <w:vertAlign w:val="superscript"/>
          <w:lang w:val="en-US"/>
        </w:rPr>
        <w:t>⁠</w:t>
      </w:r>
      <w:r>
        <w:rPr>
          <w:lang w:val="en-US"/>
        </w:rPr>
        <w:t xml:space="preserve"> Water molecules and cocrystal ligands (sulfate ion, 1,2-ethanediol) were removed from the crystal structure of the hatching enzyme ZHE1, hydrogen and partial </w:t>
      </w:r>
      <w:proofErr w:type="spellStart"/>
      <w:r>
        <w:rPr>
          <w:lang w:val="en-US"/>
        </w:rPr>
        <w:t>Gasteiger</w:t>
      </w:r>
      <w:proofErr w:type="spellEnd"/>
      <w:r>
        <w:rPr>
          <w:lang w:val="en-US"/>
        </w:rPr>
        <w:t xml:space="preserve"> charges were added and the coordinates of the structure were saved in </w:t>
      </w:r>
      <w:proofErr w:type="spellStart"/>
      <w:r>
        <w:rPr>
          <w:lang w:val="en-US"/>
        </w:rPr>
        <w:t>pdbqt</w:t>
      </w:r>
      <w:proofErr w:type="spellEnd"/>
      <w:r>
        <w:rPr>
          <w:lang w:val="en-US"/>
        </w:rPr>
        <w:t xml:space="preserve"> format. TEA was also converted to a </w:t>
      </w:r>
      <w:proofErr w:type="spellStart"/>
      <w:r>
        <w:rPr>
          <w:lang w:val="en-US"/>
        </w:rPr>
        <w:t>pdbqt</w:t>
      </w:r>
      <w:proofErr w:type="spellEnd"/>
      <w:r>
        <w:rPr>
          <w:lang w:val="en-US"/>
        </w:rPr>
        <w:t xml:space="preserve"> file. </w:t>
      </w:r>
      <w:proofErr w:type="spellStart"/>
      <w:r>
        <w:rPr>
          <w:lang w:val="en-US"/>
        </w:rPr>
        <w:t>SwissDock</w:t>
      </w:r>
      <w:bookmarkStart w:id="32" w:name="__UnoMark__128050_1509016404"/>
      <w:proofErr w:type="spellEnd"/>
      <w:r w:rsidR="009F09CB">
        <w:rPr>
          <w:lang w:val="en-US"/>
        </w:rPr>
        <w:t xml:space="preserve"> </w:t>
      </w:r>
      <w:bookmarkEnd w:id="32"/>
      <w:r w:rsidR="005E1565">
        <w:rPr>
          <w:lang w:val="en-US"/>
        </w:rPr>
        <w:fldChar w:fldCharType="begin" w:fldLock="1"/>
      </w:r>
      <w:r w:rsidR="00B20EBB">
        <w:rPr>
          <w:lang w:val="en-US"/>
        </w:rPr>
        <w:instrText>ADDIN CSL_CITATION {"citationItems":[{"id":"ITEM-1","itemData":{"DOI":"10.1093/nar/gkr366","ISSN":"03051048","abstract":"Most life science processes involve, at the atomic scale, recognition between two molecules. The prediction of such interactions at the molecular level, by so-called docking software, is a non-trivial task. Docking programs have a wide range of applications ranging from protein engineering to drug design. This article presents SwissDock, a web server dedicated to the docking of small molecules on target proteins. It is based on the EADock DSS engine, combined with setup scripts for curating common problems and for preparing both the target protein and the ligand input files. An efficient Ajax/HTML interface was designed and implemented so that scientists can easily submit dockings and retrieve the predicted complexes. For automated docking tasks, a programmatic SOAP interface has been set up and template programs can be downloaded in Perl, Python and PHP. The web site also provides an access to a database of manually curated complexes, based on the Ligand Protein Database. A wiki and a forum are available to the community to promote interactions between users. The SwissDock web site is available online at http://www.swissdock.ch. We believe it constitutes a step toward generalizing the use of docking tools beyond the traditional molecular modeling community. © 2011 The Author(s).","author":[{"dropping-particle":"","family":"Grosdidier","given":"Aurélien","non-dropping-particle":"","parse-names":false,"suffix":""},{"dropping-particle":"","family":"Zoete","given":"Vincent","non-dropping-particle":"","parse-names":false,"suffix":""},{"dropping-particle":"","family":"Michielin","given":"Olivier","non-dropping-particle":"","parse-names":false,"suffix":""}],"container-title":"Nucleic Acids Research","id":"ITEM-1","issued":{"date-parts":[["2011"]]},"title":"SwissDock, a protein-small molecule docking web service based on EADock DSS","type":"article-journal"},"uris":["http://www.mendeley.com/documents/?uuid=0d96f490-ef93-3cb9-9f70-632ba398d242"]}],"mendeley":{"formattedCitation":"[43]","plainTextFormattedCitation":"[43]","previouslyFormattedCitation":"[43]"},"properties":{"noteIndex":0},"schema":"https://github.com/citation-style-language/schema/raw/master/csl-citation.json"}</w:instrText>
      </w:r>
      <w:r w:rsidR="005E1565">
        <w:rPr>
          <w:lang w:val="en-US"/>
        </w:rPr>
        <w:fldChar w:fldCharType="separate"/>
      </w:r>
      <w:r w:rsidR="00B20EBB" w:rsidRPr="00B20EBB">
        <w:rPr>
          <w:noProof/>
          <w:lang w:val="en-US"/>
        </w:rPr>
        <w:t>[43]</w:t>
      </w:r>
      <w:r w:rsidR="005E1565">
        <w:rPr>
          <w:lang w:val="en-US"/>
        </w:rPr>
        <w:fldChar w:fldCharType="end"/>
      </w:r>
      <w:r>
        <w:rPr>
          <w:lang w:val="en-US"/>
        </w:rPr>
        <w:t xml:space="preserve">⁠ was also used to dock TEA to ZHE1. </w:t>
      </w:r>
      <w:proofErr w:type="spellStart"/>
      <w:r>
        <w:rPr>
          <w:lang w:val="en-US"/>
        </w:rPr>
        <w:t>SwissDock</w:t>
      </w:r>
      <w:proofErr w:type="spellEnd"/>
      <w:r>
        <w:rPr>
          <w:lang w:val="en-US"/>
        </w:rPr>
        <w:t xml:space="preserve"> is based on the docking software </w:t>
      </w:r>
      <w:proofErr w:type="spellStart"/>
      <w:r>
        <w:rPr>
          <w:lang w:val="en-US"/>
        </w:rPr>
        <w:t>EADock</w:t>
      </w:r>
      <w:proofErr w:type="spellEnd"/>
      <w:r>
        <w:rPr>
          <w:lang w:val="en-US"/>
        </w:rPr>
        <w:t xml:space="preserve"> DSS and the calculations are performed using the CHARMM22/27 all-hydrogen force field</w:t>
      </w:r>
      <w:r w:rsidR="009F09CB">
        <w:rPr>
          <w:lang w:val="en-US"/>
        </w:rPr>
        <w:t xml:space="preserve"> </w:t>
      </w:r>
      <w:r w:rsidR="00AC010C">
        <w:rPr>
          <w:lang w:val="en-US"/>
        </w:rPr>
        <w:fldChar w:fldCharType="begin" w:fldLock="1"/>
      </w:r>
      <w:r w:rsidR="00B20EBB">
        <w:rPr>
          <w:lang w:val="en-US"/>
        </w:rPr>
        <w:instrText>ADDIN CSL_CITATION {"citationItems":[{"id":"ITEM-1","itemData":{"DOI":"10.1002/jcc.21287","ISSN":"1096987X","PMID":"19444816","abstract":"CHARMM (Chemistry at HARvard Molecular Mechanics) is a highly versatile and widely used molecular simulation program. It has been developed over the last three decades with a primary focus on molecules of biological interest, including proteins, peptides, lipids, nucleic acids, carbohydrates, and small molecule ligands, as they occur in solution, crystals, and membrane environments. For the study of such systems, the program, provides a large suite of computational tools that include numerous conformational and path sampling methods, free energy estimators, molecular minimization, dynamics, and analysis techniques, and model-building capabilities. The CHARMM! program is applicable to problems involving a much broader class of many-particle systems. Calculations with CHARMM can be performed, using a number of different energy functions and models, from mixed quantum mechanical-molecular mechanical force fields, to all-atom classical potential energy functions with explicit solvent and various boundary conditions, to implicit solvent and membrane models. The program, has been ported to numerous platforms in both serial and parallel architectures. This article provides an overview of the program, as it exists today with, an emphasis on developments since the publication of the original CHARMM article in 1983. © 2009 Wiley Periodicals, Inc.","author":[{"dropping-particle":"","family":"Brooks","given":"B. R.","non-dropping-particle":"","parse-names":false,"suffix":""},{"dropping-particle":"","family":"Brooks","given":"C. L.","non-dropping-particle":"","parse-names":false,"suffix":""},{"dropping-particle":"","family":"Mackerell","given":"A. D.","non-dropping-particle":"","parse-names":false,"suffix":""},{"dropping-particle":"","family":"Nilsson","given":"L.","non-dropping-particle":"","parse-names":false,"suffix":""},{"dropping-particle":"","family":"Petrella","given":"R. J.","non-dropping-particle":"","parse-names":false,"suffix":""},{"dropping-particle":"","family":"Roux","given":"B.","non-dropping-particle":"","parse-names":false,"suffix":""},{"dropping-particle":"","family":"Won","given":"Y.","non-dropping-particle":"","parse-names":false,"suffix":""},{"dropping-particle":"","family":"Archontis","given":"G.","non-dropping-particle":"","parse-names":false,"suffix":""},{"dropping-particle":"","family":"Bartels","given":"C.","non-dropping-particle":"","parse-names":false,"suffix":""},{"dropping-particle":"","family":"Boresch","given":"S.","non-dropping-particle":"","parse-names":false,"suffix":""},{"dropping-particle":"","family":"Caflisch","given":"A.","non-dropping-particle":"","parse-names":false,"suffix":""},{"dropping-particle":"","family":"Caves","given":"L.","non-dropping-particle":"","parse-names":false,"suffix":""},{"dropping-particle":"","family":"Cui","given":"Q.","non-dropping-particle":"","parse-names":false,"suffix":""},{"dropping-particle":"","family":"Dinner","given":"A. R.","non-dropping-particle":"","parse-names":false,"suffix":""},{"dropping-particle":"","family":"Feig","given":"M.","non-dropping-particle":"","parse-names":false,"suffix":""},{"dropping-particle":"","family":"Fischer","given":"S.","non-dropping-particle":"","parse-names":false,"suffix":""},{"dropping-particle":"","family":"Gao","given":"J.","non-dropping-particle":"","parse-names":false,"suffix":""},{"dropping-particle":"","family":"Hodoscek","given":"M.","non-dropping-particle":"","parse-names":false,"suffix":""},{"dropping-particle":"","family":"Im","given":"W.","non-dropping-particle":"","parse-names":false,"suffix":""},{"dropping-particle":"","family":"Kuczera","given":"K.","non-dropping-particle":"","parse-names":false,"suffix":""},{"dropping-particle":"","family":"Lazaridis","given":"T.","non-dropping-particle":"","parse-names":false,"suffix":""},{"dropping-particle":"","family":"Ma","given":"J.","non-dropping-particle":"","parse-names":false,"suffix":""},{"dropping-particle":"","family":"Ovchinnikov","given":"V.","non-dropping-particle":"","parse-names":false,"suffix":""},{"dropping-particle":"","family":"Paci","given":"E.","non-dropping-particle":"","parse-names":false,"suffix":""},{"dropping-particle":"","family":"Pastor","given":"R. W.","non-dropping-particle":"","parse-names":false,"suffix":""},{"dropping-particle":"","family":"Post","given":"C. B.","non-dropping-particle":"","parse-names":false,"suffix":""},{"dropping-particle":"","family":"Pu","given":"J. Z.","non-dropping-particle":"","parse-names":false,"suffix":""},{"dropping-particle":"","family":"Schaefer","given":"M.","non-dropping-particle":"","parse-names":false,"suffix":""},{"dropping-particle":"","family":"Tidor","given":"B.","non-dropping-particle":"","parse-names":false,"suffix":""},{"dropping-particle":"","family":"Venable","given":"R. M.","non-dropping-particle":"","parse-names":false,"suffix":""},{"dropping-particle":"","family":"Woodcock","given":"H. L.","non-dropping-particle":"","parse-names":false,"suffix":""},{"dropping-particle":"","family":"Wu","given":"X.","non-dropping-particle":"","parse-names":false,"suffix":""},{"dropping-particle":"","family":"Yang","given":"W.","non-dropping-particle":"","parse-names":false,"suffix":""},{"dropping-particle":"","family":"York","given":"D. M.","non-dropping-particle":"","parse-names":false,"suffix":""},{"dropping-particle":"","family":"Karplus","given":"M.","non-dropping-particle":"","parse-names":false,"suffix":""}],"container-title":"Journal of Computational Chemistry","id":"ITEM-1","issued":{"date-parts":[["2009"]]},"title":"CHARMM: The biomolecular simulation program","type":"article-journal"},"uris":["http://www.mendeley.com/documents/?uuid=be0e2e6b-0864-3c94-982e-93de7964b2e8"]}],"mendeley":{"formattedCitation":"[44]","plainTextFormattedCitation":"[44]","previouslyFormattedCitation":"[44]"},"properties":{"noteIndex":0},"schema":"https://github.com/citation-style-language/schema/raw/master/csl-citation.json"}</w:instrText>
      </w:r>
      <w:r w:rsidR="00AC010C">
        <w:rPr>
          <w:lang w:val="en-US"/>
        </w:rPr>
        <w:fldChar w:fldCharType="separate"/>
      </w:r>
      <w:r w:rsidR="00B20EBB" w:rsidRPr="00B20EBB">
        <w:rPr>
          <w:noProof/>
          <w:lang w:val="en-US"/>
        </w:rPr>
        <w:t>[44]</w:t>
      </w:r>
      <w:r w:rsidR="00AC010C">
        <w:rPr>
          <w:lang w:val="en-US"/>
        </w:rPr>
        <w:fldChar w:fldCharType="end"/>
      </w:r>
      <w:r>
        <w:rPr>
          <w:lang w:val="en-US"/>
        </w:rPr>
        <w:t>.⁠ The default parameters were used whereas the whole protein structure was considered as a target during docking.</w:t>
      </w:r>
    </w:p>
    <w:p w14:paraId="1D69AD6D" w14:textId="77777777" w:rsidR="00F02E89" w:rsidRDefault="00F02E89">
      <w:pPr>
        <w:spacing w:line="360" w:lineRule="auto"/>
        <w:jc w:val="both"/>
        <w:rPr>
          <w:lang w:val="en-US"/>
        </w:rPr>
      </w:pPr>
    </w:p>
    <w:p w14:paraId="7A2EF387" w14:textId="15E769B0" w:rsidR="00F02E89" w:rsidRDefault="00E01693">
      <w:pPr>
        <w:spacing w:line="360" w:lineRule="auto"/>
        <w:jc w:val="both"/>
        <w:rPr>
          <w:b/>
          <w:lang w:val="en-US"/>
        </w:rPr>
      </w:pPr>
      <w:r>
        <w:rPr>
          <w:b/>
          <w:lang w:val="en-US"/>
        </w:rPr>
        <w:t>2.3.</w:t>
      </w:r>
      <w:r w:rsidR="00291838">
        <w:rPr>
          <w:b/>
          <w:lang w:val="en-US"/>
        </w:rPr>
        <w:t>4</w:t>
      </w:r>
      <w:r>
        <w:rPr>
          <w:b/>
          <w:lang w:val="en-US"/>
        </w:rPr>
        <w:t xml:space="preserve">.1. Molecular dynamics simulation </w:t>
      </w:r>
    </w:p>
    <w:p w14:paraId="76418670" w14:textId="4F0B342A" w:rsidR="00F02E89" w:rsidRDefault="00E01693">
      <w:pPr>
        <w:spacing w:line="360" w:lineRule="auto"/>
        <w:jc w:val="both"/>
      </w:pPr>
      <w:r>
        <w:rPr>
          <w:lang w:val="en-US"/>
        </w:rPr>
        <w:t xml:space="preserve">Three different complexes of ZHE1 + TEA </w:t>
      </w:r>
      <w:proofErr w:type="gramStart"/>
      <w:r>
        <w:rPr>
          <w:lang w:val="en-US"/>
        </w:rPr>
        <w:t>were</w:t>
      </w:r>
      <w:proofErr w:type="gramEnd"/>
      <w:r>
        <w:rPr>
          <w:lang w:val="en-US"/>
        </w:rPr>
        <w:t xml:space="preserve"> prepared according to three poses obtained by both docking simulations. TEA is described by the general Amber force field (GAFF)</w:t>
      </w:r>
      <w:bookmarkStart w:id="33" w:name="__UnoMark__128058_1509016404"/>
      <w:r w:rsidR="00AC010C">
        <w:rPr>
          <w:lang w:val="en-US"/>
        </w:rPr>
        <w:t xml:space="preserve"> </w:t>
      </w:r>
      <w:r w:rsidR="00AC010C">
        <w:rPr>
          <w:lang w:val="en-US"/>
        </w:rPr>
        <w:fldChar w:fldCharType="begin" w:fldLock="1"/>
      </w:r>
      <w:r w:rsidR="00B20EBB">
        <w:rPr>
          <w:lang w:val="en-US"/>
        </w:rPr>
        <w:instrText>ADDIN CSL_CITATION {"citationItems":[{"id":"ITEM-1","itemData":{"DOI":"10.1002/jcc.20035","ISSN":"01928651","abstract":"We describe here a general Amber force field (GAFF) for organic molecules.\\nGAFF is designed to be compatible with existing Amber force fields\\nfor proteins and nucleic acids, and has parameters for most organic\\nand pharmaceutical molecules that are composed of H, C, N, O, S,\\nP, and halogens. It uses a simple functional form and a limited number\\nof atom types, but incorporates both empirical and heuristic models\\nto estimate force constants and partial atomic charges. The performance\\nof GAFF in test cases is encouraging. In test I, 74 crystallographic\\nstructures were compared to GAFF minimized structures, with a root-mean-square\\ndisplacement of 0.26 Angstrom, which is comparable to that of the\\nTripos 5.2 force field (0.25 Angstrom) and better than those of MMFF\\n94 and CHARMm (0.47 and 0.44 Angstrom, respectively). In test II,\\ngas phase minimizations were performed on 22 nucleic acid base pairs,\\nand the minimized structures and intermolecular energies were compared\\nto MP2/6-31G* results. The RMS of displacements and relative energies\\nwere 0.25 A and 1.2 kcal/mol, respectively. These data are comparable\\nto results from Parm99/RESP (0.16 Angstrom and 1.18 kcal/mol. respectively),\\nwhich were parameterized to these base pairs. Test III looked at\\nthe relative energies of 71 conformational pairs that were used in\\ndevelopment of the Parm99 force field. The RMS error in relative\\nenergies (compared to experiment) is about 0.5 kcal/mol. GAFF can\\nbe applied to wide range of molecules in an automatic fashion. making\\nit suitable for rational drug design and database searching. (C)\\n2004 Wiley Periodicals, Inc.","author":[{"dropping-particle":"","family":"Wang","given":"Junmei","non-dropping-particle":"","parse-names":false,"suffix":""},{"dropping-particle":"","family":"Wolf","given":"Romain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A.","non-dropping-particle":"","parse-names":false,"suffix":""}],"container-title":"Journal of Computational Chemistry","id":"ITEM-1","issued":{"date-parts":[["2004"]]},"title":"Development and testing of a general Amber force field","type":"article-journal"},"uris":["http://www.mendeley.com/documents/?uuid=8320d285-c281-3b8b-8929-5a1449a3f546"]}],"mendeley":{"formattedCitation":"[45]","plainTextFormattedCitation":"[45]","previouslyFormattedCitation":"[45]"},"properties":{"noteIndex":0},"schema":"https://github.com/citation-style-language/schema/raw/master/csl-citation.json"}</w:instrText>
      </w:r>
      <w:r w:rsidR="00AC010C">
        <w:rPr>
          <w:lang w:val="en-US"/>
        </w:rPr>
        <w:fldChar w:fldCharType="separate"/>
      </w:r>
      <w:r w:rsidR="00B20EBB" w:rsidRPr="00B20EBB">
        <w:rPr>
          <w:noProof/>
          <w:lang w:val="en-US"/>
        </w:rPr>
        <w:t>[45]</w:t>
      </w:r>
      <w:r w:rsidR="00AC010C">
        <w:rPr>
          <w:lang w:val="en-US"/>
        </w:rPr>
        <w:fldChar w:fldCharType="end"/>
      </w:r>
      <w:bookmarkEnd w:id="33"/>
      <w:r w:rsidR="00AC010C">
        <w:rPr>
          <w:lang w:val="en-US"/>
        </w:rPr>
        <w:t xml:space="preserve"> w</w:t>
      </w:r>
      <w:r>
        <w:rPr>
          <w:lang w:val="en-US"/>
        </w:rPr>
        <w:t>ith partial charges obtained through the standard restrained electrostatic potentials (RESP) calculations</w:t>
      </w:r>
      <w:bookmarkStart w:id="34" w:name="__UnoMark__128062_1509016404"/>
      <w:r w:rsidR="009F09CB">
        <w:rPr>
          <w:lang w:val="en-US"/>
        </w:rPr>
        <w:t xml:space="preserve"> </w:t>
      </w:r>
      <w:bookmarkStart w:id="35" w:name="__Fieldmark__14296_1509016404"/>
      <w:bookmarkEnd w:id="34"/>
      <w:bookmarkEnd w:id="35"/>
      <w:r w:rsidR="00AC010C">
        <w:rPr>
          <w:lang w:val="en-US"/>
        </w:rPr>
        <w:fldChar w:fldCharType="begin" w:fldLock="1"/>
      </w:r>
      <w:r w:rsidR="00B20EBB">
        <w:rPr>
          <w:lang w:val="en-US"/>
        </w:rPr>
        <w:instrText>ADDIN CSL_CITATION {"citationItems":[{"id":"ITEM-1","itemData":{"DOI":"10.1002/jcc.540161106","ISSN":"1096987X","abstract":"We present the derivation of charges of ribo‐ and deoxynucleosides, nucleotides, and peptide fragments using electrostatic potentials obtained from ab initio calculations with the 6‐31G* basis set. For the nucleic acid fragments, we used electrostatic potentials of the four deoxyribonucleosides (A, G, C, T) and four ribonucleosides (A, G, C, U) and dimethylphosphate. The charges for the deoxyribose nucleosides and nucleotides are derived using multiple‐molecule fitting and restrained electrostatic potential (RESP) fits,1,2 with Lagrangian multipliers ensuring a net charge of 0 or ± 1. We suggest that the preferred approach for deriving charges for nucleosides and nucleotides involves allowing only C1′ and H1′ of the sugar to vary as the nucleic acid base, with the remainder of sugar and backbone atoms forced to be equivalent. For peptide fragments, we have combined multiple conformation fitting, previously employed by Williams3 and Reynolds et al.,4 with the RESP approach1,2 to derive charges for blocked dipeptides appropriate for each of the 20 naturally occuring amino acids. Based on our results for propyl amine,1,2 we suggest that two conformations for each peptide suffice to give charges that represent well the conformationally dependent electrostatic properties of molecules, provided that these two conformations contain different values of the dihedral angles that terminate in heteroatoms or hydrogens attached to heteroatoms. In these blocked dipeptide models, it is useful to require equivalent N—H and CO charges for all amino acids with a given net charge (except proline), and this is accomplished in a straightforward fashion with multiple‐molecule fitting. Finally, the application of multiple Lagrangian constraints allows for the derivation of monomeric residues with the appropriate net charge from a chemically blocked version of the residue. The multiple Lagrange constraints also enable charges from two or more molecules to be spliced together in a well‐defined fashion. Thus, the combined use of multiple molecules, multiple conformations, multiple Lagrangian constraints, and RESP fitting is shown to be a powerful approach to deriving electrostatic charges for biopolymers. © 1995 John Wiley &amp; Sons, Inc. Copyright © 1995 John Wiley &amp; Sons, Inc.","author":[{"dropping-particle":"","family":"Cieplak","given":"Piotr","non-dropping-particle":"","parse-names":false,"suffix":""},{"dropping-particle":"","family":"Cornell","given":"Wendy D.","non-dropping-particle":"","parse-names":false,"suffix":""},{"dropping-particle":"","family":"Bayly","given":"Christopher","non-dropping-particle":"","parse-names":false,"suffix":""},{"dropping-particle":"","family":"Kollman","given":"Peter A.","non-dropping-particle":"","parse-names":false,"suffix":""}],"container-title":"Journal of Computational Chemistry","id":"ITEM-1","issued":{"date-parts":[["1995"]]},"title":"Application of the multimolecule and multiconformational RESP methodology to biopolymers: Charge derivation for DNA, RNA, and proteins","type":"article-journal"},"uris":["http://www.mendeley.com/documents/?uuid=5d7d7cc3-f9c7-3227-8e4a-3872ace167b9"]}],"mendeley":{"formattedCitation":"[46]","plainTextFormattedCitation":"[46]","previouslyFormattedCitation":"[46]"},"properties":{"noteIndex":0},"schema":"https://github.com/citation-style-language/schema/raw/master/csl-citation.json"}</w:instrText>
      </w:r>
      <w:r w:rsidR="00AC010C">
        <w:rPr>
          <w:lang w:val="en-US"/>
        </w:rPr>
        <w:fldChar w:fldCharType="separate"/>
      </w:r>
      <w:r w:rsidR="00B20EBB" w:rsidRPr="00B20EBB">
        <w:rPr>
          <w:noProof/>
          <w:lang w:val="en-US"/>
        </w:rPr>
        <w:t>[46]</w:t>
      </w:r>
      <w:r w:rsidR="00AC010C">
        <w:rPr>
          <w:lang w:val="en-US"/>
        </w:rPr>
        <w:fldChar w:fldCharType="end"/>
      </w:r>
      <w:r w:rsidR="00AC010C">
        <w:rPr>
          <w:lang w:val="en-US"/>
        </w:rPr>
        <w:t xml:space="preserve"> </w:t>
      </w:r>
      <w:r>
        <w:rPr>
          <w:lang w:val="en-US"/>
        </w:rPr>
        <w:t>at the HF/6-31G* level of theory with the Gaussian09 simulation package</w:t>
      </w:r>
      <w:bookmarkStart w:id="36" w:name="__Fieldmark__14301_1509016404"/>
      <w:bookmarkEnd w:id="36"/>
      <w:r w:rsidR="009F09CB">
        <w:rPr>
          <w:lang w:val="en-US"/>
        </w:rPr>
        <w:t xml:space="preserve"> </w:t>
      </w:r>
      <w:r w:rsidR="00AC010C">
        <w:rPr>
          <w:lang w:val="en-US"/>
        </w:rPr>
        <w:fldChar w:fldCharType="begin" w:fldLock="1"/>
      </w:r>
      <w:r w:rsidR="00B20EBB">
        <w:rPr>
          <w:lang w:val="en-US"/>
        </w:rPr>
        <w:instrText>ADDIN CSL_CITATION {"citationItems":[{"id":"ITEM-1","itemData":{"author":[{"dropping-particle":"","family":"Frisch MJ, Trucks GW, Schlegel HB, Scuseria GE, Robb MA, Cheeseman JR","given":"et al.","non-dropping-particle":"","parse-names":false,"suffix":""}],"container-title":"Gaussian Inc., Wallingford CT.","id":"ITEM-1","issued":{"date-parts":[["2010"]]},"title":"Gaussian 09 Revision D.01.","type":"article-journal"},"uris":["http://www.mendeley.com/documents/?uuid=a48587cb-6b62-4cc2-8696-78eb6efe3914"]}],"mendeley":{"formattedCitation":"[47]","plainTextFormattedCitation":"[47]","previouslyFormattedCitation":"[47]"},"properties":{"noteIndex":0},"schema":"https://github.com/citation-style-language/schema/raw/master/csl-citation.json"}</w:instrText>
      </w:r>
      <w:r w:rsidR="00AC010C">
        <w:rPr>
          <w:lang w:val="en-US"/>
        </w:rPr>
        <w:fldChar w:fldCharType="separate"/>
      </w:r>
      <w:r w:rsidR="00B20EBB" w:rsidRPr="00B20EBB">
        <w:rPr>
          <w:noProof/>
          <w:lang w:val="en-US"/>
        </w:rPr>
        <w:t>[47]</w:t>
      </w:r>
      <w:r w:rsidR="00AC010C">
        <w:rPr>
          <w:lang w:val="en-US"/>
        </w:rPr>
        <w:fldChar w:fldCharType="end"/>
      </w:r>
      <w:r>
        <w:rPr>
          <w:lang w:val="en-US"/>
        </w:rPr>
        <w:t>.⁠ Hatching enzyme ZHE1 was described with the Amber14SB force field. All complexes were solvated in truncated octahedral boxes of TIP3P water molecules, extending 10 Å from the protein with chloride anions added to neutralize the system. Minimization was conducted in three cycles by restraining different atoms with a force constant of 50 kcal mol</w:t>
      </w:r>
      <w:r>
        <w:rPr>
          <w:vertAlign w:val="superscript"/>
          <w:lang w:val="en-US"/>
        </w:rPr>
        <w:t>-1</w:t>
      </w:r>
      <w:r>
        <w:rPr>
          <w:lang w:val="en-US"/>
        </w:rPr>
        <w:t xml:space="preserve"> Å</w:t>
      </w:r>
      <w:r>
        <w:rPr>
          <w:vertAlign w:val="superscript"/>
          <w:lang w:val="en-US"/>
        </w:rPr>
        <w:t>-1</w:t>
      </w:r>
      <w:r>
        <w:rPr>
          <w:lang w:val="en-US"/>
        </w:rPr>
        <w:t xml:space="preserve">. In the first cycle, restraint was applied on each protein atom while water, ions, and the substrate were allowed to move by using 500 steps of steepest descent minimization, followed by 1,000 steps of conjugate gradient minimization. In the second cycle, the whole substrates and the protein </w:t>
      </w:r>
      <w:r>
        <w:rPr>
          <w:lang w:val="en-US"/>
        </w:rPr>
        <w:lastRenderedPageBreak/>
        <w:t xml:space="preserve">were fixed using restraint on backbone atoms only, while side chains of the protein, water, and ions were allowed to move using 500 steps of steepest descent, followed by 2,000 steps of conjugate gradient minimization. In the last cycle, the whole system was subjected to 5,000 steps of minimization by applying 1,500 steps of steepest descent and 3,500 steps of conjugate gradient minimization with no applied constraints. Optimized systems were gradually heated from 0 to 300 K and equilibrated during 50 </w:t>
      </w:r>
      <w:proofErr w:type="spellStart"/>
      <w:r>
        <w:rPr>
          <w:lang w:val="en-US"/>
        </w:rPr>
        <w:t>ps</w:t>
      </w:r>
      <w:proofErr w:type="spellEnd"/>
      <w:r>
        <w:rPr>
          <w:lang w:val="en-US"/>
        </w:rPr>
        <w:t xml:space="preserve"> using NVT conditions [constant number (N), volume (V), and temperature (T)]. The density of the system was then equilibrated during 150 </w:t>
      </w:r>
      <w:proofErr w:type="spellStart"/>
      <w:r>
        <w:rPr>
          <w:lang w:val="en-US"/>
        </w:rPr>
        <w:t>ps</w:t>
      </w:r>
      <w:proofErr w:type="spellEnd"/>
      <w:r>
        <w:rPr>
          <w:lang w:val="en-US"/>
        </w:rPr>
        <w:t xml:space="preserve"> of the simulation under the NPT ensemble. The system was further equilibrated for 50 </w:t>
      </w:r>
      <w:proofErr w:type="spellStart"/>
      <w:r>
        <w:rPr>
          <w:lang w:val="en-US"/>
        </w:rPr>
        <w:t>ps</w:t>
      </w:r>
      <w:proofErr w:type="spellEnd"/>
      <w:r>
        <w:rPr>
          <w:lang w:val="en-US"/>
        </w:rPr>
        <w:t xml:space="preserve"> of the simulation and subjected to productive, unrestrained production simulations in NVT ensample. Bonds involving hydrogen atoms were constrained using the SHAKE algorithm</w:t>
      </w:r>
      <w:bookmarkStart w:id="37" w:name="__Fieldmark__14325_1509016404"/>
      <w:bookmarkEnd w:id="37"/>
      <w:r w:rsidR="009F09CB">
        <w:rPr>
          <w:lang w:val="en-US"/>
        </w:rPr>
        <w:t xml:space="preserve"> </w:t>
      </w:r>
      <w:r w:rsidR="00AC010C">
        <w:rPr>
          <w:lang w:val="en-US"/>
        </w:rPr>
        <w:fldChar w:fldCharType="begin" w:fldLock="1"/>
      </w:r>
      <w:r w:rsidR="00B20EBB">
        <w:rPr>
          <w:lang w:val="en-US"/>
        </w:rPr>
        <w:instrText>ADDIN CSL_CITATION {"citationItems":[{"id":"ITEM-1","itemData":{"DOI":"10.1016/0021-9991(77)90098-5","ISSN":"10902716","abstract":"A numerical algorithm integrating the 3N Cartesian equations of motion of a system of N points subject to holonomic constraints is formulated. The relations of constraint remain perfectly fulfilled at each step of the trajectory despite the approximate character of numerical integration. The method is applied to a molecular dynamics simulation of a liquid of 64 n-butane molecules and compared to a simulation using generalized coordinates. The method should be useful for molecular dynamics calculations on large molecules with internal degrees of freedom. © 1977.","author":[{"dropping-particle":"","family":"Ryckaert","given":"Jean Paul","non-dropping-particle":"","parse-names":false,"suffix":""},{"dropping-particle":"","family":"Ciccotti","given":"Giovanni","non-dropping-particle":"","parse-names":false,"suffix":""},{"dropping-particle":"","family":"Berendsen","given":"Herman J.C.","non-dropping-particle":"","parse-names":false,"suffix":""}],"container-title":"Journal of Computational Physics","id":"ITEM-1","issued":{"date-parts":[["1977"]]},"title":"Numerical integration of the cartesian equations of motion of a system with constraints: molecular dynamics of n-alkanes","type":"article-journal"},"uris":["http://www.mendeley.com/documents/?uuid=21498bb8-e205-30f7-b9a5-291eb2d82eec"]}],"mendeley":{"formattedCitation":"[48]","plainTextFormattedCitation":"[48]","previouslyFormattedCitation":"[48]"},"properties":{"noteIndex":0},"schema":"https://github.com/citation-style-language/schema/raw/master/csl-citation.json"}</w:instrText>
      </w:r>
      <w:r w:rsidR="00AC010C">
        <w:rPr>
          <w:lang w:val="en-US"/>
        </w:rPr>
        <w:fldChar w:fldCharType="separate"/>
      </w:r>
      <w:r w:rsidR="00B20EBB" w:rsidRPr="00B20EBB">
        <w:rPr>
          <w:noProof/>
          <w:lang w:val="en-US"/>
        </w:rPr>
        <w:t>[48]</w:t>
      </w:r>
      <w:r w:rsidR="00AC010C">
        <w:rPr>
          <w:lang w:val="en-US"/>
        </w:rPr>
        <w:fldChar w:fldCharType="end"/>
      </w:r>
      <w:r>
        <w:rPr>
          <w:lang w:val="en-US"/>
        </w:rPr>
        <w:t>.</w:t>
      </w:r>
      <w:r>
        <w:rPr>
          <w:vertAlign w:val="superscript"/>
          <w:lang w:val="en-US"/>
        </w:rPr>
        <w:t>⁠</w:t>
      </w:r>
      <w:r>
        <w:rPr>
          <w:lang w:val="en-US"/>
        </w:rPr>
        <w:t xml:space="preserve"> The time step was 2 fs. The Particle Mesh Ewald method</w:t>
      </w:r>
      <w:bookmarkStart w:id="38" w:name="__UnoMark__128074_1509016404"/>
      <w:r w:rsidR="009F09CB">
        <w:rPr>
          <w:lang w:val="en-US"/>
        </w:rPr>
        <w:t xml:space="preserve"> </w:t>
      </w:r>
      <w:bookmarkStart w:id="39" w:name="__Fieldmark__14330_1509016404"/>
      <w:bookmarkEnd w:id="38"/>
      <w:bookmarkEnd w:id="39"/>
      <w:r w:rsidR="00E4004A">
        <w:rPr>
          <w:lang w:val="en-US"/>
        </w:rPr>
        <w:fldChar w:fldCharType="begin" w:fldLock="1"/>
      </w:r>
      <w:r w:rsidR="00B20EBB">
        <w:rPr>
          <w:lang w:val="en-US"/>
        </w:rPr>
        <w:instrText>ADDIN CSL_CITATION {"citationItems":[{"id":"ITEM-1","itemData":{"DOI":"10.1063/1.464397","ISSN":"00219606","abstract":"An N·log(N) method for evaluating electrostatic energies and forces of large periodic systems is presented. The method is based on interpolation of the reciprocal space Ewald sums and evaluation of the resulting convolutions using fast Fourier transforms. Timings and accuracies are presented for three large crystalline ionic systems.","author":[{"dropping-particle":"","family":"Darden","given":"Tom","non-dropping-particle":"","parse-names":false,"suffix":""},{"dropping-particle":"","family":"York","given":"Darrin","non-dropping-particle":"","parse-names":false,"suffix":""},{"dropping-particle":"","family":"Pedersen","given":"Lee","non-dropping-particle":"","parse-names":false,"suffix":""}],"container-title":"The Journal of Chemical Physics","id":"ITEM-1","issued":{"date-parts":[["1993"]]},"title":"Particle mesh Ewald: An N·log(N) method for Ewald sums in large systems","type":"article-journal"},"uris":["http://www.mendeley.com/documents/?uuid=dec18320-e832-3587-9d30-cbfdcbcccc8c"]}],"mendeley":{"formattedCitation":"[49]","plainTextFormattedCitation":"[49]","previouslyFormattedCitation":"[49]"},"properties":{"noteIndex":0},"schema":"https://github.com/citation-style-language/schema/raw/master/csl-citation.json"}</w:instrText>
      </w:r>
      <w:r w:rsidR="00E4004A">
        <w:rPr>
          <w:lang w:val="en-US"/>
        </w:rPr>
        <w:fldChar w:fldCharType="separate"/>
      </w:r>
      <w:r w:rsidR="00B20EBB" w:rsidRPr="00B20EBB">
        <w:rPr>
          <w:noProof/>
          <w:lang w:val="en-US"/>
        </w:rPr>
        <w:t>[49]</w:t>
      </w:r>
      <w:r w:rsidR="00E4004A">
        <w:rPr>
          <w:lang w:val="en-US"/>
        </w:rPr>
        <w:fldChar w:fldCharType="end"/>
      </w:r>
      <w:r>
        <w:rPr>
          <w:lang w:val="en-US"/>
        </w:rPr>
        <w:t xml:space="preserve"> was applied to calculate long-range electrostatic interactions. Nonbonded interactions were truncated at 10.0 Å. The 100 ns production runs were performed on the graphics processing unit (GPU; GeForce GTX 1080Ti) by using the </w:t>
      </w:r>
      <w:proofErr w:type="spellStart"/>
      <w:r>
        <w:rPr>
          <w:lang w:val="en-US"/>
        </w:rPr>
        <w:t>pmemd.CUDA</w:t>
      </w:r>
      <w:proofErr w:type="spellEnd"/>
      <w:r>
        <w:rPr>
          <w:lang w:val="en-US"/>
        </w:rPr>
        <w:t xml:space="preserve"> engine</w:t>
      </w:r>
      <w:bookmarkStart w:id="40" w:name="__UnoMark__128078_1509016404"/>
      <w:r w:rsidR="009F09CB">
        <w:rPr>
          <w:lang w:val="en-US"/>
        </w:rPr>
        <w:t xml:space="preserve"> </w:t>
      </w:r>
      <w:bookmarkStart w:id="41" w:name="__Fieldmark__14339_1509016404"/>
      <w:bookmarkEnd w:id="40"/>
      <w:bookmarkEnd w:id="41"/>
      <w:r w:rsidR="00AC010C">
        <w:rPr>
          <w:lang w:val="en-US"/>
        </w:rPr>
        <w:fldChar w:fldCharType="begin" w:fldLock="1"/>
      </w:r>
      <w:r w:rsidR="00B20EBB">
        <w:rPr>
          <w:lang w:val="en-US"/>
        </w:rPr>
        <w:instrText>ADDIN CSL_CITATION {"citationItems":[{"id":"ITEM-1","itemData":{"DOI":"10.1021/ct200909j","ISSN":"15499618","abstract":"We present an implementation of generalized Born implicit solvent all-atom classical molecular dynamics (MD) within the AMBER program package that runs entirely on CUDA enabled NVIDIA graphics processing units (GPUs). We discuss the algorithms that are used to exploit the processing power of the GPUs and show the performance that can be achieved in comparison to simulations on conventional CPU clusters. The implementation supports three different precision models in which the contributions to the forces are calculated in single precision floating point arithmetic but accumulated in double precision (SPDP), or everything is computed in single precision (SPSP) or double precision (DPDP). In addition to performance, we have focused on understanding the implications of the different precision models on the outcome of implicit solvent MD simulations. We show results for a range of tests including the accuracy of single point force evaluations and energy conservation as well as structural properties pertainining to protein dynamics. The numerical noise due to rounding errors within the SPSP precision model is sufficiently large to lead to an accumulation of errors which can result in unphysical trajectories for long time scale simulations. We recommend the use of the mixed-precision SPDP model since the numerical results obtained are comparable with those of the full double precision DPDP model and the reference double precision CPU implementation but at significantly reduced computational cost. Our implementation provides performance for GB simulations on a single desktop that is on par with, and in some cases exceeds, that of traditional supercomputers. © 2012 American Chemical Society.","author":[{"dropping-particle":"","family":"Götz","given":"Andreas W.","non-dropping-particle":"","parse-names":false,"suffix":""},{"dropping-particle":"","family":"Williamson","given":"Mark J.","non-dropping-particle":"","parse-names":false,"suffix":""},{"dropping-particle":"","family":"Xu","given":"Dong","non-dropping-particle":"","parse-names":false,"suffix":""},{"dropping-particle":"","family":"Poole","given":"Duncan","non-dropping-particle":"","parse-names":false,"suffix":""},{"dropping-particle":"","family":"Grand","given":"Scott","non-dropping-particle":"Le","parse-names":false,"suffix":""},{"dropping-particle":"","family":"Walker","given":"Ross C.","non-dropping-particle":"","parse-names":false,"suffix":""}],"container-title":"Journal of Chemical Theory and Computation","id":"ITEM-1","issued":{"date-parts":[["2012"]]},"title":"Routine microsecond molecular dynamics simulations with AMBER on GPUs. 1. generalized born","type":"article-journal"},"uris":["http://www.mendeley.com/documents/?uuid=c193c68e-afaf-35ea-b598-358d49117e4e"]},{"id":"ITEM-2","itemData":{"DOI":"10.1021/ct400314y","ISSN":"15499618","abstract":"We present an implementation of explicit solvent all atom classical molecular dynamics (MD) within the AMBER program package that runs entirely on CUDA-enabled GPUs. First released publicly in April 2010 as part of version 11 of the AMBER MD package and further improved and optimized over the last two years, this implementation supports the three most widely used statistical mechanical ensembles (NVE, NVT, and NPT), uses particle mesh Ewald (PME) for the long-range electrostatics, and runs entirely on CUDA-enabled NVIDIA graphics processing units (GPUs), providing results that are statistically indistinguishable from the traditional CPU version of the software and with performance that exceeds that achievable by the CPU version of AMBER software running on all conventional CPU-based clusters and supercomputers. We briefly discuss three different precision models developed specifically for this work (SPDP, SPFP, and DPDP) and highlight the technical details of the approach as it extends beyond previously reported work [Götz et al., J. Chem. Theory Comput. 2012, DOI: 10.1021/ct200909j; Le Grand et al., Comp. Phys. Comm. 2013, DOI: 10.1016/j.cpc.2012.09.022].We highlight the substantial improvements in performance that are seen over traditional CPU-only machines and provide validation of our implementation and precision models. We also provide evidence supporting our decision to deprecate the previously described fully single precision (SPSP) model from the latest release of the AMBER software package. © 2013 American Chemical Society.","author":[{"dropping-particle":"","family":"Salomon-Ferrer","given":"Romelia","non-dropping-particle":"","parse-names":false,"suffix":""},{"dropping-particle":"","family":"Götz","given":"Andreas W.","non-dropping-particle":"","parse-names":false,"suffix":""},{"dropping-particle":"","family":"Poole","given":"Duncan","non-dropping-particle":"","parse-names":false,"suffix":""},{"dropping-particle":"","family":"Grand","given":"Scott","non-dropping-particle":"Le","parse-names":false,"suffix":""},{"dropping-particle":"","family":"Walker","given":"Ross C.","non-dropping-particle":"","parse-names":false,"suffix":""}],"container-title":"Journal of Chemical Theory and Computation","id":"ITEM-2","issued":{"date-parts":[["2013"]]},"title":"Routine microsecond molecular dynamics simulations with AMBER on GPUs. 2. Explicit solvent particle mesh ewald","type":"article-journal"},"uris":["http://www.mendeley.com/documents/?uuid=73b27807-b9b4-3a12-b21b-28340e4d7bfa"]}],"mendeley":{"formattedCitation":"[50,51]","plainTextFormattedCitation":"[50,51]","previouslyFormattedCitation":"[50,51]"},"properties":{"noteIndex":0},"schema":"https://github.com/citation-style-language/schema/raw/master/csl-citation.json"}</w:instrText>
      </w:r>
      <w:r w:rsidR="00AC010C">
        <w:rPr>
          <w:lang w:val="en-US"/>
        </w:rPr>
        <w:fldChar w:fldCharType="separate"/>
      </w:r>
      <w:r w:rsidR="00B20EBB" w:rsidRPr="00B20EBB">
        <w:rPr>
          <w:noProof/>
          <w:lang w:val="en-US"/>
        </w:rPr>
        <w:t>[50,51]</w:t>
      </w:r>
      <w:r w:rsidR="00AC010C">
        <w:rPr>
          <w:lang w:val="en-US"/>
        </w:rPr>
        <w:fldChar w:fldCharType="end"/>
      </w:r>
      <w:r>
        <w:rPr>
          <w:lang w:val="en-US"/>
        </w:rPr>
        <w:t xml:space="preserve"> of AMBER16</w:t>
      </w:r>
      <w:r w:rsidR="009F09CB">
        <w:rPr>
          <w:lang w:val="en-US"/>
        </w:rPr>
        <w:t xml:space="preserve"> </w:t>
      </w:r>
      <w:r w:rsidR="00AC010C">
        <w:rPr>
          <w:lang w:val="en-US"/>
        </w:rPr>
        <w:fldChar w:fldCharType="begin" w:fldLock="1"/>
      </w:r>
      <w:r w:rsidR="00B20EBB">
        <w:rPr>
          <w:lang w:val="en-US"/>
        </w:rPr>
        <w:instrText>ADDIN CSL_CITATION {"citationItems":[{"id":"ITEM-1","itemData":{"author":[{"dropping-particle":"","family":"D. Case, RM Betz, DS Cerutti, III TE Cheatham, TA Darden, RE Duke","given":"et al.","non-dropping-particle":"","parse-names":false,"suffix":""}],"container-title":"University of California, San Francisco","id":"ITEM-1","issued":{"date-parts":[["2016"]]},"title":"Amber 2016","type":"article-journal"},"uris":["http://www.mendeley.com/documents/?uuid=52058724-a095-4afd-88eb-89dca8f6dcb8"]}],"mendeley":{"formattedCitation":"[52]","plainTextFormattedCitation":"[52]","previouslyFormattedCitation":"[52]"},"properties":{"noteIndex":0},"schema":"https://github.com/citation-style-language/schema/raw/master/csl-citation.json"}</w:instrText>
      </w:r>
      <w:r w:rsidR="00AC010C">
        <w:rPr>
          <w:lang w:val="en-US"/>
        </w:rPr>
        <w:fldChar w:fldCharType="separate"/>
      </w:r>
      <w:r w:rsidR="00B20EBB" w:rsidRPr="00B20EBB">
        <w:rPr>
          <w:noProof/>
          <w:lang w:val="en-US"/>
        </w:rPr>
        <w:t>[52]</w:t>
      </w:r>
      <w:r w:rsidR="00AC010C">
        <w:rPr>
          <w:lang w:val="en-US"/>
        </w:rPr>
        <w:fldChar w:fldCharType="end"/>
      </w:r>
      <w:r>
        <w:rPr>
          <w:lang w:val="en-US"/>
        </w:rPr>
        <w:t>.⁠ Simulations for each complex were conducted in triplicates resulting in 300 ns of simulations for each complex.</w:t>
      </w:r>
    </w:p>
    <w:p w14:paraId="4ACF7564" w14:textId="77777777" w:rsidR="00F02E89" w:rsidRDefault="00F02E89">
      <w:pPr>
        <w:spacing w:line="360" w:lineRule="auto"/>
        <w:contextualSpacing/>
        <w:outlineLvl w:val="0"/>
        <w:rPr>
          <w:b/>
          <w:bCs/>
          <w:lang w:val="en-US"/>
        </w:rPr>
      </w:pPr>
    </w:p>
    <w:p w14:paraId="4D0067AC" w14:textId="77777777" w:rsidR="00820881" w:rsidRDefault="00E01693" w:rsidP="00050362">
      <w:pPr>
        <w:spacing w:line="360" w:lineRule="auto"/>
        <w:jc w:val="both"/>
        <w:rPr>
          <w:b/>
          <w:bCs/>
          <w:lang w:val="en-US"/>
        </w:rPr>
      </w:pPr>
      <w:r>
        <w:rPr>
          <w:b/>
          <w:bCs/>
          <w:lang w:val="en-US"/>
        </w:rPr>
        <w:t>2.</w:t>
      </w:r>
      <w:r w:rsidR="00291838">
        <w:rPr>
          <w:b/>
          <w:bCs/>
          <w:lang w:val="en-US"/>
        </w:rPr>
        <w:t>5</w:t>
      </w:r>
      <w:r>
        <w:rPr>
          <w:b/>
          <w:bCs/>
          <w:lang w:val="en-US"/>
        </w:rPr>
        <w:t>. Statistics</w:t>
      </w:r>
    </w:p>
    <w:p w14:paraId="481DD3F2" w14:textId="10BB6E22" w:rsidR="00F02E89" w:rsidRDefault="00050362" w:rsidP="00050362">
      <w:pPr>
        <w:spacing w:line="360" w:lineRule="auto"/>
        <w:jc w:val="both"/>
        <w:rPr>
          <w:lang w:val="en-US"/>
        </w:rPr>
      </w:pPr>
      <w:r>
        <w:rPr>
          <w:lang w:val="en-US"/>
        </w:rPr>
        <w:t xml:space="preserve">All analysis was conducted using GraphPad Prism 6.01. (GraphPad Software Inc., USA). </w:t>
      </w:r>
      <w:r w:rsidR="00E01693" w:rsidRPr="00A379B0">
        <w:rPr>
          <w:highlight w:val="yellow"/>
          <w:lang w:val="en-US"/>
        </w:rPr>
        <w:t>Statistical differences between</w:t>
      </w:r>
      <w:r w:rsidR="00171C84" w:rsidRPr="00A379B0">
        <w:rPr>
          <w:highlight w:val="yellow"/>
          <w:lang w:val="en-US"/>
        </w:rPr>
        <w:t xml:space="preserve"> </w:t>
      </w:r>
      <w:proofErr w:type="spellStart"/>
      <w:r w:rsidR="00171C84" w:rsidRPr="00A379B0">
        <w:rPr>
          <w:highlight w:val="yellow"/>
          <w:lang w:val="en-US"/>
        </w:rPr>
        <w:t>nano</w:t>
      </w:r>
      <w:proofErr w:type="spellEnd"/>
      <w:r w:rsidR="00171C84" w:rsidRPr="00A379B0">
        <w:rPr>
          <w:highlight w:val="yellow"/>
          <w:lang w:val="en-US"/>
        </w:rPr>
        <w:t>-zeolite samples/TEOH and</w:t>
      </w:r>
      <w:r w:rsidR="00E01693" w:rsidRPr="00A379B0">
        <w:rPr>
          <w:highlight w:val="yellow"/>
          <w:lang w:val="en-US"/>
        </w:rPr>
        <w:t xml:space="preserve"> </w:t>
      </w:r>
      <w:r w:rsidRPr="00A379B0">
        <w:rPr>
          <w:highlight w:val="yellow"/>
          <w:lang w:val="en-US"/>
        </w:rPr>
        <w:t xml:space="preserve">negative </w:t>
      </w:r>
      <w:r w:rsidR="00E01693" w:rsidRPr="00A379B0">
        <w:rPr>
          <w:highlight w:val="yellow"/>
          <w:lang w:val="en-US"/>
        </w:rPr>
        <w:t>control</w:t>
      </w:r>
      <w:r w:rsidRPr="00A379B0">
        <w:rPr>
          <w:highlight w:val="yellow"/>
          <w:lang w:val="en-US"/>
        </w:rPr>
        <w:t xml:space="preserve"> (</w:t>
      </w:r>
      <w:r w:rsidR="00AC010C" w:rsidRPr="00A379B0">
        <w:rPr>
          <w:highlight w:val="yellow"/>
          <w:lang w:val="en-US"/>
        </w:rPr>
        <w:t>AW</w:t>
      </w:r>
      <w:proofErr w:type="gramStart"/>
      <w:r w:rsidRPr="00A379B0">
        <w:rPr>
          <w:highlight w:val="yellow"/>
          <w:lang w:val="en-US"/>
        </w:rPr>
        <w:t>) ,</w:t>
      </w:r>
      <w:proofErr w:type="gramEnd"/>
      <w:r w:rsidRPr="00A379B0">
        <w:rPr>
          <w:highlight w:val="yellow"/>
          <w:lang w:val="en-US"/>
        </w:rPr>
        <w:t xml:space="preserve"> as well as among </w:t>
      </w:r>
      <w:proofErr w:type="spellStart"/>
      <w:r w:rsidRPr="00A379B0">
        <w:rPr>
          <w:highlight w:val="yellow"/>
          <w:lang w:val="en-US"/>
        </w:rPr>
        <w:t>nano</w:t>
      </w:r>
      <w:proofErr w:type="spellEnd"/>
      <w:r w:rsidRPr="00A379B0">
        <w:rPr>
          <w:highlight w:val="yellow"/>
          <w:lang w:val="en-US"/>
        </w:rPr>
        <w:t>-zeolite samples and TEAOH treatment group</w:t>
      </w:r>
      <w:r w:rsidR="00E01693" w:rsidRPr="00A379B0">
        <w:rPr>
          <w:highlight w:val="yellow"/>
          <w:lang w:val="en-US"/>
        </w:rPr>
        <w:t xml:space="preserve"> were </w:t>
      </w:r>
      <w:r w:rsidRPr="00A379B0">
        <w:rPr>
          <w:highlight w:val="yellow"/>
          <w:lang w:val="en-US"/>
        </w:rPr>
        <w:t>evaluated by one-way analysis of variance (ANOVA)</w:t>
      </w:r>
      <w:r w:rsidR="00A264A9" w:rsidRPr="00A379B0">
        <w:rPr>
          <w:highlight w:val="yellow"/>
          <w:lang w:val="en-US"/>
        </w:rPr>
        <w:t xml:space="preserve"> </w:t>
      </w:r>
      <w:r w:rsidR="0065635A" w:rsidRPr="00A379B0">
        <w:rPr>
          <w:highlight w:val="yellow"/>
          <w:lang w:val="en-US"/>
        </w:rPr>
        <w:t>with</w:t>
      </w:r>
      <w:r w:rsidR="00A264A9" w:rsidRPr="00A379B0">
        <w:rPr>
          <w:highlight w:val="yellow"/>
          <w:lang w:val="en-US"/>
        </w:rPr>
        <w:t xml:space="preserve"> Tukey</w:t>
      </w:r>
      <w:r w:rsidR="00603113" w:rsidRPr="00A379B0">
        <w:rPr>
          <w:highlight w:val="yellow"/>
          <w:lang w:val="en-US"/>
        </w:rPr>
        <w:t xml:space="preserve">'s post </w:t>
      </w:r>
      <w:r w:rsidR="00A264A9" w:rsidRPr="00A379B0">
        <w:rPr>
          <w:highlight w:val="yellow"/>
          <w:lang w:val="en-US"/>
        </w:rPr>
        <w:t>hoc test</w:t>
      </w:r>
      <w:r w:rsidRPr="00A379B0">
        <w:rPr>
          <w:highlight w:val="yellow"/>
          <w:lang w:val="en-US"/>
        </w:rPr>
        <w:t>.</w:t>
      </w:r>
      <w:r>
        <w:rPr>
          <w:lang w:val="en-US"/>
        </w:rPr>
        <w:t xml:space="preserve"> </w:t>
      </w:r>
      <w:r w:rsidR="00E01693">
        <w:rPr>
          <w:lang w:val="en-US"/>
        </w:rPr>
        <w:t>The results were e</w:t>
      </w:r>
      <w:r w:rsidR="00F446B5">
        <w:rPr>
          <w:lang w:val="en-US"/>
        </w:rPr>
        <w:t>xpressed as means ± SD, and p≤</w:t>
      </w:r>
      <w:r w:rsidR="00E01693">
        <w:rPr>
          <w:lang w:val="en-US"/>
        </w:rPr>
        <w:t>0.05 was used as a cutoff value of statistical significance. The results of the hatching rate were presented as box-plots. A line within the box represents the median value, while the boundaries of box-plot indicate 25</w:t>
      </w:r>
      <w:r w:rsidR="00E01693">
        <w:rPr>
          <w:vertAlign w:val="superscript"/>
          <w:lang w:val="en-US"/>
        </w:rPr>
        <w:t>th</w:t>
      </w:r>
      <w:r w:rsidR="00E01693">
        <w:rPr>
          <w:lang w:val="en-US"/>
        </w:rPr>
        <w:t xml:space="preserve"> and 75</w:t>
      </w:r>
      <w:r w:rsidR="00E01693">
        <w:rPr>
          <w:vertAlign w:val="superscript"/>
          <w:lang w:val="en-US"/>
        </w:rPr>
        <w:t>th</w:t>
      </w:r>
      <w:r w:rsidR="00E01693">
        <w:rPr>
          <w:lang w:val="en-US"/>
        </w:rPr>
        <w:t xml:space="preserve"> percentiles. Whiskers above and below the box indicate 10</w:t>
      </w:r>
      <w:r w:rsidR="00E01693">
        <w:rPr>
          <w:vertAlign w:val="superscript"/>
          <w:lang w:val="en-US"/>
        </w:rPr>
        <w:t>th</w:t>
      </w:r>
      <w:r w:rsidR="00E01693">
        <w:rPr>
          <w:lang w:val="en-US"/>
        </w:rPr>
        <w:t xml:space="preserve"> and 90</w:t>
      </w:r>
      <w:r w:rsidR="00E01693">
        <w:rPr>
          <w:vertAlign w:val="superscript"/>
          <w:lang w:val="en-US"/>
        </w:rPr>
        <w:t>th</w:t>
      </w:r>
      <w:r w:rsidR="00E01693">
        <w:rPr>
          <w:lang w:val="en-US"/>
        </w:rPr>
        <w:t xml:space="preserve"> percentiles.</w:t>
      </w:r>
      <w:r w:rsidR="00E01693">
        <w:t xml:space="preserve"> </w:t>
      </w:r>
    </w:p>
    <w:p w14:paraId="203ECCDC" w14:textId="77777777" w:rsidR="009A4CC2" w:rsidRDefault="009A4CC2" w:rsidP="00050362">
      <w:pPr>
        <w:spacing w:line="360" w:lineRule="auto"/>
        <w:jc w:val="both"/>
        <w:rPr>
          <w:lang w:val="en-US"/>
        </w:rPr>
      </w:pPr>
    </w:p>
    <w:p w14:paraId="0C581354" w14:textId="77777777" w:rsidR="00F02E89" w:rsidRDefault="00E01693">
      <w:pPr>
        <w:spacing w:line="360" w:lineRule="auto"/>
        <w:jc w:val="both"/>
        <w:outlineLvl w:val="0"/>
        <w:rPr>
          <w:b/>
          <w:bCs/>
          <w:lang w:val="en-US"/>
        </w:rPr>
      </w:pPr>
      <w:r>
        <w:rPr>
          <w:b/>
          <w:bCs/>
          <w:lang w:val="en-US"/>
        </w:rPr>
        <w:t>3. Results and discussion</w:t>
      </w:r>
    </w:p>
    <w:p w14:paraId="29EA2455" w14:textId="77777777" w:rsidR="00F02E89" w:rsidRDefault="00F02E89">
      <w:pPr>
        <w:spacing w:line="360" w:lineRule="auto"/>
        <w:jc w:val="both"/>
        <w:rPr>
          <w:b/>
          <w:lang w:val="en-US"/>
        </w:rPr>
      </w:pPr>
    </w:p>
    <w:p w14:paraId="168087CE" w14:textId="77777777" w:rsidR="00F02E89" w:rsidRDefault="00E01693">
      <w:pPr>
        <w:spacing w:line="360" w:lineRule="auto"/>
        <w:jc w:val="both"/>
        <w:rPr>
          <w:lang w:val="en-US"/>
        </w:rPr>
      </w:pPr>
      <w:r>
        <w:rPr>
          <w:b/>
          <w:bCs/>
          <w:lang w:val="en-US"/>
        </w:rPr>
        <w:t xml:space="preserve">3.1. </w:t>
      </w:r>
      <w:proofErr w:type="spellStart"/>
      <w:r>
        <w:rPr>
          <w:b/>
          <w:bCs/>
          <w:lang w:val="en-US"/>
        </w:rPr>
        <w:t>Physico</w:t>
      </w:r>
      <w:proofErr w:type="spellEnd"/>
      <w:r>
        <w:rPr>
          <w:b/>
          <w:bCs/>
          <w:lang w:val="en-US"/>
        </w:rPr>
        <w:t>-chemical characterization of the tested samples</w:t>
      </w:r>
      <w:r>
        <w:rPr>
          <w:lang w:val="en-US"/>
        </w:rPr>
        <w:t xml:space="preserve"> </w:t>
      </w:r>
    </w:p>
    <w:p w14:paraId="5BE6A2C8" w14:textId="77777777" w:rsidR="00F02E89" w:rsidRDefault="00E01693">
      <w:pPr>
        <w:spacing w:line="360" w:lineRule="auto"/>
        <w:jc w:val="both"/>
        <w:rPr>
          <w:lang w:val="en-US"/>
        </w:rPr>
      </w:pPr>
      <w:r>
        <w:rPr>
          <w:lang w:val="en-US"/>
        </w:rPr>
        <w:t xml:space="preserve">The X-ray powder diffraction patterns (XRD) of two calcined samples are displayed in Fig. 1A. Both XRD patterns of the samples are typical of zeolite beta exhibiting broad peaks arising from the superposition of two systems of broadened reflections associated with polymorphs A and B of zeolite beta. TG analysis of the as-prepared zeolite beta samples was employed to </w:t>
      </w:r>
      <w:r>
        <w:rPr>
          <w:lang w:val="en-US"/>
        </w:rPr>
        <w:lastRenderedPageBreak/>
        <w:t xml:space="preserve">measure the TEAOH content within the zeolite framework (Fig. 1B). Both samples exhibit four weight-loss steps. Two dehydration steps are ranged from room temperature to 180°C and events associated with TEA species release and degradation from 180 to 600°C. Consequently, the content of TEA species in the samples can be calculated from the TG curves. In the sample BEA-140, there is 20 </w:t>
      </w:r>
      <w:proofErr w:type="spellStart"/>
      <w:r>
        <w:rPr>
          <w:lang w:val="en-US"/>
        </w:rPr>
        <w:t>wt</w:t>
      </w:r>
      <w:proofErr w:type="spellEnd"/>
      <w:r>
        <w:rPr>
          <w:lang w:val="en-US"/>
        </w:rPr>
        <w:t xml:space="preserve">% of organic structure-directing agent, while in the BEA-600 the amount is 17 </w:t>
      </w:r>
      <w:proofErr w:type="spellStart"/>
      <w:r>
        <w:rPr>
          <w:lang w:val="en-US"/>
        </w:rPr>
        <w:t>wt</w:t>
      </w:r>
      <w:proofErr w:type="spellEnd"/>
      <w:r>
        <w:rPr>
          <w:lang w:val="en-US"/>
        </w:rPr>
        <w:t xml:space="preserve">%. The average value of 18 </w:t>
      </w:r>
      <w:proofErr w:type="spellStart"/>
      <w:r>
        <w:rPr>
          <w:lang w:val="en-US"/>
        </w:rPr>
        <w:t>wt</w:t>
      </w:r>
      <w:proofErr w:type="spellEnd"/>
      <w:r>
        <w:rPr>
          <w:lang w:val="en-US"/>
        </w:rPr>
        <w:t>% of organic species was taken for embryotoxicity tests.</w:t>
      </w:r>
    </w:p>
    <w:p w14:paraId="39FFAE4B" w14:textId="77777777" w:rsidR="0078731E" w:rsidRDefault="0078731E">
      <w:pPr>
        <w:spacing w:line="360" w:lineRule="auto"/>
        <w:jc w:val="both"/>
        <w:rPr>
          <w:lang w:val="en-US"/>
        </w:rPr>
      </w:pPr>
    </w:p>
    <w:p w14:paraId="2EEB6C3D" w14:textId="77777777" w:rsidR="0078731E" w:rsidRDefault="0078731E" w:rsidP="0078731E">
      <w:pPr>
        <w:spacing w:line="360" w:lineRule="auto"/>
        <w:rPr>
          <w:lang w:val="en-US"/>
        </w:rPr>
      </w:pPr>
      <w:r>
        <w:rPr>
          <w:noProof/>
          <w:lang w:eastAsia="hr-HR"/>
        </w:rPr>
        <mc:AlternateContent>
          <mc:Choice Requires="wps">
            <w:drawing>
              <wp:anchor distT="45720" distB="45720" distL="114300" distR="114300" simplePos="0" relativeHeight="251649024" behindDoc="0" locked="0" layoutInCell="1" allowOverlap="1" wp14:anchorId="01FCA7D1" wp14:editId="54BEB62C">
                <wp:simplePos x="0" y="0"/>
                <wp:positionH relativeFrom="column">
                  <wp:posOffset>2780665</wp:posOffset>
                </wp:positionH>
                <wp:positionV relativeFrom="paragraph">
                  <wp:posOffset>-635</wp:posOffset>
                </wp:positionV>
                <wp:extent cx="342900" cy="2895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9560"/>
                        </a:xfrm>
                        <a:prstGeom prst="rect">
                          <a:avLst/>
                        </a:prstGeom>
                        <a:solidFill>
                          <a:srgbClr val="FFFFFF"/>
                        </a:solidFill>
                        <a:ln w="9525">
                          <a:noFill/>
                          <a:miter lim="800000"/>
                          <a:headEnd/>
                          <a:tailEnd/>
                        </a:ln>
                      </wps:spPr>
                      <wps:txbx>
                        <w:txbxContent>
                          <w:p w14:paraId="652B1DFE" w14:textId="77777777" w:rsidR="00A379B0" w:rsidRDefault="00A379B0" w:rsidP="0078731E">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CA7D1" id="_x0000_t202" coordsize="21600,21600" o:spt="202" path="m,l,21600r21600,l21600,xe">
                <v:stroke joinstyle="miter"/>
                <v:path gradientshapeok="t" o:connecttype="rect"/>
              </v:shapetype>
              <v:shape id="Text Box 3" o:spid="_x0000_s1026" type="#_x0000_t202" style="position:absolute;margin-left:218.95pt;margin-top:-.05pt;width:27pt;height:22.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" stroked="f">
                <v:textbox>
                  <w:txbxContent>
                    <w:p w14:paraId="652B1DFE" w14:textId="77777777" w:rsidR="00A379B0" w:rsidRDefault="00A379B0" w:rsidP="0078731E">
                      <w:pPr>
                        <w:rPr>
                          <w:b/>
                        </w:rPr>
                      </w:pPr>
                      <w:r>
                        <w:rPr>
                          <w:b/>
                        </w:rPr>
                        <w:t>B</w:t>
                      </w:r>
                    </w:p>
                  </w:txbxContent>
                </v:textbox>
              </v:shape>
            </w:pict>
          </mc:Fallback>
        </mc:AlternateContent>
      </w:r>
      <w:r>
        <w:rPr>
          <w:noProof/>
          <w:lang w:eastAsia="hr-HR"/>
        </w:rPr>
        <mc:AlternateContent>
          <mc:Choice Requires="wps">
            <w:drawing>
              <wp:anchor distT="45720" distB="45720" distL="114300" distR="114300" simplePos="0" relativeHeight="251657216" behindDoc="0" locked="0" layoutInCell="1" allowOverlap="1" wp14:anchorId="335F8723" wp14:editId="72D00954">
                <wp:simplePos x="0" y="0"/>
                <wp:positionH relativeFrom="column">
                  <wp:posOffset>-259715</wp:posOffset>
                </wp:positionH>
                <wp:positionV relativeFrom="paragraph">
                  <wp:posOffset>29845</wp:posOffset>
                </wp:positionV>
                <wp:extent cx="342900" cy="28956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9560"/>
                        </a:xfrm>
                        <a:prstGeom prst="rect">
                          <a:avLst/>
                        </a:prstGeom>
                        <a:solidFill>
                          <a:srgbClr val="FFFFFF"/>
                        </a:solidFill>
                        <a:ln w="9525">
                          <a:noFill/>
                          <a:miter lim="800000"/>
                          <a:headEnd/>
                          <a:tailEnd/>
                        </a:ln>
                      </wps:spPr>
                      <wps:txbx>
                        <w:txbxContent>
                          <w:p w14:paraId="76F2CA21" w14:textId="77777777" w:rsidR="00A379B0" w:rsidRDefault="00A379B0" w:rsidP="0078731E">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F8723" id="Text Box 217" o:spid="_x0000_s1027" type="#_x0000_t202" style="position:absolute;margin-left:-20.45pt;margin-top:2.35pt;width:27pt;height:22.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" stroked="f">
                <v:textbox>
                  <w:txbxContent>
                    <w:p w14:paraId="76F2CA21" w14:textId="77777777" w:rsidR="00A379B0" w:rsidRDefault="00A379B0" w:rsidP="0078731E">
                      <w:pPr>
                        <w:rPr>
                          <w:b/>
                        </w:rPr>
                      </w:pPr>
                      <w:r>
                        <w:rPr>
                          <w:b/>
                        </w:rPr>
                        <w:t>A</w:t>
                      </w:r>
                    </w:p>
                  </w:txbxContent>
                </v:textbox>
              </v:shape>
            </w:pict>
          </mc:Fallback>
        </mc:AlternateContent>
      </w:r>
      <w:r>
        <w:rPr>
          <w:noProof/>
          <w:lang w:eastAsia="hr-HR"/>
        </w:rPr>
        <w:drawing>
          <wp:inline distT="0" distB="0" distL="0" distR="0" wp14:anchorId="3202BD86" wp14:editId="2E2D87A3">
            <wp:extent cx="2697480" cy="20269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480" cy="2026920"/>
                    </a:xfrm>
                    <a:prstGeom prst="rect">
                      <a:avLst/>
                    </a:prstGeom>
                    <a:noFill/>
                    <a:ln>
                      <a:noFill/>
                    </a:ln>
                  </pic:spPr>
                </pic:pic>
              </a:graphicData>
            </a:graphic>
          </wp:inline>
        </w:drawing>
      </w:r>
      <w:r>
        <w:rPr>
          <w:lang w:val="en-US"/>
        </w:rPr>
        <w:t xml:space="preserve">     </w:t>
      </w:r>
      <w:r>
        <w:rPr>
          <w:noProof/>
          <w:lang w:eastAsia="hr-HR"/>
        </w:rPr>
        <w:drawing>
          <wp:inline distT="0" distB="0" distL="0" distR="0" wp14:anchorId="23B93668" wp14:editId="1369047B">
            <wp:extent cx="2697480" cy="20269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480" cy="2026920"/>
                    </a:xfrm>
                    <a:prstGeom prst="rect">
                      <a:avLst/>
                    </a:prstGeom>
                    <a:noFill/>
                    <a:ln>
                      <a:noFill/>
                    </a:ln>
                  </pic:spPr>
                </pic:pic>
              </a:graphicData>
            </a:graphic>
          </wp:inline>
        </w:drawing>
      </w:r>
    </w:p>
    <w:p w14:paraId="18A43056" w14:textId="77777777" w:rsidR="0078731E" w:rsidRDefault="0078731E" w:rsidP="0078731E">
      <w:pPr>
        <w:spacing w:line="360" w:lineRule="auto"/>
        <w:jc w:val="both"/>
        <w:outlineLvl w:val="0"/>
        <w:rPr>
          <w:lang w:val="en-US"/>
        </w:rPr>
      </w:pPr>
      <w:r>
        <w:rPr>
          <w:lang w:val="en-US"/>
        </w:rPr>
        <w:t xml:space="preserve">Figure 1. XRD patterns (A) of the calcined </w:t>
      </w:r>
      <w:proofErr w:type="spellStart"/>
      <w:r>
        <w:rPr>
          <w:lang w:val="en-US"/>
        </w:rPr>
        <w:t>nano</w:t>
      </w:r>
      <w:proofErr w:type="spellEnd"/>
      <w:r>
        <w:rPr>
          <w:lang w:val="en-US"/>
        </w:rPr>
        <w:t xml:space="preserve">-zeolite beta samples used in this study and TG curves (B) of the as-prepared </w:t>
      </w:r>
      <w:proofErr w:type="spellStart"/>
      <w:r>
        <w:rPr>
          <w:lang w:val="en-US"/>
        </w:rPr>
        <w:t>nano</w:t>
      </w:r>
      <w:proofErr w:type="spellEnd"/>
      <w:r>
        <w:rPr>
          <w:lang w:val="en-US"/>
        </w:rPr>
        <w:t>-zeolite beta samples.</w:t>
      </w:r>
    </w:p>
    <w:p w14:paraId="6DDF145A" w14:textId="77777777" w:rsidR="0078731E" w:rsidRDefault="0078731E" w:rsidP="0078731E">
      <w:pPr>
        <w:spacing w:line="360" w:lineRule="auto"/>
        <w:jc w:val="both"/>
        <w:rPr>
          <w:lang w:val="en-US"/>
        </w:rPr>
      </w:pPr>
    </w:p>
    <w:p w14:paraId="221CBAFB" w14:textId="3CFA4D2A" w:rsidR="00F02E89" w:rsidRDefault="00E01693" w:rsidP="0078731E">
      <w:pPr>
        <w:spacing w:line="360" w:lineRule="auto"/>
        <w:jc w:val="both"/>
        <w:rPr>
          <w:vertAlign w:val="superscript"/>
          <w:lang w:val="en-US"/>
        </w:rPr>
      </w:pPr>
      <w:r>
        <w:rPr>
          <w:lang w:val="en-US"/>
        </w:rPr>
        <w:t>Dynamic light scattering (DLS) measurements of all of the samples were performed using a concentration of 100 µg mL</w:t>
      </w:r>
      <w:r>
        <w:rPr>
          <w:vertAlign w:val="superscript"/>
          <w:lang w:val="en-US"/>
        </w:rPr>
        <w:t>-1</w:t>
      </w:r>
      <w:r>
        <w:rPr>
          <w:lang w:val="en-US"/>
        </w:rPr>
        <w:t>, dispersed both in deionized water and in AW. No difference in the size distribution has been observed with respect to the dispersant. Furthermore, for the sake of comparison, two samples having a concentration of 25 µg mL</w:t>
      </w:r>
      <w:r>
        <w:rPr>
          <w:vertAlign w:val="superscript"/>
          <w:lang w:val="en-US"/>
        </w:rPr>
        <w:t>-1</w:t>
      </w:r>
      <w:r>
        <w:rPr>
          <w:lang w:val="en-US"/>
        </w:rPr>
        <w:t xml:space="preserve"> dispersed in AW were measured as well (Fig. 2). The maximum position of the DLS size distribution curve of the as-prepared </w:t>
      </w:r>
      <w:r>
        <w:rPr>
          <w:lang w:val="en-US" w:eastAsia="hr-HR"/>
        </w:rPr>
        <w:t xml:space="preserve">BEA-140 having the concentration </w:t>
      </w:r>
      <w:r>
        <w:rPr>
          <w:lang w:val="en-US"/>
        </w:rPr>
        <w:t>100 µg mL</w:t>
      </w:r>
      <w:r>
        <w:rPr>
          <w:vertAlign w:val="superscript"/>
          <w:lang w:val="en-US"/>
        </w:rPr>
        <w:t>-1</w:t>
      </w:r>
      <w:r>
        <w:rPr>
          <w:lang w:val="en-US"/>
        </w:rPr>
        <w:t xml:space="preserve"> is at 140 nm, whereas for the calcined </w:t>
      </w:r>
      <w:r>
        <w:rPr>
          <w:lang w:val="en-US" w:eastAsia="hr-HR"/>
        </w:rPr>
        <w:t>BEA-140-calc (</w:t>
      </w:r>
      <w:r>
        <w:rPr>
          <w:lang w:val="en-US"/>
        </w:rPr>
        <w:t>100 µg mL</w:t>
      </w:r>
      <w:r>
        <w:rPr>
          <w:vertAlign w:val="superscript"/>
          <w:lang w:val="en-US"/>
        </w:rPr>
        <w:t>-1</w:t>
      </w:r>
      <w:r>
        <w:rPr>
          <w:lang w:val="en-US" w:eastAsia="hr-HR"/>
        </w:rPr>
        <w:t>) and BEA-140 (</w:t>
      </w:r>
      <w:r>
        <w:rPr>
          <w:lang w:val="en-US"/>
        </w:rPr>
        <w:t>25 µg mL</w:t>
      </w:r>
      <w:r>
        <w:rPr>
          <w:vertAlign w:val="superscript"/>
          <w:lang w:val="en-US"/>
        </w:rPr>
        <w:t>-1</w:t>
      </w:r>
      <w:r>
        <w:rPr>
          <w:lang w:val="en-US" w:eastAsia="hr-HR"/>
        </w:rPr>
        <w:t>)</w:t>
      </w:r>
      <w:r>
        <w:rPr>
          <w:lang w:val="en-US"/>
        </w:rPr>
        <w:t xml:space="preserve"> the maximum is at 160 nm. In the case of samples </w:t>
      </w:r>
      <w:r>
        <w:rPr>
          <w:lang w:val="en-US" w:eastAsia="hr-HR"/>
        </w:rPr>
        <w:t>BEA-600 and BEA-600-calc (</w:t>
      </w:r>
      <w:r>
        <w:rPr>
          <w:lang w:val="en-US"/>
        </w:rPr>
        <w:t>100 µg mL</w:t>
      </w:r>
      <w:r>
        <w:rPr>
          <w:vertAlign w:val="superscript"/>
          <w:lang w:val="en-US"/>
        </w:rPr>
        <w:t>-1</w:t>
      </w:r>
      <w:r>
        <w:rPr>
          <w:lang w:val="en-US" w:eastAsia="hr-HR"/>
        </w:rPr>
        <w:t>),</w:t>
      </w:r>
      <w:r>
        <w:rPr>
          <w:lang w:val="en-US"/>
        </w:rPr>
        <w:t xml:space="preserve"> the maximum is achieved at the hydrodynamic diameter of 600 nm. The sample </w:t>
      </w:r>
      <w:r>
        <w:rPr>
          <w:lang w:val="en-US" w:eastAsia="hr-HR"/>
        </w:rPr>
        <w:t>BEA-600 (</w:t>
      </w:r>
      <w:r>
        <w:rPr>
          <w:lang w:val="en-US"/>
        </w:rPr>
        <w:t>25 µg mL</w:t>
      </w:r>
      <w:r>
        <w:rPr>
          <w:vertAlign w:val="superscript"/>
          <w:lang w:val="en-US"/>
        </w:rPr>
        <w:t>-1</w:t>
      </w:r>
      <w:r>
        <w:rPr>
          <w:lang w:val="en-US" w:eastAsia="hr-HR"/>
        </w:rPr>
        <w:t xml:space="preserve">) exhibits a maximum at 520 nm. </w:t>
      </w:r>
      <w:r>
        <w:rPr>
          <w:lang w:val="en-US"/>
        </w:rPr>
        <w:t xml:space="preserve">Thus, considering the observed maximums in the DLS curves, the samples were labeled BEA-140 and BEA-600. </w:t>
      </w:r>
      <w:r>
        <w:rPr>
          <w:lang w:val="en-US" w:eastAsia="hr-HR"/>
        </w:rPr>
        <w:t xml:space="preserve">The </w:t>
      </w:r>
      <w:r>
        <w:rPr>
          <w:lang w:val="en-US"/>
        </w:rPr>
        <w:t>observed minor differences in the positions of the maximum of DLS curves in the studied samples can be attributed to slight fluctuations during the measurement due to the presence of different cations in the dispersant. Still, based on DLS data, it is evident that there is no irreversible aggregation of the zeolite beta particles during the calcination, as was observed previously</w:t>
      </w:r>
      <w:bookmarkStart w:id="42" w:name="__Fieldmark__14445_1509016404"/>
      <w:bookmarkEnd w:id="42"/>
      <w:r w:rsidR="00F446B5">
        <w:rPr>
          <w:lang w:val="en-US"/>
        </w:rPr>
        <w:t xml:space="preserve"> </w:t>
      </w:r>
      <w:r w:rsidR="00AC010C">
        <w:rPr>
          <w:lang w:val="en-US"/>
        </w:rPr>
        <w:fldChar w:fldCharType="begin" w:fldLock="1"/>
      </w:r>
      <w:r w:rsidR="00B20EBB">
        <w:rPr>
          <w:lang w:val="en-US"/>
        </w:rPr>
        <w:instrText>ADDIN CSL_CITATION {"citationItems":[{"id":"ITEM-1","itemData":{"DOI":"10.1039/b400521j","ISSN":"09599428","abstract":"Template-free suspensions of functionalized zeolite nanoparticles are obtained by two consecutive grafting procedures. Firstly, organic ligands grafted at template-containing zeolite nanocrystals inhibit irreversible aggregation during the combustion of the structure directing agent. A second grafting provides stable colloidal functionalized zeolite nanocrystals with organic ligands grafted at silicon or aluminium surface zeolite atoms. This procedure is applicable to zeolites with any framework composition and opens up routes for the preparation of various functional materials (controlled release capsules, chemical sensors and adsorbents for example).","author":[{"dropping-particle":"","family":"Smaïhi","given":"Monique","non-dropping-particle":"","parse-names":false,"suffix":""},{"dropping-particle":"","family":"Gavilan","given":"Elisabeth","non-dropping-particle":"","parse-names":false,"suffix":""},{"dropping-particle":"","family":"Durand","given":"Jean Olivier","non-dropping-particle":"","parse-names":false,"suffix":""},{"dropping-particle":"","family":"Valtchev","given":"Valentin P.","non-dropping-particle":"","parse-names":false,"suffix":""}],"container-title":"Journal of Materials Chemistry","id":"ITEM-1","issued":{"date-parts":[["2004"]]},"title":"Colloidal functionalized calcined zeolite nanocrystals","type":"article-journal"},"uris":["http://www.mendeley.com/documents/?uuid=4c091061-ef5f-3a77-b398-fc39dfdbd81b"]}],"mendeley":{"formattedCitation":"[53]","plainTextFormattedCitation":"[53]","previouslyFormattedCitation":"[53]"},"properties":{"noteIndex":0},"schema":"https://github.com/citation-style-language/schema/raw/master/csl-citation.json"}</w:instrText>
      </w:r>
      <w:r w:rsidR="00AC010C">
        <w:rPr>
          <w:lang w:val="en-US"/>
        </w:rPr>
        <w:fldChar w:fldCharType="separate"/>
      </w:r>
      <w:r w:rsidR="00B20EBB" w:rsidRPr="00B20EBB">
        <w:rPr>
          <w:noProof/>
          <w:lang w:val="en-US"/>
        </w:rPr>
        <w:t>[53]</w:t>
      </w:r>
      <w:r w:rsidR="00AC010C">
        <w:rPr>
          <w:lang w:val="en-US"/>
        </w:rPr>
        <w:fldChar w:fldCharType="end"/>
      </w:r>
      <w:r>
        <w:rPr>
          <w:lang w:val="en-US"/>
        </w:rPr>
        <w:t>.</w:t>
      </w:r>
      <w:r>
        <w:rPr>
          <w:vertAlign w:val="superscript"/>
          <w:lang w:val="en-US"/>
        </w:rPr>
        <w:t xml:space="preserve">⁠ </w:t>
      </w:r>
    </w:p>
    <w:p w14:paraId="433DF372" w14:textId="77777777" w:rsidR="0078731E" w:rsidRDefault="0078731E" w:rsidP="0078731E">
      <w:pPr>
        <w:spacing w:line="360" w:lineRule="auto"/>
        <w:jc w:val="both"/>
        <w:rPr>
          <w:vertAlign w:val="superscript"/>
          <w:lang w:val="en-US"/>
        </w:rPr>
      </w:pPr>
    </w:p>
    <w:p w14:paraId="3AB12219" w14:textId="77777777" w:rsidR="0078731E" w:rsidRDefault="0078731E" w:rsidP="0078731E">
      <w:pPr>
        <w:spacing w:line="360" w:lineRule="auto"/>
        <w:jc w:val="both"/>
        <w:rPr>
          <w:lang w:val="en-US"/>
        </w:rPr>
      </w:pPr>
      <w:r>
        <w:rPr>
          <w:noProof/>
          <w:lang w:eastAsia="hr-HR"/>
        </w:rPr>
        <mc:AlternateContent>
          <mc:Choice Requires="wps">
            <w:drawing>
              <wp:anchor distT="45720" distB="45720" distL="114300" distR="114300" simplePos="0" relativeHeight="251650048" behindDoc="0" locked="0" layoutInCell="1" allowOverlap="1" wp14:anchorId="3EDDAE36" wp14:editId="59712B0D">
                <wp:simplePos x="0" y="0"/>
                <wp:positionH relativeFrom="column">
                  <wp:posOffset>3100705</wp:posOffset>
                </wp:positionH>
                <wp:positionV relativeFrom="paragraph">
                  <wp:posOffset>62230</wp:posOffset>
                </wp:positionV>
                <wp:extent cx="342900" cy="28956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9560"/>
                        </a:xfrm>
                        <a:prstGeom prst="rect">
                          <a:avLst/>
                        </a:prstGeom>
                        <a:solidFill>
                          <a:srgbClr val="FFFFFF"/>
                        </a:solidFill>
                        <a:ln w="9525">
                          <a:noFill/>
                          <a:miter lim="800000"/>
                          <a:headEnd/>
                          <a:tailEnd/>
                        </a:ln>
                      </wps:spPr>
                      <wps:txbx>
                        <w:txbxContent>
                          <w:p w14:paraId="755E80ED" w14:textId="77777777" w:rsidR="00A379B0" w:rsidRDefault="00A379B0" w:rsidP="0078731E">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DAE36" id="Text Box 15" o:spid="_x0000_s1028" type="#_x0000_t202" style="position:absolute;left:0;text-align:left;margin-left:244.15pt;margin-top:4.9pt;width:27pt;height:22.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" stroked="f">
                <v:textbox>
                  <w:txbxContent>
                    <w:p w14:paraId="755E80ED" w14:textId="77777777" w:rsidR="00A379B0" w:rsidRDefault="00A379B0" w:rsidP="0078731E">
                      <w:pPr>
                        <w:rPr>
                          <w:b/>
                        </w:rPr>
                      </w:pPr>
                      <w:r>
                        <w:rPr>
                          <w:b/>
                        </w:rPr>
                        <w:t>B</w:t>
                      </w:r>
                    </w:p>
                  </w:txbxContent>
                </v:textbox>
              </v:shape>
            </w:pict>
          </mc:Fallback>
        </mc:AlternateContent>
      </w:r>
      <w:r>
        <w:rPr>
          <w:noProof/>
          <w:lang w:eastAsia="hr-HR"/>
        </w:rPr>
        <mc:AlternateContent>
          <mc:Choice Requires="wps">
            <w:drawing>
              <wp:anchor distT="45720" distB="45720" distL="114300" distR="114300" simplePos="0" relativeHeight="251651072" behindDoc="0" locked="0" layoutInCell="1" allowOverlap="1" wp14:anchorId="658D7EF7" wp14:editId="004CC37E">
                <wp:simplePos x="0" y="0"/>
                <wp:positionH relativeFrom="column">
                  <wp:posOffset>236220</wp:posOffset>
                </wp:positionH>
                <wp:positionV relativeFrom="paragraph">
                  <wp:posOffset>30480</wp:posOffset>
                </wp:positionV>
                <wp:extent cx="342900" cy="2895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9560"/>
                        </a:xfrm>
                        <a:prstGeom prst="rect">
                          <a:avLst/>
                        </a:prstGeom>
                        <a:solidFill>
                          <a:srgbClr val="FFFFFF"/>
                        </a:solidFill>
                        <a:ln w="9525">
                          <a:noFill/>
                          <a:miter lim="800000"/>
                          <a:headEnd/>
                          <a:tailEnd/>
                        </a:ln>
                      </wps:spPr>
                      <wps:txbx>
                        <w:txbxContent>
                          <w:p w14:paraId="18878C61" w14:textId="77777777" w:rsidR="00A379B0" w:rsidRDefault="00A379B0" w:rsidP="0078731E">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D7EF7" id="Text Box 14" o:spid="_x0000_s1029" type="#_x0000_t202" style="position:absolute;left:0;text-align:left;margin-left:18.6pt;margin-top:2.4pt;width:27pt;height:22.8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" stroked="f">
                <v:textbox>
                  <w:txbxContent>
                    <w:p w14:paraId="18878C61" w14:textId="77777777" w:rsidR="00A379B0" w:rsidRDefault="00A379B0" w:rsidP="0078731E">
                      <w:pPr>
                        <w:rPr>
                          <w:b/>
                        </w:rPr>
                      </w:pPr>
                      <w:r>
                        <w:rPr>
                          <w:b/>
                        </w:rPr>
                        <w:t>A</w:t>
                      </w:r>
                    </w:p>
                  </w:txbxContent>
                </v:textbox>
              </v:shape>
            </w:pict>
          </mc:Fallback>
        </mc:AlternateContent>
      </w:r>
      <w:r>
        <w:rPr>
          <w:noProof/>
          <w:lang w:eastAsia="hr-HR"/>
        </w:rPr>
        <mc:AlternateContent>
          <mc:Choice Requires="wps">
            <w:drawing>
              <wp:anchor distT="45720" distB="45720" distL="114300" distR="114300" simplePos="0" relativeHeight="251652096" behindDoc="0" locked="0" layoutInCell="1" allowOverlap="1" wp14:anchorId="1BF4729F" wp14:editId="0BDDF9EF">
                <wp:simplePos x="0" y="0"/>
                <wp:positionH relativeFrom="column">
                  <wp:posOffset>4312285</wp:posOffset>
                </wp:positionH>
                <wp:positionV relativeFrom="paragraph">
                  <wp:posOffset>90805</wp:posOffset>
                </wp:positionV>
                <wp:extent cx="731520" cy="243840"/>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60985"/>
                        </a:xfrm>
                        <a:prstGeom prst="rect">
                          <a:avLst/>
                        </a:prstGeom>
                        <a:solidFill>
                          <a:srgbClr val="FFFFFF"/>
                        </a:solidFill>
                        <a:ln w="9525">
                          <a:noFill/>
                          <a:miter lim="800000"/>
                          <a:headEnd/>
                          <a:tailEnd/>
                        </a:ln>
                      </wps:spPr>
                      <wps:txbx>
                        <w:txbxContent>
                          <w:p w14:paraId="48451013" w14:textId="77777777" w:rsidR="00A379B0" w:rsidRDefault="00A379B0" w:rsidP="0078731E">
                            <w:pPr>
                              <w:rPr>
                                <w:color w:val="000000" w:themeColor="text1"/>
                                <w:sz w:val="22"/>
                                <w:szCs w:val="22"/>
                              </w:rPr>
                            </w:pPr>
                            <w:r>
                              <w:rPr>
                                <w:color w:val="000000" w:themeColor="text1"/>
                                <w:sz w:val="22"/>
                                <w:szCs w:val="22"/>
                              </w:rPr>
                              <w:t>600 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4729F" id="Text Box 13" o:spid="_x0000_s1030" type="#_x0000_t202" style="position:absolute;left:0;text-align:left;margin-left:339.55pt;margin-top:7.15pt;width:57.6pt;height:19.2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" stroked="f">
                <v:textbox style="mso-fit-shape-to-text:t">
                  <w:txbxContent>
                    <w:p w14:paraId="48451013" w14:textId="77777777" w:rsidR="00A379B0" w:rsidRDefault="00A379B0" w:rsidP="0078731E">
                      <w:pPr>
                        <w:rPr>
                          <w:color w:val="000000" w:themeColor="text1"/>
                          <w:sz w:val="22"/>
                          <w:szCs w:val="22"/>
                        </w:rPr>
                      </w:pPr>
                      <w:r>
                        <w:rPr>
                          <w:color w:val="000000" w:themeColor="text1"/>
                          <w:sz w:val="22"/>
                          <w:szCs w:val="22"/>
                        </w:rPr>
                        <w:t>600 nm</w:t>
                      </w:r>
                    </w:p>
                  </w:txbxContent>
                </v:textbox>
              </v:shape>
            </w:pict>
          </mc:Fallback>
        </mc:AlternateContent>
      </w:r>
      <w:r>
        <w:rPr>
          <w:noProof/>
          <w:lang w:eastAsia="hr-HR"/>
        </w:rPr>
        <mc:AlternateContent>
          <mc:Choice Requires="wps">
            <w:drawing>
              <wp:anchor distT="45720" distB="45720" distL="114300" distR="114300" simplePos="0" relativeHeight="251653120" behindDoc="0" locked="0" layoutInCell="1" allowOverlap="1" wp14:anchorId="5DCA0237" wp14:editId="29C3E142">
                <wp:simplePos x="0" y="0"/>
                <wp:positionH relativeFrom="column">
                  <wp:posOffset>997585</wp:posOffset>
                </wp:positionH>
                <wp:positionV relativeFrom="paragraph">
                  <wp:posOffset>144145</wp:posOffset>
                </wp:positionV>
                <wp:extent cx="731520" cy="243840"/>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60985"/>
                        </a:xfrm>
                        <a:prstGeom prst="rect">
                          <a:avLst/>
                        </a:prstGeom>
                        <a:solidFill>
                          <a:srgbClr val="FFFFFF"/>
                        </a:solidFill>
                        <a:ln w="9525">
                          <a:noFill/>
                          <a:miter lim="800000"/>
                          <a:headEnd/>
                          <a:tailEnd/>
                        </a:ln>
                      </wps:spPr>
                      <wps:txbx>
                        <w:txbxContent>
                          <w:p w14:paraId="6EF968B4" w14:textId="77777777" w:rsidR="00A379B0" w:rsidRDefault="00A379B0" w:rsidP="0078731E">
                            <w:pPr>
                              <w:rPr>
                                <w:color w:val="1F4E79" w:themeColor="accent1" w:themeShade="80"/>
                                <w:sz w:val="22"/>
                                <w:szCs w:val="22"/>
                              </w:rPr>
                            </w:pPr>
                            <w:r>
                              <w:rPr>
                                <w:color w:val="1F4E79" w:themeColor="accent1" w:themeShade="80"/>
                                <w:sz w:val="22"/>
                                <w:szCs w:val="22"/>
                              </w:rPr>
                              <w:t>140 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A0237" id="Text Box 12" o:spid="_x0000_s1031" type="#_x0000_t202" style="position:absolute;left:0;text-align:left;margin-left:78.55pt;margin-top:11.35pt;width:57.6pt;height:19.2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" stroked="f">
                <v:textbox style="mso-fit-shape-to-text:t">
                  <w:txbxContent>
                    <w:p w14:paraId="6EF968B4" w14:textId="77777777" w:rsidR="00A379B0" w:rsidRDefault="00A379B0" w:rsidP="0078731E">
                      <w:pPr>
                        <w:rPr>
                          <w:color w:val="1F4E79" w:themeColor="accent1" w:themeShade="80"/>
                          <w:sz w:val="22"/>
                          <w:szCs w:val="22"/>
                        </w:rPr>
                      </w:pPr>
                      <w:r>
                        <w:rPr>
                          <w:color w:val="1F4E79" w:themeColor="accent1" w:themeShade="80"/>
                          <w:sz w:val="22"/>
                          <w:szCs w:val="22"/>
                        </w:rPr>
                        <w:t>140 nm</w:t>
                      </w:r>
                    </w:p>
                  </w:txbxContent>
                </v:textbox>
              </v:shape>
            </w:pict>
          </mc:Fallback>
        </mc:AlternateContent>
      </w:r>
      <w:r>
        <w:rPr>
          <w:noProof/>
          <w:lang w:eastAsia="hr-HR"/>
        </w:rPr>
        <mc:AlternateContent>
          <mc:Choice Requires="wps">
            <w:drawing>
              <wp:anchor distT="0" distB="0" distL="114300" distR="114300" simplePos="0" relativeHeight="251654144" behindDoc="0" locked="0" layoutInCell="1" allowOverlap="1" wp14:anchorId="5AA55C52" wp14:editId="14D38A3C">
                <wp:simplePos x="0" y="0"/>
                <wp:positionH relativeFrom="column">
                  <wp:posOffset>4876165</wp:posOffset>
                </wp:positionH>
                <wp:positionV relativeFrom="paragraph">
                  <wp:posOffset>98425</wp:posOffset>
                </wp:positionV>
                <wp:extent cx="205740" cy="99060"/>
                <wp:effectExtent l="0" t="38100" r="60960" b="34290"/>
                <wp:wrapNone/>
                <wp:docPr id="11" name="Straight Arrow Connector 11"/>
                <wp:cNvGraphicFramePr/>
                <a:graphic xmlns:a="http://schemas.openxmlformats.org/drawingml/2006/main">
                  <a:graphicData uri="http://schemas.microsoft.com/office/word/2010/wordprocessingShape">
                    <wps:wsp>
                      <wps:cNvCnPr/>
                      <wps:spPr>
                        <a:xfrm flipV="1">
                          <a:off x="0" y="0"/>
                          <a:ext cx="205740" cy="99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D52F09" id="_x0000_t32" coordsize="21600,21600" o:spt="32" o:oned="t" path="m,l21600,21600e" filled="f">
                <v:path arrowok="t" fillok="f" o:connecttype="none"/>
                <o:lock v:ext="edit" shapetype="t"/>
              </v:shapetype>
              <v:shape id="Straight Arrow Connector 11" o:spid="_x0000_s1026" type="#_x0000_t32" style="position:absolute;margin-left:383.95pt;margin-top:7.75pt;width:16.2pt;height:7.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" strokecolor="black [3213]" strokeweight=".5pt">
                <v:stroke endarrow="block" joinstyle="miter"/>
              </v:shape>
            </w:pict>
          </mc:Fallback>
        </mc:AlternateContent>
      </w:r>
      <w:r>
        <w:rPr>
          <w:noProof/>
          <w:lang w:eastAsia="hr-HR"/>
        </w:rPr>
        <mc:AlternateContent>
          <mc:Choice Requires="wps">
            <w:drawing>
              <wp:anchor distT="0" distB="0" distL="114300" distR="114300" simplePos="0" relativeHeight="251655168" behindDoc="0" locked="0" layoutInCell="1" allowOverlap="1" wp14:anchorId="126AEE7A" wp14:editId="2B4B6728">
                <wp:simplePos x="0" y="0"/>
                <wp:positionH relativeFrom="column">
                  <wp:posOffset>1553845</wp:posOffset>
                </wp:positionH>
                <wp:positionV relativeFrom="paragraph">
                  <wp:posOffset>319405</wp:posOffset>
                </wp:positionV>
                <wp:extent cx="236220" cy="68580"/>
                <wp:effectExtent l="0" t="0" r="68580" b="64770"/>
                <wp:wrapNone/>
                <wp:docPr id="10" name="Straight Arrow Connector 10"/>
                <wp:cNvGraphicFramePr/>
                <a:graphic xmlns:a="http://schemas.openxmlformats.org/drawingml/2006/main">
                  <a:graphicData uri="http://schemas.microsoft.com/office/word/2010/wordprocessingShape">
                    <wps:wsp>
                      <wps:cNvCnPr/>
                      <wps:spPr>
                        <a:xfrm>
                          <a:off x="0" y="0"/>
                          <a:ext cx="236220" cy="685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53D596" id="Straight Arrow Connector 10" o:spid="_x0000_s1026" type="#_x0000_t32" style="position:absolute;margin-left:122.35pt;margin-top:25.15pt;width:18.6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" strokecolor="#1f4d78 [1604]" strokeweight=".5pt">
                <v:stroke endarrow="block" joinstyle="miter"/>
              </v:shape>
            </w:pict>
          </mc:Fallback>
        </mc:AlternateContent>
      </w:r>
      <w:r>
        <w:rPr>
          <w:noProof/>
          <w:lang w:eastAsia="hr-HR"/>
        </w:rPr>
        <w:drawing>
          <wp:inline distT="0" distB="0" distL="0" distR="0" wp14:anchorId="06C14326" wp14:editId="3F39C592">
            <wp:extent cx="2842260"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inline>
        </w:drawing>
      </w:r>
      <w:r>
        <w:rPr>
          <w:lang w:val="en-US"/>
        </w:rPr>
        <w:t xml:space="preserve">  </w:t>
      </w:r>
      <w:r>
        <w:rPr>
          <w:noProof/>
          <w:lang w:eastAsia="hr-HR"/>
        </w:rPr>
        <w:drawing>
          <wp:inline distT="0" distB="0" distL="0" distR="0" wp14:anchorId="265D57CB" wp14:editId="65FDD3D8">
            <wp:extent cx="284226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inline>
        </w:drawing>
      </w:r>
    </w:p>
    <w:p w14:paraId="3875F013" w14:textId="77777777" w:rsidR="0078731E" w:rsidRDefault="0078731E" w:rsidP="0078731E">
      <w:pPr>
        <w:spacing w:line="360" w:lineRule="auto"/>
        <w:jc w:val="both"/>
        <w:rPr>
          <w:lang w:val="en-US"/>
        </w:rPr>
      </w:pPr>
      <w:r>
        <w:rPr>
          <w:noProof/>
          <w:lang w:eastAsia="hr-HR"/>
        </w:rPr>
        <mc:AlternateContent>
          <mc:Choice Requires="wps">
            <w:drawing>
              <wp:anchor distT="45720" distB="45720" distL="114300" distR="114300" simplePos="0" relativeHeight="251658240" behindDoc="0" locked="0" layoutInCell="1" allowOverlap="1" wp14:anchorId="55B50226" wp14:editId="1C204F3D">
                <wp:simplePos x="0" y="0"/>
                <wp:positionH relativeFrom="column">
                  <wp:posOffset>3146425</wp:posOffset>
                </wp:positionH>
                <wp:positionV relativeFrom="paragraph">
                  <wp:posOffset>64135</wp:posOffset>
                </wp:positionV>
                <wp:extent cx="342900" cy="2895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9560"/>
                        </a:xfrm>
                        <a:prstGeom prst="rect">
                          <a:avLst/>
                        </a:prstGeom>
                        <a:solidFill>
                          <a:srgbClr val="FFFFFF"/>
                        </a:solidFill>
                        <a:ln w="9525">
                          <a:noFill/>
                          <a:miter lim="800000"/>
                          <a:headEnd/>
                          <a:tailEnd/>
                        </a:ln>
                      </wps:spPr>
                      <wps:txbx>
                        <w:txbxContent>
                          <w:p w14:paraId="3F4E832D" w14:textId="77777777" w:rsidR="00A379B0" w:rsidRDefault="00A379B0" w:rsidP="0078731E">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50226" id="Text Box 9" o:spid="_x0000_s1032" type="#_x0000_t202" style="position:absolute;left:0;text-align:left;margin-left:247.75pt;margin-top:5.05pt;width:27pt;height:22.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" stroked="f">
                <v:textbox>
                  <w:txbxContent>
                    <w:p w14:paraId="3F4E832D" w14:textId="77777777" w:rsidR="00A379B0" w:rsidRDefault="00A379B0" w:rsidP="0078731E">
                      <w:pPr>
                        <w:rPr>
                          <w:b/>
                        </w:rPr>
                      </w:pPr>
                      <w:r>
                        <w:rPr>
                          <w:b/>
                        </w:rPr>
                        <w:t>D</w:t>
                      </w:r>
                    </w:p>
                  </w:txbxContent>
                </v:textbox>
              </v:shape>
            </w:pict>
          </mc:Fallback>
        </mc:AlternateContent>
      </w:r>
      <w:r>
        <w:rPr>
          <w:noProof/>
          <w:lang w:eastAsia="hr-HR"/>
        </w:rPr>
        <mc:AlternateContent>
          <mc:Choice Requires="wps">
            <w:drawing>
              <wp:anchor distT="45720" distB="45720" distL="114300" distR="114300" simplePos="0" relativeHeight="251656192" behindDoc="0" locked="0" layoutInCell="1" allowOverlap="1" wp14:anchorId="1E8C8C10" wp14:editId="10E5FE6F">
                <wp:simplePos x="0" y="0"/>
                <wp:positionH relativeFrom="column">
                  <wp:posOffset>250825</wp:posOffset>
                </wp:positionH>
                <wp:positionV relativeFrom="paragraph">
                  <wp:posOffset>79375</wp:posOffset>
                </wp:positionV>
                <wp:extent cx="342900" cy="2895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9560"/>
                        </a:xfrm>
                        <a:prstGeom prst="rect">
                          <a:avLst/>
                        </a:prstGeom>
                        <a:solidFill>
                          <a:srgbClr val="FFFFFF"/>
                        </a:solidFill>
                        <a:ln w="9525">
                          <a:noFill/>
                          <a:miter lim="800000"/>
                          <a:headEnd/>
                          <a:tailEnd/>
                        </a:ln>
                      </wps:spPr>
                      <wps:txbx>
                        <w:txbxContent>
                          <w:p w14:paraId="41382075" w14:textId="77777777" w:rsidR="00A379B0" w:rsidRDefault="00A379B0" w:rsidP="0078731E">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8C10" id="Text Box 8" o:spid="_x0000_s1033" type="#_x0000_t202" style="position:absolute;left:0;text-align:left;margin-left:19.75pt;margin-top:6.25pt;width:27pt;height:22.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" stroked="f">
                <v:textbox>
                  <w:txbxContent>
                    <w:p w14:paraId="41382075" w14:textId="77777777" w:rsidR="00A379B0" w:rsidRDefault="00A379B0" w:rsidP="0078731E">
                      <w:pPr>
                        <w:rPr>
                          <w:b/>
                        </w:rPr>
                      </w:pPr>
                      <w:r>
                        <w:rPr>
                          <w:b/>
                        </w:rPr>
                        <w:t>C</w:t>
                      </w:r>
                    </w:p>
                  </w:txbxContent>
                </v:textbox>
              </v:shape>
            </w:pict>
          </mc:Fallback>
        </mc:AlternateContent>
      </w:r>
      <w:r>
        <w:rPr>
          <w:noProof/>
          <w:lang w:eastAsia="hr-HR"/>
        </w:rPr>
        <w:drawing>
          <wp:inline distT="0" distB="0" distL="0" distR="0" wp14:anchorId="625E99C6" wp14:editId="623E3CA2">
            <wp:extent cx="284226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inline>
        </w:drawing>
      </w:r>
      <w:r>
        <w:rPr>
          <w:lang w:val="en-US"/>
        </w:rPr>
        <w:t xml:space="preserve"> </w:t>
      </w:r>
      <w:r>
        <w:rPr>
          <w:noProof/>
          <w:lang w:eastAsia="hr-HR"/>
        </w:rPr>
        <w:drawing>
          <wp:inline distT="0" distB="0" distL="0" distR="0" wp14:anchorId="08A90EC9" wp14:editId="58A8F921">
            <wp:extent cx="284226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inline>
        </w:drawing>
      </w:r>
    </w:p>
    <w:p w14:paraId="1F87DE53" w14:textId="77777777" w:rsidR="0078731E" w:rsidRDefault="0078731E" w:rsidP="0078731E">
      <w:pPr>
        <w:spacing w:line="360" w:lineRule="auto"/>
        <w:jc w:val="both"/>
        <w:rPr>
          <w:lang w:val="en-US"/>
        </w:rPr>
      </w:pPr>
      <w:r>
        <w:rPr>
          <w:lang w:val="en-US"/>
        </w:rPr>
        <w:t xml:space="preserve">Figure 2. DLS size distribution curves of the studied samples BEA-140 and BEA-600 of different concentrations (A and B) and the zeta potential curves of the </w:t>
      </w:r>
      <w:proofErr w:type="spellStart"/>
      <w:r>
        <w:rPr>
          <w:lang w:val="en-US"/>
        </w:rPr>
        <w:t>nano</w:t>
      </w:r>
      <w:proofErr w:type="spellEnd"/>
      <w:r>
        <w:rPr>
          <w:lang w:val="en-US"/>
        </w:rPr>
        <w:t xml:space="preserve">-zeolite beta suspensions having the concentration 100 </w:t>
      </w:r>
      <w:r w:rsidRPr="00A02432">
        <w:rPr>
          <w:lang w:val="en-US"/>
        </w:rPr>
        <w:t>µg mL</w:t>
      </w:r>
      <w:r>
        <w:rPr>
          <w:vertAlign w:val="superscript"/>
          <w:lang w:val="en-US"/>
        </w:rPr>
        <w:t>-1</w:t>
      </w:r>
      <w:r>
        <w:rPr>
          <w:lang w:val="en-US"/>
        </w:rPr>
        <w:t xml:space="preserve"> (C and D).</w:t>
      </w:r>
    </w:p>
    <w:p w14:paraId="3A68CC53" w14:textId="77777777" w:rsidR="0078731E" w:rsidRDefault="0078731E" w:rsidP="0078731E">
      <w:pPr>
        <w:spacing w:line="360" w:lineRule="auto"/>
        <w:jc w:val="both"/>
      </w:pPr>
    </w:p>
    <w:p w14:paraId="61737281" w14:textId="77777777" w:rsidR="00F02E89" w:rsidRDefault="00E01693">
      <w:pPr>
        <w:spacing w:line="360" w:lineRule="auto"/>
        <w:jc w:val="both"/>
      </w:pPr>
      <w:r>
        <w:rPr>
          <w:lang w:val="en-US"/>
        </w:rPr>
        <w:t xml:space="preserve">Zeta potential measurements provide information on the colloidal stability of the samples. The peaks of the highest studied concentration are positioned at -15.6 mV and at -21.3 mV for the samples BEA-140 and BEA-600, respectively (Fig. 2). The suspensions of pristine samples have more negative zeta potential than the calcined samples – the zeta potential maximum is at -13.7 mV for BEA-140-calc and -12.9 mV for BEA-600-calc. This is expected because of the changing and condensing of the surface </w:t>
      </w:r>
      <w:proofErr w:type="spellStart"/>
      <w:r>
        <w:rPr>
          <w:lang w:val="en-US"/>
        </w:rPr>
        <w:t>silanols</w:t>
      </w:r>
      <w:proofErr w:type="spellEnd"/>
      <w:r>
        <w:rPr>
          <w:lang w:val="en-US"/>
        </w:rPr>
        <w:t xml:space="preserve"> of the zeolite beta particles during calcination. In summary, all zeolite samples exhibit a negative zeta potential that prevents particle aggregation but may have an impact on the interactions between the zeolite beta particles and zebrafish. </w:t>
      </w:r>
    </w:p>
    <w:p w14:paraId="24FC9D5A" w14:textId="77777777" w:rsidR="00F02E89" w:rsidRDefault="00E01693">
      <w:pPr>
        <w:spacing w:line="360" w:lineRule="auto"/>
        <w:jc w:val="both"/>
        <w:rPr>
          <w:lang w:val="en-US" w:eastAsia="hr-HR"/>
        </w:rPr>
      </w:pPr>
      <w:r>
        <w:rPr>
          <w:lang w:val="en-US"/>
        </w:rPr>
        <w:t xml:space="preserve">SEM micrographs (Fig. 3, top) of the zeolite beta samples show that particles are uniform in size and shape in both cases. Crystals in the sample </w:t>
      </w:r>
      <w:r>
        <w:rPr>
          <w:lang w:val="en-US" w:eastAsia="hr-HR"/>
        </w:rPr>
        <w:t xml:space="preserve">BEA-140 are about 150 nm in size. The particles are rounded and do not have well-defined edges. </w:t>
      </w:r>
      <w:r>
        <w:rPr>
          <w:lang w:val="en-US"/>
        </w:rPr>
        <w:t xml:space="preserve">The crystals in the sample </w:t>
      </w:r>
      <w:r>
        <w:rPr>
          <w:lang w:val="en-US" w:eastAsia="hr-HR"/>
        </w:rPr>
        <w:t xml:space="preserve">BEA-600 </w:t>
      </w:r>
      <w:r>
        <w:rPr>
          <w:lang w:val="en-US" w:eastAsia="hr-HR"/>
        </w:rPr>
        <w:lastRenderedPageBreak/>
        <w:t>are oval in shape. Their size is around 600 nm. The TEM study (Fig. 3, down) confirms the uniformity of the zeolite beta particle size and the morphological features observed by SEM. The average size of the particles is about 150 nm and 650 nm in the samples BEA-140 and BEA-600, respectively. In the sample BEA-140, the particles are isometric, while in the BEA-600 they are egg-like/ellipsoids. Thus, the micrographs of the tested samples corroborate the DLS findings.</w:t>
      </w:r>
    </w:p>
    <w:p w14:paraId="0A2D3B0C" w14:textId="77777777" w:rsidR="0078731E" w:rsidRDefault="0078731E">
      <w:pPr>
        <w:spacing w:line="360" w:lineRule="auto"/>
        <w:jc w:val="both"/>
        <w:rPr>
          <w:lang w:val="en-US" w:eastAsia="hr-HR"/>
        </w:rPr>
      </w:pPr>
    </w:p>
    <w:p w14:paraId="043EFB6D" w14:textId="77777777" w:rsidR="0078731E" w:rsidRDefault="0078731E" w:rsidP="0078731E">
      <w:pPr>
        <w:spacing w:line="360" w:lineRule="auto"/>
        <w:jc w:val="center"/>
        <w:rPr>
          <w:lang w:val="en-US"/>
        </w:rPr>
      </w:pPr>
      <w:r>
        <w:rPr>
          <w:noProof/>
          <w:lang w:eastAsia="hr-HR"/>
        </w:rPr>
        <w:drawing>
          <wp:inline distT="0" distB="0" distL="0" distR="0" wp14:anchorId="656A4519" wp14:editId="38E9AF51">
            <wp:extent cx="5943600" cy="425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51960"/>
                    </a:xfrm>
                    <a:prstGeom prst="rect">
                      <a:avLst/>
                    </a:prstGeom>
                    <a:noFill/>
                    <a:ln>
                      <a:noFill/>
                    </a:ln>
                  </pic:spPr>
                </pic:pic>
              </a:graphicData>
            </a:graphic>
          </wp:inline>
        </w:drawing>
      </w:r>
      <w:r>
        <w:rPr>
          <w:lang w:val="en-US"/>
        </w:rPr>
        <w:t xml:space="preserve"> </w:t>
      </w:r>
    </w:p>
    <w:p w14:paraId="7F4043AF" w14:textId="77777777" w:rsidR="0078731E" w:rsidRDefault="0078731E" w:rsidP="0078731E">
      <w:pPr>
        <w:spacing w:line="360" w:lineRule="auto"/>
        <w:jc w:val="both"/>
        <w:outlineLvl w:val="0"/>
        <w:rPr>
          <w:lang w:val="en-US"/>
        </w:rPr>
      </w:pPr>
      <w:r>
        <w:rPr>
          <w:lang w:val="en-US"/>
        </w:rPr>
        <w:t xml:space="preserve">Figure 3. SEM (the first row) and TEM (the second row) images of the studied calcined zeolite beta samples </w:t>
      </w:r>
      <w:r>
        <w:rPr>
          <w:lang w:val="en-US" w:eastAsia="hr-HR"/>
        </w:rPr>
        <w:t>BEA-140calc and BEA-600calc</w:t>
      </w:r>
      <w:r>
        <w:rPr>
          <w:lang w:val="en-US"/>
        </w:rPr>
        <w:t>.</w:t>
      </w:r>
    </w:p>
    <w:p w14:paraId="5F718E87" w14:textId="77777777" w:rsidR="0078731E" w:rsidRDefault="0078731E">
      <w:pPr>
        <w:spacing w:line="360" w:lineRule="auto"/>
        <w:jc w:val="both"/>
        <w:rPr>
          <w:lang w:val="en-US" w:eastAsia="hr-HR"/>
        </w:rPr>
      </w:pPr>
    </w:p>
    <w:p w14:paraId="2275B7EC" w14:textId="77777777" w:rsidR="00F02E89" w:rsidRDefault="00F02E89">
      <w:pPr>
        <w:spacing w:line="360" w:lineRule="auto"/>
        <w:jc w:val="both"/>
        <w:rPr>
          <w:highlight w:val="yellow"/>
          <w:lang w:val="en-US"/>
        </w:rPr>
      </w:pPr>
    </w:p>
    <w:p w14:paraId="191D9B46" w14:textId="77777777" w:rsidR="00F02E89" w:rsidRDefault="00E01693">
      <w:pPr>
        <w:spacing w:line="360" w:lineRule="auto"/>
        <w:jc w:val="both"/>
        <w:outlineLvl w:val="0"/>
        <w:rPr>
          <w:b/>
          <w:bCs/>
          <w:lang w:val="en-US"/>
        </w:rPr>
      </w:pPr>
      <w:r>
        <w:rPr>
          <w:b/>
          <w:bCs/>
          <w:lang w:val="en-US"/>
        </w:rPr>
        <w:t>3.2. Embryotoxicity test</w:t>
      </w:r>
    </w:p>
    <w:p w14:paraId="1FDA8B4C" w14:textId="5B8683A2" w:rsidR="0078731E" w:rsidRDefault="00E01693">
      <w:pPr>
        <w:spacing w:line="360" w:lineRule="auto"/>
        <w:jc w:val="both"/>
        <w:rPr>
          <w:lang w:val="en-US"/>
        </w:rPr>
      </w:pPr>
      <w:r>
        <w:rPr>
          <w:lang w:val="en-US"/>
        </w:rPr>
        <w:t>During 24, 48 and 72 h of zebrafish embryo exposure to the calcined and non-calcined zeolite beta suspensions and TEAOH, only a minor mortality rates (≤</w:t>
      </w:r>
      <w:r w:rsidR="00F75E72" w:rsidRPr="00A215E5">
        <w:rPr>
          <w:highlight w:val="yellow"/>
          <w:lang w:val="en-US"/>
        </w:rPr>
        <w:t>7</w:t>
      </w:r>
      <w:r>
        <w:rPr>
          <w:lang w:val="en-US"/>
        </w:rPr>
        <w:t>%) were observed (</w:t>
      </w:r>
      <w:proofErr w:type="spellStart"/>
      <w:r>
        <w:rPr>
          <w:lang w:val="en-US"/>
        </w:rPr>
        <w:t>Tbl</w:t>
      </w:r>
      <w:proofErr w:type="spellEnd"/>
      <w:r>
        <w:rPr>
          <w:lang w:val="en-US"/>
        </w:rPr>
        <w:t>. 1). Sub-lethal effects on all tested samples (&lt;</w:t>
      </w:r>
      <w:r w:rsidR="00F75E72" w:rsidRPr="00A215E5">
        <w:rPr>
          <w:highlight w:val="yellow"/>
          <w:lang w:val="en-US"/>
        </w:rPr>
        <w:t>8</w:t>
      </w:r>
      <w:r>
        <w:rPr>
          <w:lang w:val="en-US"/>
        </w:rPr>
        <w:t xml:space="preserve">%, </w:t>
      </w:r>
      <w:proofErr w:type="spellStart"/>
      <w:r>
        <w:rPr>
          <w:lang w:val="en-US"/>
        </w:rPr>
        <w:t>Tbl</w:t>
      </w:r>
      <w:proofErr w:type="spellEnd"/>
      <w:r>
        <w:rPr>
          <w:lang w:val="en-US"/>
        </w:rPr>
        <w:t>. 1) revealed whether through yolk sac edema (Fig. S</w:t>
      </w:r>
      <w:r w:rsidR="00383B9C">
        <w:rPr>
          <w:lang w:val="en-US"/>
        </w:rPr>
        <w:t>1</w:t>
      </w:r>
      <w:r>
        <w:rPr>
          <w:lang w:val="en-US"/>
        </w:rPr>
        <w:t>, b) or blood accumulation at the yolk sac (F</w:t>
      </w:r>
      <w:bookmarkStart w:id="43" w:name="_GoBack"/>
      <w:bookmarkEnd w:id="43"/>
      <w:r>
        <w:rPr>
          <w:lang w:val="en-US"/>
        </w:rPr>
        <w:t>ig. S</w:t>
      </w:r>
      <w:r w:rsidR="00383B9C">
        <w:rPr>
          <w:lang w:val="en-US"/>
        </w:rPr>
        <w:t>1</w:t>
      </w:r>
      <w:r>
        <w:rPr>
          <w:lang w:val="en-US"/>
        </w:rPr>
        <w:t xml:space="preserve">, d). Based on the number of survived </w:t>
      </w:r>
      <w:r>
        <w:rPr>
          <w:lang w:val="en-US"/>
        </w:rPr>
        <w:lastRenderedPageBreak/>
        <w:t xml:space="preserve">zebrafish, it can be asserted that all tested samples showed no toxicity or very low acute toxicity with small variances in the percentage of dead and/or abnormal embryos. </w:t>
      </w:r>
    </w:p>
    <w:p w14:paraId="1E1EA54C" w14:textId="77777777" w:rsidR="0078731E" w:rsidRDefault="0078731E">
      <w:pPr>
        <w:spacing w:line="360" w:lineRule="auto"/>
        <w:jc w:val="both"/>
        <w:rPr>
          <w:lang w:val="en-US"/>
        </w:rPr>
      </w:pPr>
    </w:p>
    <w:p w14:paraId="18B8216A" w14:textId="48817F2D" w:rsidR="0078731E" w:rsidRDefault="0078731E" w:rsidP="0078731E">
      <w:pPr>
        <w:spacing w:line="360" w:lineRule="auto"/>
        <w:jc w:val="both"/>
        <w:rPr>
          <w:lang w:val="en-US"/>
        </w:rPr>
      </w:pPr>
      <w:r>
        <w:rPr>
          <w:bCs/>
          <w:lang w:val="en-US"/>
        </w:rPr>
        <w:t>Table 1.</w:t>
      </w:r>
      <w:r>
        <w:rPr>
          <w:b/>
          <w:bCs/>
          <w:lang w:val="en-US"/>
        </w:rPr>
        <w:t xml:space="preserve"> </w:t>
      </w:r>
      <w:r>
        <w:rPr>
          <w:lang w:val="en-US"/>
        </w:rPr>
        <w:t xml:space="preserve">Overview of endpoints measured at 72 h after </w:t>
      </w:r>
      <w:r>
        <w:rPr>
          <w:i/>
          <w:iCs/>
          <w:lang w:val="en-US"/>
        </w:rPr>
        <w:t xml:space="preserve">D. </w:t>
      </w:r>
      <w:proofErr w:type="spellStart"/>
      <w:r>
        <w:rPr>
          <w:i/>
          <w:iCs/>
          <w:lang w:val="en-US"/>
        </w:rPr>
        <w:t>rerio</w:t>
      </w:r>
      <w:proofErr w:type="spellEnd"/>
      <w:r>
        <w:rPr>
          <w:lang w:val="en-US"/>
        </w:rPr>
        <w:t xml:space="preserve"> embryos exposure to the tested samples. </w:t>
      </w:r>
    </w:p>
    <w:tbl>
      <w:tblPr>
        <w:tblStyle w:val="TableGrid"/>
        <w:tblW w:w="4665" w:type="pct"/>
        <w:tblLook w:val="04A0" w:firstRow="1" w:lastRow="0" w:firstColumn="1" w:lastColumn="0" w:noHBand="0" w:noVBand="1"/>
      </w:tblPr>
      <w:tblGrid>
        <w:gridCol w:w="552"/>
        <w:gridCol w:w="1152"/>
        <w:gridCol w:w="1066"/>
        <w:gridCol w:w="1341"/>
        <w:gridCol w:w="1417"/>
        <w:gridCol w:w="1557"/>
        <w:gridCol w:w="1361"/>
      </w:tblGrid>
      <w:tr w:rsidR="0078731E" w14:paraId="7FEA59A3" w14:textId="77777777" w:rsidTr="0078731E">
        <w:trPr>
          <w:trHeight w:val="416"/>
        </w:trPr>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E699F3" w14:textId="77777777" w:rsidR="0078731E" w:rsidRDefault="0078731E"/>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ACF331" w14:textId="77777777" w:rsidR="0078731E" w:rsidRDefault="0078731E"/>
        </w:tc>
        <w:tc>
          <w:tcPr>
            <w:tcW w:w="631" w:type="pct"/>
            <w:tcBorders>
              <w:top w:val="single" w:sz="4" w:space="0" w:color="FFFFFF" w:themeColor="background1"/>
              <w:left w:val="single" w:sz="4" w:space="0" w:color="FFFFFF" w:themeColor="background1"/>
              <w:bottom w:val="single" w:sz="4" w:space="0" w:color="auto"/>
              <w:right w:val="single" w:sz="12" w:space="0" w:color="FFFFFF" w:themeColor="background1"/>
            </w:tcBorders>
            <w:vAlign w:val="center"/>
          </w:tcPr>
          <w:p w14:paraId="24FA78A4" w14:textId="77777777" w:rsidR="0078731E" w:rsidRDefault="0078731E"/>
        </w:tc>
        <w:tc>
          <w:tcPr>
            <w:tcW w:w="3361" w:type="pct"/>
            <w:gridSpan w:val="4"/>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37F2FD40" w14:textId="77777777" w:rsidR="0078731E" w:rsidRDefault="0078731E">
            <w:pPr>
              <w:jc w:val="center"/>
            </w:pPr>
            <w:r>
              <w:t>Observed endpoint</w:t>
            </w:r>
          </w:p>
        </w:tc>
      </w:tr>
      <w:tr w:rsidR="0078731E" w14:paraId="01202F0F" w14:textId="77777777" w:rsidTr="0078731E">
        <w:tc>
          <w:tcPr>
            <w:tcW w:w="3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7DB6CD" w14:textId="77777777" w:rsidR="0078731E" w:rsidRDefault="0078731E">
            <w:pPr>
              <w:rPr>
                <w:b/>
              </w:rPr>
            </w:pPr>
          </w:p>
        </w:tc>
        <w:tc>
          <w:tcPr>
            <w:tcW w:w="682" w:type="pct"/>
            <w:tcBorders>
              <w:top w:val="single" w:sz="4" w:space="0" w:color="FFFFFF" w:themeColor="background1"/>
              <w:left w:val="single" w:sz="4" w:space="0" w:color="FFFFFF" w:themeColor="background1"/>
              <w:bottom w:val="single" w:sz="4" w:space="0" w:color="auto"/>
              <w:right w:val="single" w:sz="12" w:space="0" w:color="FFFFFF" w:themeColor="background1"/>
            </w:tcBorders>
            <w:vAlign w:val="center"/>
          </w:tcPr>
          <w:p w14:paraId="5DDAC896" w14:textId="77777777" w:rsidR="0078731E" w:rsidRDefault="0078731E">
            <w:pPr>
              <w:rPr>
                <w:b/>
              </w:rPr>
            </w:pP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2D4E14D6" w14:textId="77777777" w:rsidR="0078731E" w:rsidRDefault="0078731E">
            <w:pPr>
              <w:jc w:val="center"/>
              <w:rPr>
                <w:b/>
              </w:rPr>
            </w:pPr>
            <w:r>
              <w:rPr>
                <w:b/>
              </w:rPr>
              <w:t>Dose</w:t>
            </w:r>
          </w:p>
          <w:p w14:paraId="27821043" w14:textId="75121A57" w:rsidR="0078731E" w:rsidRDefault="0078731E" w:rsidP="00A02432">
            <w:pPr>
              <w:jc w:val="center"/>
              <w:rPr>
                <w:b/>
                <w:sz w:val="20"/>
                <w:szCs w:val="20"/>
              </w:rPr>
            </w:pPr>
            <w:r>
              <w:rPr>
                <w:b/>
                <w:sz w:val="20"/>
                <w:szCs w:val="20"/>
              </w:rPr>
              <w:t>(µg mL</w:t>
            </w:r>
            <w:r>
              <w:rPr>
                <w:b/>
                <w:sz w:val="20"/>
                <w:szCs w:val="20"/>
                <w:vertAlign w:val="superscript"/>
              </w:rPr>
              <w:t>-1</w:t>
            </w:r>
            <w:r>
              <w:rPr>
                <w:b/>
                <w:sz w:val="20"/>
                <w:szCs w:val="20"/>
              </w:rPr>
              <w:t>)</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43B6AEDC" w14:textId="77777777" w:rsidR="0078731E" w:rsidRDefault="0078731E">
            <w:pPr>
              <w:rPr>
                <w:b/>
                <w:sz w:val="20"/>
                <w:szCs w:val="20"/>
              </w:rPr>
            </w:pPr>
            <w:r>
              <w:rPr>
                <w:b/>
                <w:sz w:val="20"/>
                <w:szCs w:val="20"/>
              </w:rPr>
              <w:t>Lethal embryos (%)</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525F0390" w14:textId="77777777" w:rsidR="0078731E" w:rsidRDefault="0078731E">
            <w:pPr>
              <w:rPr>
                <w:b/>
              </w:rPr>
            </w:pPr>
            <w:r>
              <w:rPr>
                <w:b/>
                <w:sz w:val="20"/>
                <w:szCs w:val="20"/>
              </w:rPr>
              <w:t>Affected embryos (%)</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22189CC2" w14:textId="77777777" w:rsidR="0078731E" w:rsidRDefault="0078731E">
            <w:pPr>
              <w:rPr>
                <w:b/>
              </w:rPr>
            </w:pPr>
            <w:r>
              <w:rPr>
                <w:b/>
                <w:sz w:val="20"/>
                <w:szCs w:val="20"/>
              </w:rPr>
              <w:t>Heart beat rate (beats/15 sec)</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2542721B" w14:textId="77777777" w:rsidR="0078731E" w:rsidRDefault="0078731E">
            <w:pPr>
              <w:rPr>
                <w:b/>
                <w:sz w:val="20"/>
                <w:szCs w:val="20"/>
              </w:rPr>
            </w:pPr>
            <w:r>
              <w:rPr>
                <w:b/>
                <w:sz w:val="20"/>
                <w:szCs w:val="20"/>
              </w:rPr>
              <w:t>Pigmentation formation (scored 1-3)</w:t>
            </w:r>
          </w:p>
        </w:tc>
      </w:tr>
      <w:tr w:rsidR="0078731E" w14:paraId="13D6BEA9" w14:textId="77777777" w:rsidTr="0078731E">
        <w:trPr>
          <w:cantSplit/>
          <w:trHeight w:val="1039"/>
        </w:trPr>
        <w:tc>
          <w:tcPr>
            <w:tcW w:w="327" w:type="pct"/>
            <w:tcBorders>
              <w:top w:val="single" w:sz="4" w:space="0" w:color="auto"/>
              <w:left w:val="single" w:sz="12" w:space="0" w:color="FFFFFF" w:themeColor="background1"/>
              <w:bottom w:val="single" w:sz="12" w:space="0" w:color="auto"/>
              <w:right w:val="single" w:sz="12" w:space="0" w:color="FFFFFF" w:themeColor="background1"/>
            </w:tcBorders>
            <w:textDirection w:val="btLr"/>
            <w:vAlign w:val="center"/>
            <w:hideMark/>
          </w:tcPr>
          <w:p w14:paraId="4AB9FD3C" w14:textId="77777777" w:rsidR="0078731E" w:rsidRDefault="0078731E">
            <w:pPr>
              <w:ind w:left="113" w:right="113"/>
              <w:jc w:val="center"/>
              <w:rPr>
                <w:b/>
                <w:sz w:val="20"/>
                <w:szCs w:val="20"/>
              </w:rPr>
            </w:pPr>
            <w:r>
              <w:rPr>
                <w:b/>
                <w:sz w:val="20"/>
                <w:szCs w:val="20"/>
              </w:rPr>
              <w:t>Control</w:t>
            </w:r>
          </w:p>
        </w:tc>
        <w:tc>
          <w:tcPr>
            <w:tcW w:w="682"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5C34B5C5" w14:textId="77777777" w:rsidR="0078731E" w:rsidRDefault="0078731E">
            <w:pPr>
              <w:jc w:val="center"/>
              <w:rPr>
                <w:b/>
                <w:bCs/>
              </w:rPr>
            </w:pPr>
            <w:r>
              <w:rPr>
                <w:b/>
              </w:rPr>
              <w:t>Artificial water</w:t>
            </w:r>
          </w:p>
        </w:tc>
        <w:tc>
          <w:tcPr>
            <w:tcW w:w="631"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6D2E3D1A" w14:textId="77777777" w:rsidR="0078731E" w:rsidRDefault="0078731E">
            <w:pPr>
              <w:jc w:val="center"/>
              <w:rPr>
                <w:b/>
              </w:rPr>
            </w:pPr>
            <w:r>
              <w:rPr>
                <w:b/>
              </w:rPr>
              <w:t>-</w:t>
            </w:r>
          </w:p>
        </w:tc>
        <w:tc>
          <w:tcPr>
            <w:tcW w:w="794"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21EAF5EC" w14:textId="77777777" w:rsidR="0078731E" w:rsidRDefault="0078731E">
            <w:pPr>
              <w:jc w:val="center"/>
            </w:pPr>
            <w:r>
              <w:rPr>
                <w:sz w:val="18"/>
                <w:szCs w:val="18"/>
              </w:rPr>
              <w:t>0.00 ± 0.00</w:t>
            </w:r>
          </w:p>
        </w:tc>
        <w:tc>
          <w:tcPr>
            <w:tcW w:w="839"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4DE932BA" w14:textId="77777777" w:rsidR="0078731E" w:rsidRDefault="0078731E">
            <w:pPr>
              <w:jc w:val="center"/>
            </w:pPr>
            <w:r>
              <w:rPr>
                <w:sz w:val="18"/>
                <w:szCs w:val="18"/>
              </w:rPr>
              <w:t>3.33 ± 5.77</w:t>
            </w:r>
          </w:p>
        </w:tc>
        <w:tc>
          <w:tcPr>
            <w:tcW w:w="922"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064BFB2A" w14:textId="77777777" w:rsidR="0078731E" w:rsidRDefault="0078731E">
            <w:pPr>
              <w:jc w:val="center"/>
            </w:pPr>
            <w:r>
              <w:rPr>
                <w:sz w:val="18"/>
                <w:szCs w:val="18"/>
              </w:rPr>
              <w:t>39.71 ± 1.25</w:t>
            </w:r>
          </w:p>
        </w:tc>
        <w:tc>
          <w:tcPr>
            <w:tcW w:w="806"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2BEF3BD2" w14:textId="77777777" w:rsidR="0078731E" w:rsidRDefault="0078731E">
            <w:pPr>
              <w:jc w:val="center"/>
              <w:rPr>
                <w:sz w:val="18"/>
                <w:szCs w:val="18"/>
              </w:rPr>
            </w:pPr>
            <w:r>
              <w:rPr>
                <w:sz w:val="18"/>
                <w:szCs w:val="18"/>
              </w:rPr>
              <w:t>2.93 ± 0.25</w:t>
            </w:r>
          </w:p>
        </w:tc>
      </w:tr>
      <w:tr w:rsidR="0078731E" w14:paraId="212E4A39" w14:textId="77777777" w:rsidTr="0078731E">
        <w:tc>
          <w:tcPr>
            <w:tcW w:w="327" w:type="pct"/>
            <w:vMerge w:val="restart"/>
            <w:tcBorders>
              <w:top w:val="single" w:sz="12" w:space="0" w:color="auto"/>
              <w:left w:val="single" w:sz="12" w:space="0" w:color="FFFFFF" w:themeColor="background1"/>
              <w:bottom w:val="single" w:sz="12" w:space="0" w:color="auto"/>
              <w:right w:val="single" w:sz="12" w:space="0" w:color="FFFFFF" w:themeColor="background1"/>
            </w:tcBorders>
            <w:textDirection w:val="btLr"/>
            <w:vAlign w:val="center"/>
            <w:hideMark/>
          </w:tcPr>
          <w:p w14:paraId="305D04EE" w14:textId="77777777" w:rsidR="0078731E" w:rsidRDefault="0078731E">
            <w:pPr>
              <w:ind w:left="113" w:right="113"/>
              <w:jc w:val="center"/>
              <w:rPr>
                <w:b/>
                <w:sz w:val="20"/>
                <w:szCs w:val="20"/>
              </w:rPr>
            </w:pPr>
            <w:r>
              <w:rPr>
                <w:b/>
                <w:sz w:val="20"/>
                <w:szCs w:val="20"/>
              </w:rPr>
              <w:t>Zeolites</w:t>
            </w:r>
          </w:p>
        </w:tc>
        <w:tc>
          <w:tcPr>
            <w:tcW w:w="682" w:type="pct"/>
            <w:vMerge w:val="restar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7B92E664" w14:textId="77777777" w:rsidR="0078731E" w:rsidRDefault="0078731E">
            <w:pPr>
              <w:jc w:val="center"/>
              <w:rPr>
                <w:b/>
              </w:rPr>
            </w:pPr>
            <w:r>
              <w:rPr>
                <w:b/>
                <w:bCs/>
              </w:rPr>
              <w:t>BEA-140-calc</w:t>
            </w:r>
          </w:p>
        </w:tc>
        <w:tc>
          <w:tcPr>
            <w:tcW w:w="631"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4D9D728E" w14:textId="77777777" w:rsidR="0078731E" w:rsidRDefault="0078731E">
            <w:pPr>
              <w:jc w:val="center"/>
              <w:rPr>
                <w:b/>
              </w:rPr>
            </w:pPr>
            <w:r>
              <w:rPr>
                <w:b/>
              </w:rPr>
              <w:t>25</w:t>
            </w:r>
          </w:p>
        </w:tc>
        <w:tc>
          <w:tcPr>
            <w:tcW w:w="794"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2C407E8A" w14:textId="77777777" w:rsidR="0078731E" w:rsidRDefault="0078731E">
            <w:pPr>
              <w:jc w:val="center"/>
            </w:pPr>
            <w:r>
              <w:rPr>
                <w:sz w:val="18"/>
                <w:szCs w:val="18"/>
              </w:rPr>
              <w:t>0.00 ± 0.00</w:t>
            </w:r>
          </w:p>
        </w:tc>
        <w:tc>
          <w:tcPr>
            <w:tcW w:w="839"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41433C84" w14:textId="77777777" w:rsidR="0078731E" w:rsidRDefault="0078731E">
            <w:pPr>
              <w:jc w:val="center"/>
            </w:pPr>
            <w:r>
              <w:rPr>
                <w:sz w:val="18"/>
                <w:szCs w:val="18"/>
              </w:rPr>
              <w:t>0.00 ± 0.00</w:t>
            </w:r>
          </w:p>
        </w:tc>
        <w:tc>
          <w:tcPr>
            <w:tcW w:w="922"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4B755943" w14:textId="77777777" w:rsidR="0078731E" w:rsidRDefault="0078731E">
            <w:pPr>
              <w:jc w:val="center"/>
              <w:rPr>
                <w:sz w:val="18"/>
                <w:szCs w:val="18"/>
              </w:rPr>
            </w:pPr>
            <w:r>
              <w:rPr>
                <w:sz w:val="18"/>
                <w:szCs w:val="18"/>
              </w:rPr>
              <w:t>38.88 ± 1.96</w:t>
            </w:r>
          </w:p>
        </w:tc>
        <w:tc>
          <w:tcPr>
            <w:tcW w:w="806"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6FEE39DA" w14:textId="77777777" w:rsidR="0078731E" w:rsidRDefault="0078731E">
            <w:pPr>
              <w:jc w:val="center"/>
              <w:rPr>
                <w:sz w:val="18"/>
                <w:szCs w:val="18"/>
              </w:rPr>
            </w:pPr>
            <w:r>
              <w:rPr>
                <w:sz w:val="18"/>
                <w:szCs w:val="18"/>
              </w:rPr>
              <w:t>2.90 ± 0.31</w:t>
            </w:r>
          </w:p>
        </w:tc>
      </w:tr>
      <w:tr w:rsidR="0078731E" w14:paraId="6AA76D69"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07E22116" w14:textId="77777777" w:rsidR="0078731E" w:rsidRDefault="0078731E">
            <w:pPr>
              <w:rPr>
                <w:b/>
                <w:sz w:val="20"/>
                <w:szCs w:val="20"/>
              </w:rPr>
            </w:pPr>
          </w:p>
        </w:tc>
        <w:tc>
          <w:tcPr>
            <w:tcW w:w="0" w:type="auto"/>
            <w:vMerge/>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091BFB33" w14:textId="77777777" w:rsidR="0078731E" w:rsidRDefault="0078731E">
            <w:pPr>
              <w:rPr>
                <w:b/>
              </w:rPr>
            </w:pP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11807B78" w14:textId="77777777" w:rsidR="0078731E" w:rsidRDefault="0078731E">
            <w:pPr>
              <w:jc w:val="center"/>
              <w:rPr>
                <w:b/>
              </w:rPr>
            </w:pPr>
            <w:r>
              <w:rPr>
                <w:b/>
              </w:rPr>
              <w:t>50</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090D56F4" w14:textId="77777777" w:rsidR="0078731E" w:rsidRDefault="0078731E">
            <w:pPr>
              <w:jc w:val="center"/>
            </w:pPr>
            <w:r>
              <w:rPr>
                <w:sz w:val="18"/>
                <w:szCs w:val="18"/>
              </w:rPr>
              <w:t>0.00 ± 0.00</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5FCD967F" w14:textId="77777777" w:rsidR="0078731E" w:rsidRDefault="0078731E">
            <w:pPr>
              <w:jc w:val="center"/>
            </w:pPr>
            <w:r>
              <w:rPr>
                <w:sz w:val="18"/>
                <w:szCs w:val="18"/>
              </w:rPr>
              <w:t>0.00 ± 0.00</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D136764" w14:textId="77777777" w:rsidR="0078731E" w:rsidRDefault="0078731E">
            <w:pPr>
              <w:jc w:val="center"/>
            </w:pPr>
            <w:r>
              <w:rPr>
                <w:sz w:val="18"/>
                <w:szCs w:val="18"/>
              </w:rPr>
              <w:t>37.81 ± 1.83</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1C725EB1" w14:textId="77777777" w:rsidR="0078731E" w:rsidRDefault="0078731E">
            <w:pPr>
              <w:jc w:val="center"/>
              <w:rPr>
                <w:sz w:val="18"/>
                <w:szCs w:val="18"/>
              </w:rPr>
            </w:pPr>
            <w:r>
              <w:rPr>
                <w:sz w:val="18"/>
                <w:szCs w:val="18"/>
              </w:rPr>
              <w:t>2.90 ± 0.31</w:t>
            </w:r>
          </w:p>
        </w:tc>
      </w:tr>
      <w:tr w:rsidR="0078731E" w14:paraId="715847EE"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341D4F6E" w14:textId="77777777" w:rsidR="0078731E" w:rsidRDefault="0078731E">
            <w:pPr>
              <w:rPr>
                <w:b/>
                <w:sz w:val="20"/>
                <w:szCs w:val="20"/>
              </w:rPr>
            </w:pPr>
          </w:p>
        </w:tc>
        <w:tc>
          <w:tcPr>
            <w:tcW w:w="0" w:type="auto"/>
            <w:vMerge/>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637CF338" w14:textId="77777777" w:rsidR="0078731E" w:rsidRDefault="0078731E">
            <w:pPr>
              <w:rPr>
                <w:b/>
              </w:rPr>
            </w:pP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4B8B9764" w14:textId="77777777" w:rsidR="0078731E" w:rsidRDefault="0078731E">
            <w:pPr>
              <w:jc w:val="center"/>
              <w:rPr>
                <w:b/>
              </w:rPr>
            </w:pPr>
            <w:r>
              <w:rPr>
                <w:b/>
              </w:rPr>
              <w:t>100</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453BAE52" w14:textId="77777777" w:rsidR="0078731E" w:rsidRDefault="0078731E">
            <w:pPr>
              <w:jc w:val="center"/>
            </w:pPr>
            <w:r>
              <w:rPr>
                <w:sz w:val="18"/>
                <w:szCs w:val="18"/>
              </w:rPr>
              <w:t>0.00 ± 0.00</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1D9B5536" w14:textId="77777777" w:rsidR="0078731E" w:rsidRDefault="0078731E">
            <w:pPr>
              <w:jc w:val="center"/>
            </w:pPr>
            <w:r>
              <w:rPr>
                <w:sz w:val="18"/>
                <w:szCs w:val="18"/>
              </w:rPr>
              <w:t>3.33 ± 5.77</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B20AECA" w14:textId="77777777" w:rsidR="0078731E" w:rsidRDefault="0078731E">
            <w:pPr>
              <w:jc w:val="center"/>
            </w:pPr>
            <w:r>
              <w:rPr>
                <w:sz w:val="18"/>
                <w:szCs w:val="18"/>
              </w:rPr>
              <w:t>36.38 ± 1.50</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5FDE61BC" w14:textId="77777777" w:rsidR="0078731E" w:rsidRDefault="0078731E">
            <w:pPr>
              <w:jc w:val="center"/>
              <w:rPr>
                <w:sz w:val="18"/>
                <w:szCs w:val="18"/>
              </w:rPr>
            </w:pPr>
            <w:r>
              <w:rPr>
                <w:sz w:val="18"/>
                <w:szCs w:val="18"/>
              </w:rPr>
              <w:t>2.93 ± 0.25</w:t>
            </w:r>
          </w:p>
        </w:tc>
      </w:tr>
      <w:tr w:rsidR="0078731E" w14:paraId="50C078CE"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62CC5F1C" w14:textId="77777777" w:rsidR="0078731E" w:rsidRDefault="0078731E">
            <w:pPr>
              <w:rPr>
                <w:b/>
                <w:sz w:val="20"/>
                <w:szCs w:val="20"/>
              </w:rPr>
            </w:pPr>
          </w:p>
        </w:tc>
        <w:tc>
          <w:tcPr>
            <w:tcW w:w="682" w:type="pct"/>
            <w:vMerge w:val="restar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55699381" w14:textId="77777777" w:rsidR="0078731E" w:rsidRDefault="0078731E">
            <w:pPr>
              <w:jc w:val="center"/>
              <w:rPr>
                <w:b/>
              </w:rPr>
            </w:pPr>
            <w:r>
              <w:rPr>
                <w:b/>
                <w:bCs/>
              </w:rPr>
              <w:t>BEA-600-calc</w:t>
            </w: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4E4CB000" w14:textId="77777777" w:rsidR="0078731E" w:rsidRDefault="0078731E">
            <w:pPr>
              <w:jc w:val="center"/>
              <w:rPr>
                <w:b/>
              </w:rPr>
            </w:pPr>
            <w:r>
              <w:rPr>
                <w:b/>
              </w:rPr>
              <w:t>25</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F08DEAB" w14:textId="77777777" w:rsidR="0078731E" w:rsidRDefault="0078731E">
            <w:pPr>
              <w:jc w:val="center"/>
            </w:pPr>
            <w:r>
              <w:rPr>
                <w:sz w:val="18"/>
                <w:szCs w:val="18"/>
              </w:rPr>
              <w:t>0.00 ± 0.00</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42532AD3" w14:textId="77777777" w:rsidR="0078731E" w:rsidRDefault="0078731E">
            <w:pPr>
              <w:jc w:val="center"/>
            </w:pPr>
            <w:r>
              <w:rPr>
                <w:sz w:val="18"/>
                <w:szCs w:val="18"/>
              </w:rPr>
              <w:t>0.00 ± 0.00</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0B9EBF4A" w14:textId="77777777" w:rsidR="0078731E" w:rsidRDefault="0078731E">
            <w:pPr>
              <w:jc w:val="center"/>
            </w:pPr>
            <w:r>
              <w:rPr>
                <w:sz w:val="18"/>
                <w:szCs w:val="18"/>
              </w:rPr>
              <w:t>37.44 ± 1.59</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41D3D2B" w14:textId="77777777" w:rsidR="0078731E" w:rsidRDefault="0078731E">
            <w:pPr>
              <w:jc w:val="center"/>
              <w:rPr>
                <w:sz w:val="18"/>
                <w:szCs w:val="18"/>
              </w:rPr>
            </w:pPr>
            <w:r>
              <w:rPr>
                <w:sz w:val="18"/>
                <w:szCs w:val="18"/>
              </w:rPr>
              <w:t>2.96 ± 0.18</w:t>
            </w:r>
          </w:p>
        </w:tc>
      </w:tr>
      <w:tr w:rsidR="0078731E" w14:paraId="71662417"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02E75D0B" w14:textId="77777777" w:rsidR="0078731E" w:rsidRDefault="0078731E">
            <w:pPr>
              <w:rPr>
                <w:b/>
                <w:sz w:val="20"/>
                <w:szCs w:val="20"/>
              </w:rPr>
            </w:pPr>
          </w:p>
        </w:tc>
        <w:tc>
          <w:tcPr>
            <w:tcW w:w="0" w:type="auto"/>
            <w:vMerge/>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00E9192F" w14:textId="77777777" w:rsidR="0078731E" w:rsidRDefault="0078731E">
            <w:pPr>
              <w:rPr>
                <w:b/>
              </w:rPr>
            </w:pP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0977DDAC" w14:textId="77777777" w:rsidR="0078731E" w:rsidRDefault="0078731E">
            <w:pPr>
              <w:jc w:val="center"/>
              <w:rPr>
                <w:b/>
              </w:rPr>
            </w:pPr>
            <w:r>
              <w:rPr>
                <w:b/>
              </w:rPr>
              <w:t>50</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567FBF6E" w14:textId="77777777" w:rsidR="0078731E" w:rsidRDefault="0078731E">
            <w:pPr>
              <w:jc w:val="center"/>
            </w:pPr>
            <w:r>
              <w:rPr>
                <w:sz w:val="18"/>
                <w:szCs w:val="18"/>
              </w:rPr>
              <w:t>0.00 ± 0.00</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7DDFD5A0" w14:textId="77777777" w:rsidR="0078731E" w:rsidRDefault="0078731E">
            <w:pPr>
              <w:jc w:val="center"/>
            </w:pPr>
            <w:r>
              <w:rPr>
                <w:sz w:val="18"/>
                <w:szCs w:val="18"/>
              </w:rPr>
              <w:t>3.33 ± 5.77</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0F135869" w14:textId="77777777" w:rsidR="0078731E" w:rsidRDefault="0078731E">
            <w:pPr>
              <w:jc w:val="center"/>
            </w:pPr>
            <w:r>
              <w:rPr>
                <w:sz w:val="18"/>
                <w:szCs w:val="18"/>
              </w:rPr>
              <w:t>39.57 ± 1.90</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74335C3A" w14:textId="77777777" w:rsidR="0078731E" w:rsidRDefault="0078731E">
            <w:pPr>
              <w:jc w:val="center"/>
              <w:rPr>
                <w:sz w:val="18"/>
                <w:szCs w:val="18"/>
              </w:rPr>
            </w:pPr>
            <w:r>
              <w:rPr>
                <w:sz w:val="18"/>
                <w:szCs w:val="18"/>
              </w:rPr>
              <w:t>2.90 ± 0.31</w:t>
            </w:r>
          </w:p>
        </w:tc>
      </w:tr>
      <w:tr w:rsidR="0078731E" w14:paraId="0032B3DA"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76836C7B" w14:textId="77777777" w:rsidR="0078731E" w:rsidRDefault="0078731E">
            <w:pPr>
              <w:rPr>
                <w:b/>
                <w:sz w:val="20"/>
                <w:szCs w:val="20"/>
              </w:rPr>
            </w:pPr>
          </w:p>
        </w:tc>
        <w:tc>
          <w:tcPr>
            <w:tcW w:w="0" w:type="auto"/>
            <w:vMerge/>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2AE59AB4" w14:textId="77777777" w:rsidR="0078731E" w:rsidRDefault="0078731E">
            <w:pPr>
              <w:rPr>
                <w:b/>
              </w:rPr>
            </w:pPr>
          </w:p>
        </w:tc>
        <w:tc>
          <w:tcPr>
            <w:tcW w:w="631"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456CB425" w14:textId="77777777" w:rsidR="0078731E" w:rsidRDefault="0078731E">
            <w:pPr>
              <w:jc w:val="center"/>
              <w:rPr>
                <w:b/>
              </w:rPr>
            </w:pPr>
            <w:r>
              <w:rPr>
                <w:b/>
              </w:rPr>
              <w:t>100</w:t>
            </w:r>
          </w:p>
        </w:tc>
        <w:tc>
          <w:tcPr>
            <w:tcW w:w="794"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7647D797" w14:textId="77777777" w:rsidR="0078731E" w:rsidRDefault="0078731E">
            <w:pPr>
              <w:jc w:val="center"/>
            </w:pPr>
            <w:r>
              <w:rPr>
                <w:sz w:val="18"/>
                <w:szCs w:val="18"/>
              </w:rPr>
              <w:t>6.66 ± 5.77</w:t>
            </w:r>
          </w:p>
        </w:tc>
        <w:tc>
          <w:tcPr>
            <w:tcW w:w="839"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3D26A821" w14:textId="7839E5DD" w:rsidR="0078731E" w:rsidRDefault="00517CC7" w:rsidP="00517CC7">
            <w:pPr>
              <w:jc w:val="center"/>
            </w:pPr>
            <w:r>
              <w:rPr>
                <w:sz w:val="18"/>
                <w:szCs w:val="18"/>
              </w:rPr>
              <w:t>3</w:t>
            </w:r>
            <w:r w:rsidR="00F75E72">
              <w:rPr>
                <w:sz w:val="18"/>
                <w:szCs w:val="18"/>
              </w:rPr>
              <w:t>.</w:t>
            </w:r>
            <w:r w:rsidRPr="00517CC7">
              <w:rPr>
                <w:sz w:val="18"/>
                <w:szCs w:val="18"/>
              </w:rPr>
              <w:t>57</w:t>
            </w:r>
            <w:r w:rsidR="00171C84" w:rsidRPr="00517CC7">
              <w:rPr>
                <w:sz w:val="18"/>
                <w:szCs w:val="18"/>
              </w:rPr>
              <w:t xml:space="preserve"> ± 5.77</w:t>
            </w:r>
          </w:p>
        </w:tc>
        <w:tc>
          <w:tcPr>
            <w:tcW w:w="922"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0F0CBF9A" w14:textId="77777777" w:rsidR="0078731E" w:rsidRDefault="0078731E">
            <w:pPr>
              <w:jc w:val="center"/>
            </w:pPr>
            <w:r>
              <w:rPr>
                <w:sz w:val="18"/>
                <w:szCs w:val="18"/>
              </w:rPr>
              <w:t>35.00 ± 1.41</w:t>
            </w:r>
          </w:p>
        </w:tc>
        <w:tc>
          <w:tcPr>
            <w:tcW w:w="806"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771F209A" w14:textId="77777777" w:rsidR="0078731E" w:rsidRDefault="0078731E">
            <w:pPr>
              <w:jc w:val="center"/>
              <w:rPr>
                <w:sz w:val="18"/>
                <w:szCs w:val="18"/>
              </w:rPr>
            </w:pPr>
            <w:r>
              <w:rPr>
                <w:sz w:val="18"/>
                <w:szCs w:val="18"/>
              </w:rPr>
              <w:t>2.90 ± 0.31</w:t>
            </w:r>
          </w:p>
        </w:tc>
      </w:tr>
      <w:tr w:rsidR="0078731E" w14:paraId="477823D5" w14:textId="77777777" w:rsidTr="0078731E">
        <w:tc>
          <w:tcPr>
            <w:tcW w:w="327" w:type="pct"/>
            <w:vMerge w:val="restart"/>
            <w:tcBorders>
              <w:top w:val="single" w:sz="12" w:space="0" w:color="auto"/>
              <w:left w:val="single" w:sz="12" w:space="0" w:color="FFFFFF" w:themeColor="background1"/>
              <w:bottom w:val="single" w:sz="12" w:space="0" w:color="auto"/>
              <w:right w:val="single" w:sz="12" w:space="0" w:color="FFFFFF" w:themeColor="background1"/>
            </w:tcBorders>
            <w:textDirection w:val="btLr"/>
            <w:vAlign w:val="center"/>
            <w:hideMark/>
          </w:tcPr>
          <w:p w14:paraId="342A6812" w14:textId="77777777" w:rsidR="0078731E" w:rsidRDefault="0078731E">
            <w:pPr>
              <w:ind w:left="113" w:right="113"/>
              <w:jc w:val="center"/>
              <w:rPr>
                <w:b/>
                <w:sz w:val="20"/>
                <w:szCs w:val="20"/>
              </w:rPr>
            </w:pPr>
            <w:r>
              <w:rPr>
                <w:b/>
                <w:sz w:val="20"/>
                <w:szCs w:val="20"/>
              </w:rPr>
              <w:t>Zeolites with OSDA</w:t>
            </w:r>
          </w:p>
        </w:tc>
        <w:tc>
          <w:tcPr>
            <w:tcW w:w="682" w:type="pct"/>
            <w:vMerge w:val="restar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59E74505" w14:textId="77777777" w:rsidR="0078731E" w:rsidRDefault="0078731E">
            <w:pPr>
              <w:jc w:val="center"/>
              <w:rPr>
                <w:b/>
              </w:rPr>
            </w:pPr>
            <w:r>
              <w:rPr>
                <w:b/>
                <w:bCs/>
              </w:rPr>
              <w:t>BEA-140</w:t>
            </w:r>
          </w:p>
        </w:tc>
        <w:tc>
          <w:tcPr>
            <w:tcW w:w="631"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184FA7D0" w14:textId="77777777" w:rsidR="0078731E" w:rsidRDefault="0078731E">
            <w:pPr>
              <w:jc w:val="center"/>
              <w:rPr>
                <w:b/>
              </w:rPr>
            </w:pPr>
            <w:r>
              <w:rPr>
                <w:b/>
              </w:rPr>
              <w:t>25</w:t>
            </w:r>
          </w:p>
        </w:tc>
        <w:tc>
          <w:tcPr>
            <w:tcW w:w="794"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42E5859E" w14:textId="77777777" w:rsidR="0078731E" w:rsidRDefault="0078731E">
            <w:pPr>
              <w:jc w:val="center"/>
            </w:pPr>
            <w:r>
              <w:rPr>
                <w:sz w:val="18"/>
                <w:szCs w:val="18"/>
              </w:rPr>
              <w:t>0.00 ± 0.00</w:t>
            </w:r>
          </w:p>
        </w:tc>
        <w:tc>
          <w:tcPr>
            <w:tcW w:w="839"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7A43DAEF" w14:textId="77777777" w:rsidR="0078731E" w:rsidRDefault="0078731E">
            <w:pPr>
              <w:jc w:val="center"/>
              <w:rPr>
                <w:sz w:val="18"/>
                <w:szCs w:val="18"/>
              </w:rPr>
            </w:pPr>
            <w:r>
              <w:rPr>
                <w:sz w:val="18"/>
                <w:szCs w:val="18"/>
              </w:rPr>
              <w:t>0.00 ± 0.00</w:t>
            </w:r>
          </w:p>
        </w:tc>
        <w:tc>
          <w:tcPr>
            <w:tcW w:w="922"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1832E92E" w14:textId="77777777" w:rsidR="0078731E" w:rsidRDefault="0078731E">
            <w:pPr>
              <w:jc w:val="center"/>
              <w:rPr>
                <w:sz w:val="18"/>
                <w:szCs w:val="18"/>
              </w:rPr>
            </w:pPr>
            <w:r>
              <w:rPr>
                <w:sz w:val="18"/>
                <w:szCs w:val="18"/>
              </w:rPr>
              <w:t>38.02 ± 1.92</w:t>
            </w:r>
          </w:p>
        </w:tc>
        <w:tc>
          <w:tcPr>
            <w:tcW w:w="806"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742841FB" w14:textId="77777777" w:rsidR="0078731E" w:rsidRDefault="0078731E">
            <w:pPr>
              <w:jc w:val="center"/>
              <w:rPr>
                <w:sz w:val="18"/>
                <w:szCs w:val="18"/>
              </w:rPr>
            </w:pPr>
            <w:r>
              <w:rPr>
                <w:sz w:val="18"/>
                <w:szCs w:val="18"/>
              </w:rPr>
              <w:t>2.93 ± 0.25</w:t>
            </w:r>
          </w:p>
        </w:tc>
      </w:tr>
      <w:tr w:rsidR="0078731E" w14:paraId="0C3B2D64"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670380B6" w14:textId="77777777" w:rsidR="0078731E" w:rsidRDefault="0078731E">
            <w:pPr>
              <w:rPr>
                <w:b/>
                <w:sz w:val="20"/>
                <w:szCs w:val="20"/>
              </w:rPr>
            </w:pPr>
          </w:p>
        </w:tc>
        <w:tc>
          <w:tcPr>
            <w:tcW w:w="0" w:type="auto"/>
            <w:vMerge/>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0C6DBA42" w14:textId="77777777" w:rsidR="0078731E" w:rsidRDefault="0078731E">
            <w:pPr>
              <w:rPr>
                <w:b/>
              </w:rPr>
            </w:pP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88F3E48" w14:textId="77777777" w:rsidR="0078731E" w:rsidRDefault="0078731E">
            <w:pPr>
              <w:jc w:val="center"/>
              <w:rPr>
                <w:b/>
              </w:rPr>
            </w:pPr>
            <w:r>
              <w:rPr>
                <w:b/>
              </w:rPr>
              <w:t>50</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5A5534DC" w14:textId="77777777" w:rsidR="0078731E" w:rsidRDefault="0078731E">
            <w:pPr>
              <w:jc w:val="center"/>
            </w:pPr>
            <w:r>
              <w:rPr>
                <w:sz w:val="18"/>
                <w:szCs w:val="18"/>
              </w:rPr>
              <w:t>3.33 ± 5.77</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11D9BA8F" w14:textId="7CD3D95A" w:rsidR="0078731E" w:rsidRDefault="00517CC7">
            <w:pPr>
              <w:jc w:val="center"/>
            </w:pPr>
            <w:r w:rsidRPr="00517CC7">
              <w:rPr>
                <w:sz w:val="18"/>
                <w:szCs w:val="18"/>
              </w:rPr>
              <w:t>3.83 ± 6.</w:t>
            </w:r>
            <w:r>
              <w:rPr>
                <w:sz w:val="18"/>
                <w:szCs w:val="18"/>
              </w:rPr>
              <w:t>41</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8D6C33C" w14:textId="77777777" w:rsidR="0078731E" w:rsidRDefault="0078731E">
            <w:pPr>
              <w:jc w:val="center"/>
              <w:rPr>
                <w:sz w:val="18"/>
                <w:szCs w:val="18"/>
              </w:rPr>
            </w:pPr>
            <w:r>
              <w:rPr>
                <w:sz w:val="18"/>
                <w:szCs w:val="18"/>
              </w:rPr>
              <w:t>38.40 ± 3.13</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120CB2FC" w14:textId="77777777" w:rsidR="0078731E" w:rsidRDefault="0078731E">
            <w:pPr>
              <w:jc w:val="center"/>
              <w:rPr>
                <w:sz w:val="18"/>
                <w:szCs w:val="18"/>
              </w:rPr>
            </w:pPr>
            <w:r>
              <w:rPr>
                <w:sz w:val="18"/>
                <w:szCs w:val="18"/>
              </w:rPr>
              <w:t>2.96 ± 0.18</w:t>
            </w:r>
          </w:p>
        </w:tc>
      </w:tr>
      <w:tr w:rsidR="0078731E" w14:paraId="72AE8D35"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5548FF83" w14:textId="77777777" w:rsidR="0078731E" w:rsidRDefault="0078731E">
            <w:pPr>
              <w:rPr>
                <w:b/>
                <w:sz w:val="20"/>
                <w:szCs w:val="20"/>
              </w:rPr>
            </w:pPr>
          </w:p>
        </w:tc>
        <w:tc>
          <w:tcPr>
            <w:tcW w:w="0" w:type="auto"/>
            <w:vMerge/>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6C7F288B" w14:textId="77777777" w:rsidR="0078731E" w:rsidRDefault="0078731E">
            <w:pPr>
              <w:rPr>
                <w:b/>
              </w:rPr>
            </w:pP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543422C" w14:textId="77777777" w:rsidR="0078731E" w:rsidRDefault="0078731E">
            <w:pPr>
              <w:jc w:val="center"/>
              <w:rPr>
                <w:b/>
              </w:rPr>
            </w:pPr>
            <w:r>
              <w:rPr>
                <w:b/>
              </w:rPr>
              <w:t>100</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04E7E8E" w14:textId="3275ED9A" w:rsidR="0078731E" w:rsidRDefault="00171C84">
            <w:pPr>
              <w:jc w:val="center"/>
            </w:pPr>
            <w:r>
              <w:rPr>
                <w:sz w:val="18"/>
                <w:szCs w:val="18"/>
              </w:rPr>
              <w:t>3.33 ± 5.77</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3E59EEFE" w14:textId="25C532BA" w:rsidR="0078731E" w:rsidRDefault="00171C84" w:rsidP="00517CC7">
            <w:pPr>
              <w:jc w:val="center"/>
            </w:pPr>
            <w:r w:rsidRPr="00517CC7">
              <w:rPr>
                <w:sz w:val="18"/>
                <w:szCs w:val="18"/>
              </w:rPr>
              <w:t>3.3</w:t>
            </w:r>
            <w:r w:rsidR="00517CC7" w:rsidRPr="00517CC7">
              <w:rPr>
                <w:sz w:val="18"/>
                <w:szCs w:val="18"/>
              </w:rPr>
              <w:t>4</w:t>
            </w:r>
            <w:r w:rsidRPr="00517CC7">
              <w:rPr>
                <w:sz w:val="18"/>
                <w:szCs w:val="18"/>
              </w:rPr>
              <w:t xml:space="preserve"> ± 5.77</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1B326536" w14:textId="77777777" w:rsidR="0078731E" w:rsidRDefault="0078731E">
            <w:pPr>
              <w:jc w:val="center"/>
              <w:rPr>
                <w:sz w:val="18"/>
                <w:szCs w:val="18"/>
              </w:rPr>
            </w:pPr>
            <w:r>
              <w:rPr>
                <w:sz w:val="18"/>
                <w:szCs w:val="18"/>
              </w:rPr>
              <w:t>38.42 ± 1.13</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77618169" w14:textId="77777777" w:rsidR="0078731E" w:rsidRDefault="0078731E">
            <w:pPr>
              <w:jc w:val="center"/>
              <w:rPr>
                <w:sz w:val="18"/>
                <w:szCs w:val="18"/>
              </w:rPr>
            </w:pPr>
            <w:r>
              <w:rPr>
                <w:sz w:val="18"/>
                <w:szCs w:val="18"/>
              </w:rPr>
              <w:t>2.90 ± 0.31</w:t>
            </w:r>
          </w:p>
        </w:tc>
      </w:tr>
      <w:tr w:rsidR="0078731E" w14:paraId="2E152302"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2D6C1208" w14:textId="77777777" w:rsidR="0078731E" w:rsidRDefault="0078731E">
            <w:pPr>
              <w:rPr>
                <w:b/>
                <w:sz w:val="20"/>
                <w:szCs w:val="20"/>
              </w:rPr>
            </w:pPr>
          </w:p>
        </w:tc>
        <w:tc>
          <w:tcPr>
            <w:tcW w:w="682" w:type="pct"/>
            <w:vMerge w:val="restar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25FC866A" w14:textId="77777777" w:rsidR="0078731E" w:rsidRDefault="0078731E">
            <w:pPr>
              <w:jc w:val="center"/>
              <w:rPr>
                <w:b/>
              </w:rPr>
            </w:pPr>
            <w:r>
              <w:rPr>
                <w:b/>
                <w:bCs/>
              </w:rPr>
              <w:t>BEA-600</w:t>
            </w: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3BD4B40" w14:textId="77777777" w:rsidR="0078731E" w:rsidRDefault="0078731E">
            <w:pPr>
              <w:jc w:val="center"/>
              <w:rPr>
                <w:b/>
              </w:rPr>
            </w:pPr>
            <w:r>
              <w:rPr>
                <w:b/>
              </w:rPr>
              <w:t>25</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6FFCBFAC" w14:textId="77777777" w:rsidR="0078731E" w:rsidRDefault="0078731E">
            <w:pPr>
              <w:jc w:val="center"/>
            </w:pPr>
            <w:r>
              <w:rPr>
                <w:sz w:val="18"/>
                <w:szCs w:val="18"/>
              </w:rPr>
              <w:t>0.00 ± 0.00</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4E521921" w14:textId="77777777" w:rsidR="0078731E" w:rsidRDefault="0078731E">
            <w:pPr>
              <w:jc w:val="center"/>
            </w:pPr>
            <w:r>
              <w:rPr>
                <w:sz w:val="18"/>
                <w:szCs w:val="18"/>
              </w:rPr>
              <w:t>3.33 ± 5.77</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3E9AD357" w14:textId="77777777" w:rsidR="0078731E" w:rsidRDefault="0078731E">
            <w:pPr>
              <w:jc w:val="center"/>
              <w:rPr>
                <w:sz w:val="18"/>
                <w:szCs w:val="18"/>
              </w:rPr>
            </w:pPr>
            <w:r>
              <w:rPr>
                <w:sz w:val="18"/>
                <w:szCs w:val="18"/>
              </w:rPr>
              <w:t>38.20 ± 1.90</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54AA8DF7" w14:textId="77777777" w:rsidR="0078731E" w:rsidRDefault="0078731E">
            <w:pPr>
              <w:jc w:val="center"/>
              <w:rPr>
                <w:sz w:val="18"/>
                <w:szCs w:val="18"/>
              </w:rPr>
            </w:pPr>
            <w:r>
              <w:rPr>
                <w:sz w:val="18"/>
                <w:szCs w:val="18"/>
              </w:rPr>
              <w:t>2.96 ± 0.18</w:t>
            </w:r>
          </w:p>
        </w:tc>
      </w:tr>
      <w:tr w:rsidR="0078731E" w14:paraId="4FBE6B97"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7BECDB3D" w14:textId="77777777" w:rsidR="0078731E" w:rsidRDefault="0078731E">
            <w:pPr>
              <w:rPr>
                <w:b/>
                <w:sz w:val="20"/>
                <w:szCs w:val="20"/>
              </w:rPr>
            </w:pPr>
          </w:p>
        </w:tc>
        <w:tc>
          <w:tcPr>
            <w:tcW w:w="0" w:type="auto"/>
            <w:vMerge/>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48A3B95B" w14:textId="77777777" w:rsidR="0078731E" w:rsidRDefault="0078731E">
            <w:pPr>
              <w:rPr>
                <w:b/>
              </w:rPr>
            </w:pP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4C0ABE2F" w14:textId="77777777" w:rsidR="0078731E" w:rsidRDefault="0078731E">
            <w:pPr>
              <w:jc w:val="center"/>
              <w:rPr>
                <w:b/>
              </w:rPr>
            </w:pPr>
            <w:r>
              <w:rPr>
                <w:b/>
              </w:rPr>
              <w:t>50</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532F0104" w14:textId="77777777" w:rsidR="0078731E" w:rsidRDefault="0078731E">
            <w:pPr>
              <w:jc w:val="center"/>
            </w:pPr>
            <w:r>
              <w:rPr>
                <w:sz w:val="18"/>
                <w:szCs w:val="18"/>
              </w:rPr>
              <w:t>0.00 ± 0.00</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4D46DE87" w14:textId="15E7E426" w:rsidR="0078731E" w:rsidRDefault="00171C84">
            <w:pPr>
              <w:jc w:val="center"/>
            </w:pPr>
            <w:r>
              <w:rPr>
                <w:sz w:val="18"/>
                <w:szCs w:val="18"/>
              </w:rPr>
              <w:t>3.33 ± 5.77</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32D3C659" w14:textId="77777777" w:rsidR="0078731E" w:rsidRDefault="0078731E">
            <w:pPr>
              <w:jc w:val="center"/>
            </w:pPr>
            <w:r>
              <w:rPr>
                <w:sz w:val="18"/>
                <w:szCs w:val="18"/>
              </w:rPr>
              <w:t>38.88 ± 0.83</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016D0DFE" w14:textId="77777777" w:rsidR="0078731E" w:rsidRDefault="0078731E">
            <w:pPr>
              <w:jc w:val="center"/>
              <w:rPr>
                <w:sz w:val="18"/>
                <w:szCs w:val="18"/>
              </w:rPr>
            </w:pPr>
            <w:r>
              <w:rPr>
                <w:sz w:val="18"/>
                <w:szCs w:val="18"/>
              </w:rPr>
              <w:t>2.93 ± 0.25</w:t>
            </w:r>
          </w:p>
        </w:tc>
      </w:tr>
      <w:tr w:rsidR="0078731E" w14:paraId="3126811B" w14:textId="77777777" w:rsidTr="0078731E">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5732610A" w14:textId="77777777" w:rsidR="0078731E" w:rsidRDefault="0078731E">
            <w:pPr>
              <w:rPr>
                <w:b/>
                <w:sz w:val="20"/>
                <w:szCs w:val="20"/>
              </w:rPr>
            </w:pPr>
          </w:p>
        </w:tc>
        <w:tc>
          <w:tcPr>
            <w:tcW w:w="0" w:type="auto"/>
            <w:vMerge/>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42C19220" w14:textId="77777777" w:rsidR="0078731E" w:rsidRDefault="0078731E">
            <w:pPr>
              <w:rPr>
                <w:b/>
              </w:rPr>
            </w:pPr>
          </w:p>
        </w:tc>
        <w:tc>
          <w:tcPr>
            <w:tcW w:w="631"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170FB922" w14:textId="77777777" w:rsidR="0078731E" w:rsidRDefault="0078731E">
            <w:pPr>
              <w:jc w:val="center"/>
              <w:rPr>
                <w:b/>
              </w:rPr>
            </w:pPr>
            <w:r>
              <w:rPr>
                <w:b/>
              </w:rPr>
              <w:t>100</w:t>
            </w:r>
          </w:p>
        </w:tc>
        <w:tc>
          <w:tcPr>
            <w:tcW w:w="794"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513E0938" w14:textId="77777777" w:rsidR="0078731E" w:rsidRDefault="0078731E">
            <w:pPr>
              <w:jc w:val="center"/>
            </w:pPr>
            <w:r>
              <w:rPr>
                <w:sz w:val="18"/>
                <w:szCs w:val="18"/>
              </w:rPr>
              <w:t>6.66 ± 5.77</w:t>
            </w:r>
          </w:p>
        </w:tc>
        <w:tc>
          <w:tcPr>
            <w:tcW w:w="839"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53F48834" w14:textId="2E2E3928" w:rsidR="0078731E" w:rsidRDefault="00517CC7" w:rsidP="00517CC7">
            <w:pPr>
              <w:jc w:val="center"/>
            </w:pPr>
            <w:r w:rsidRPr="00517CC7">
              <w:rPr>
                <w:sz w:val="18"/>
                <w:szCs w:val="18"/>
              </w:rPr>
              <w:t>3.97 ± 6</w:t>
            </w:r>
            <w:r>
              <w:rPr>
                <w:sz w:val="18"/>
                <w:szCs w:val="18"/>
              </w:rPr>
              <w:t>.41</w:t>
            </w:r>
          </w:p>
        </w:tc>
        <w:tc>
          <w:tcPr>
            <w:tcW w:w="922"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671A0B14" w14:textId="77777777" w:rsidR="0078731E" w:rsidRDefault="0078731E">
            <w:pPr>
              <w:jc w:val="center"/>
            </w:pPr>
            <w:r>
              <w:rPr>
                <w:sz w:val="18"/>
                <w:szCs w:val="18"/>
              </w:rPr>
              <w:t>41.63 ± 1.19</w:t>
            </w:r>
          </w:p>
        </w:tc>
        <w:tc>
          <w:tcPr>
            <w:tcW w:w="806"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6D27F673" w14:textId="77777777" w:rsidR="0078731E" w:rsidRDefault="0078731E">
            <w:pPr>
              <w:jc w:val="center"/>
              <w:rPr>
                <w:sz w:val="18"/>
                <w:szCs w:val="18"/>
              </w:rPr>
            </w:pPr>
            <w:r>
              <w:rPr>
                <w:sz w:val="18"/>
                <w:szCs w:val="18"/>
              </w:rPr>
              <w:t>2.90 ± 0.31</w:t>
            </w:r>
          </w:p>
        </w:tc>
      </w:tr>
      <w:tr w:rsidR="0078731E" w14:paraId="775C7537" w14:textId="77777777" w:rsidTr="0078731E">
        <w:trPr>
          <w:trHeight w:val="452"/>
        </w:trPr>
        <w:tc>
          <w:tcPr>
            <w:tcW w:w="327" w:type="pct"/>
            <w:vMerge w:val="restart"/>
            <w:tcBorders>
              <w:top w:val="single" w:sz="12" w:space="0" w:color="auto"/>
              <w:left w:val="single" w:sz="12" w:space="0" w:color="FFFFFF" w:themeColor="background1"/>
              <w:bottom w:val="single" w:sz="12" w:space="0" w:color="auto"/>
              <w:right w:val="single" w:sz="12" w:space="0" w:color="FFFFFF" w:themeColor="background1"/>
            </w:tcBorders>
            <w:textDirection w:val="btLr"/>
            <w:vAlign w:val="center"/>
            <w:hideMark/>
          </w:tcPr>
          <w:p w14:paraId="2D33AEDE" w14:textId="77777777" w:rsidR="0078731E" w:rsidRDefault="0078731E">
            <w:pPr>
              <w:ind w:left="113" w:right="113"/>
              <w:jc w:val="center"/>
              <w:rPr>
                <w:b/>
                <w:sz w:val="20"/>
                <w:szCs w:val="20"/>
              </w:rPr>
            </w:pPr>
            <w:r>
              <w:rPr>
                <w:b/>
                <w:sz w:val="20"/>
                <w:szCs w:val="20"/>
              </w:rPr>
              <w:t>OSDA</w:t>
            </w:r>
          </w:p>
        </w:tc>
        <w:tc>
          <w:tcPr>
            <w:tcW w:w="682" w:type="pct"/>
            <w:vMerge w:val="restart"/>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32C84E1F" w14:textId="77777777" w:rsidR="0078731E" w:rsidRDefault="0078731E">
            <w:pPr>
              <w:jc w:val="center"/>
              <w:rPr>
                <w:b/>
              </w:rPr>
            </w:pPr>
            <w:r>
              <w:rPr>
                <w:b/>
                <w:bCs/>
              </w:rPr>
              <w:t>TEAOH</w:t>
            </w:r>
          </w:p>
        </w:tc>
        <w:tc>
          <w:tcPr>
            <w:tcW w:w="631"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4969BC13" w14:textId="77777777" w:rsidR="0078731E" w:rsidRDefault="0078731E">
            <w:pPr>
              <w:jc w:val="center"/>
              <w:rPr>
                <w:b/>
              </w:rPr>
            </w:pPr>
            <w:r>
              <w:rPr>
                <w:b/>
              </w:rPr>
              <w:t>4.5</w:t>
            </w:r>
          </w:p>
        </w:tc>
        <w:tc>
          <w:tcPr>
            <w:tcW w:w="794"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7861034F" w14:textId="77777777" w:rsidR="0078731E" w:rsidRDefault="0078731E">
            <w:pPr>
              <w:jc w:val="center"/>
            </w:pPr>
            <w:r>
              <w:rPr>
                <w:sz w:val="18"/>
                <w:szCs w:val="18"/>
              </w:rPr>
              <w:t>0.00 ± 0.00</w:t>
            </w:r>
          </w:p>
        </w:tc>
        <w:tc>
          <w:tcPr>
            <w:tcW w:w="839"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3CC8E8CF" w14:textId="77777777" w:rsidR="0078731E" w:rsidRDefault="0078731E">
            <w:pPr>
              <w:jc w:val="center"/>
            </w:pPr>
            <w:r>
              <w:rPr>
                <w:sz w:val="18"/>
                <w:szCs w:val="18"/>
              </w:rPr>
              <w:t>0.00 ± 0.00</w:t>
            </w:r>
          </w:p>
        </w:tc>
        <w:tc>
          <w:tcPr>
            <w:tcW w:w="922" w:type="pct"/>
            <w:tcBorders>
              <w:top w:val="single" w:sz="12" w:space="0" w:color="auto"/>
              <w:left w:val="single" w:sz="12" w:space="0" w:color="FFFFFF" w:themeColor="background1"/>
              <w:bottom w:val="single" w:sz="4" w:space="0" w:color="auto"/>
              <w:right w:val="single" w:sz="12" w:space="0" w:color="FFFFFF" w:themeColor="background1"/>
            </w:tcBorders>
            <w:shd w:val="clear" w:color="auto" w:fill="E7E6E6" w:themeFill="background2"/>
            <w:vAlign w:val="center"/>
            <w:hideMark/>
          </w:tcPr>
          <w:p w14:paraId="02981177" w14:textId="77777777" w:rsidR="0078731E" w:rsidRDefault="0078731E">
            <w:pPr>
              <w:jc w:val="center"/>
            </w:pPr>
            <w:r>
              <w:rPr>
                <w:sz w:val="18"/>
                <w:szCs w:val="18"/>
              </w:rPr>
              <w:t>48.14 ± 1.68***</w:t>
            </w:r>
          </w:p>
        </w:tc>
        <w:tc>
          <w:tcPr>
            <w:tcW w:w="806" w:type="pct"/>
            <w:tcBorders>
              <w:top w:val="single" w:sz="12" w:space="0" w:color="auto"/>
              <w:left w:val="single" w:sz="12" w:space="0" w:color="FFFFFF" w:themeColor="background1"/>
              <w:bottom w:val="single" w:sz="4" w:space="0" w:color="auto"/>
              <w:right w:val="single" w:sz="12" w:space="0" w:color="FFFFFF" w:themeColor="background1"/>
            </w:tcBorders>
            <w:vAlign w:val="center"/>
            <w:hideMark/>
          </w:tcPr>
          <w:p w14:paraId="1EE2A18E" w14:textId="77777777" w:rsidR="0078731E" w:rsidRDefault="0078731E">
            <w:pPr>
              <w:jc w:val="center"/>
              <w:rPr>
                <w:sz w:val="18"/>
                <w:szCs w:val="18"/>
              </w:rPr>
            </w:pPr>
            <w:r>
              <w:rPr>
                <w:sz w:val="18"/>
                <w:szCs w:val="18"/>
              </w:rPr>
              <w:t>2.93 ± 0.25</w:t>
            </w:r>
          </w:p>
        </w:tc>
      </w:tr>
      <w:tr w:rsidR="0078731E" w14:paraId="1326C9B8" w14:textId="77777777" w:rsidTr="0078731E">
        <w:trPr>
          <w:trHeight w:val="423"/>
        </w:trPr>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3109AB67" w14:textId="77777777" w:rsidR="0078731E" w:rsidRDefault="0078731E">
            <w:pPr>
              <w:rPr>
                <w:b/>
                <w:sz w:val="20"/>
                <w:szCs w:val="20"/>
              </w:rPr>
            </w:pPr>
          </w:p>
        </w:tc>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5B0161F6" w14:textId="77777777" w:rsidR="0078731E" w:rsidRDefault="0078731E">
            <w:pPr>
              <w:rPr>
                <w:b/>
              </w:rPr>
            </w:pPr>
          </w:p>
        </w:tc>
        <w:tc>
          <w:tcPr>
            <w:tcW w:w="631"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5F180883" w14:textId="77777777" w:rsidR="0078731E" w:rsidRDefault="0078731E">
            <w:pPr>
              <w:jc w:val="center"/>
              <w:rPr>
                <w:b/>
              </w:rPr>
            </w:pPr>
            <w:r>
              <w:rPr>
                <w:b/>
              </w:rPr>
              <w:t>9</w:t>
            </w:r>
          </w:p>
        </w:tc>
        <w:tc>
          <w:tcPr>
            <w:tcW w:w="794"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380B63E1" w14:textId="77777777" w:rsidR="0078731E" w:rsidRDefault="0078731E">
            <w:pPr>
              <w:jc w:val="center"/>
            </w:pPr>
            <w:r>
              <w:rPr>
                <w:sz w:val="18"/>
                <w:szCs w:val="18"/>
              </w:rPr>
              <w:t>6.66 ± 5.77</w:t>
            </w:r>
          </w:p>
        </w:tc>
        <w:tc>
          <w:tcPr>
            <w:tcW w:w="839"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280383DC" w14:textId="4ACAA338" w:rsidR="0078731E" w:rsidRPr="00F2689A" w:rsidRDefault="00F2689A" w:rsidP="00F2689A">
            <w:pPr>
              <w:jc w:val="center"/>
            </w:pPr>
            <w:r w:rsidRPr="00F2689A">
              <w:rPr>
                <w:sz w:val="18"/>
                <w:szCs w:val="18"/>
              </w:rPr>
              <w:t>3.97 ± 6.41</w:t>
            </w:r>
          </w:p>
        </w:tc>
        <w:tc>
          <w:tcPr>
            <w:tcW w:w="922" w:type="pct"/>
            <w:tcBorders>
              <w:top w:val="single" w:sz="4" w:space="0" w:color="auto"/>
              <w:left w:val="single" w:sz="12" w:space="0" w:color="FFFFFF" w:themeColor="background1"/>
              <w:bottom w:val="single" w:sz="4" w:space="0" w:color="auto"/>
              <w:right w:val="single" w:sz="12" w:space="0" w:color="FFFFFF" w:themeColor="background1"/>
            </w:tcBorders>
            <w:shd w:val="clear" w:color="auto" w:fill="E7E6E6" w:themeFill="background2"/>
            <w:vAlign w:val="center"/>
            <w:hideMark/>
          </w:tcPr>
          <w:p w14:paraId="29E64F96" w14:textId="77777777" w:rsidR="0078731E" w:rsidRDefault="0078731E">
            <w:pPr>
              <w:jc w:val="center"/>
            </w:pPr>
            <w:r>
              <w:rPr>
                <w:sz w:val="18"/>
                <w:szCs w:val="18"/>
              </w:rPr>
              <w:t>46.71 ± 1.80***</w:t>
            </w:r>
          </w:p>
        </w:tc>
        <w:tc>
          <w:tcPr>
            <w:tcW w:w="806" w:type="pct"/>
            <w:tcBorders>
              <w:top w:val="single" w:sz="4" w:space="0" w:color="auto"/>
              <w:left w:val="single" w:sz="12" w:space="0" w:color="FFFFFF" w:themeColor="background1"/>
              <w:bottom w:val="single" w:sz="4" w:space="0" w:color="auto"/>
              <w:right w:val="single" w:sz="12" w:space="0" w:color="FFFFFF" w:themeColor="background1"/>
            </w:tcBorders>
            <w:vAlign w:val="center"/>
            <w:hideMark/>
          </w:tcPr>
          <w:p w14:paraId="0387FDF8" w14:textId="77777777" w:rsidR="0078731E" w:rsidRDefault="0078731E">
            <w:pPr>
              <w:jc w:val="center"/>
              <w:rPr>
                <w:sz w:val="18"/>
                <w:szCs w:val="18"/>
              </w:rPr>
            </w:pPr>
            <w:r>
              <w:rPr>
                <w:sz w:val="18"/>
                <w:szCs w:val="18"/>
              </w:rPr>
              <w:t>2.90 ± 0.31</w:t>
            </w:r>
          </w:p>
        </w:tc>
      </w:tr>
      <w:tr w:rsidR="0078731E" w14:paraId="66FB699F" w14:textId="77777777" w:rsidTr="0078731E">
        <w:trPr>
          <w:trHeight w:val="415"/>
        </w:trPr>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52155B47" w14:textId="77777777" w:rsidR="0078731E" w:rsidRDefault="0078731E">
            <w:pPr>
              <w:rPr>
                <w:b/>
                <w:sz w:val="20"/>
                <w:szCs w:val="20"/>
              </w:rPr>
            </w:pPr>
          </w:p>
        </w:tc>
        <w:tc>
          <w:tcPr>
            <w:tcW w:w="0" w:type="auto"/>
            <w:vMerge/>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185B9EEB" w14:textId="77777777" w:rsidR="0078731E" w:rsidRDefault="0078731E">
            <w:pPr>
              <w:rPr>
                <w:b/>
              </w:rPr>
            </w:pPr>
          </w:p>
        </w:tc>
        <w:tc>
          <w:tcPr>
            <w:tcW w:w="631"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0DEC54F9" w14:textId="77777777" w:rsidR="0078731E" w:rsidRDefault="0078731E">
            <w:pPr>
              <w:jc w:val="center"/>
              <w:rPr>
                <w:b/>
              </w:rPr>
            </w:pPr>
            <w:r>
              <w:rPr>
                <w:b/>
              </w:rPr>
              <w:t>18</w:t>
            </w:r>
          </w:p>
        </w:tc>
        <w:tc>
          <w:tcPr>
            <w:tcW w:w="794"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3E847F64" w14:textId="23008F69" w:rsidR="0078731E" w:rsidRDefault="00171C84">
            <w:pPr>
              <w:jc w:val="center"/>
            </w:pPr>
            <w:r>
              <w:rPr>
                <w:sz w:val="18"/>
                <w:szCs w:val="18"/>
              </w:rPr>
              <w:t>6.66 ± 5.77</w:t>
            </w:r>
          </w:p>
        </w:tc>
        <w:tc>
          <w:tcPr>
            <w:tcW w:w="839"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7C17FC3C" w14:textId="44A55B33" w:rsidR="0078731E" w:rsidRPr="00F2689A" w:rsidRDefault="00F2689A" w:rsidP="00F2689A">
            <w:pPr>
              <w:jc w:val="center"/>
            </w:pPr>
            <w:proofErr w:type="gramStart"/>
            <w:r w:rsidRPr="00F2689A">
              <w:rPr>
                <w:sz w:val="18"/>
                <w:szCs w:val="18"/>
              </w:rPr>
              <w:t xml:space="preserve">7.54 </w:t>
            </w:r>
            <w:r w:rsidR="0078731E" w:rsidRPr="00F2689A">
              <w:rPr>
                <w:sz w:val="18"/>
                <w:szCs w:val="18"/>
              </w:rPr>
              <w:t xml:space="preserve"> ±</w:t>
            </w:r>
            <w:proofErr w:type="gramEnd"/>
            <w:r w:rsidR="0078731E" w:rsidRPr="00F2689A">
              <w:rPr>
                <w:sz w:val="18"/>
                <w:szCs w:val="18"/>
              </w:rPr>
              <w:t xml:space="preserve"> </w:t>
            </w:r>
            <w:r w:rsidRPr="00F2689A">
              <w:rPr>
                <w:sz w:val="18"/>
                <w:szCs w:val="18"/>
              </w:rPr>
              <w:t>6.11</w:t>
            </w:r>
          </w:p>
        </w:tc>
        <w:tc>
          <w:tcPr>
            <w:tcW w:w="922" w:type="pct"/>
            <w:tcBorders>
              <w:top w:val="single" w:sz="4" w:space="0" w:color="auto"/>
              <w:left w:val="single" w:sz="12" w:space="0" w:color="FFFFFF" w:themeColor="background1"/>
              <w:bottom w:val="single" w:sz="12" w:space="0" w:color="auto"/>
              <w:right w:val="single" w:sz="12" w:space="0" w:color="FFFFFF" w:themeColor="background1"/>
            </w:tcBorders>
            <w:shd w:val="clear" w:color="auto" w:fill="E7E6E6" w:themeFill="background2"/>
            <w:vAlign w:val="center"/>
            <w:hideMark/>
          </w:tcPr>
          <w:p w14:paraId="3F3492FE" w14:textId="77777777" w:rsidR="0078731E" w:rsidRDefault="0078731E">
            <w:pPr>
              <w:jc w:val="center"/>
            </w:pPr>
            <w:r>
              <w:rPr>
                <w:sz w:val="18"/>
                <w:szCs w:val="18"/>
              </w:rPr>
              <w:t>42.33 ± 1.50*</w:t>
            </w:r>
          </w:p>
        </w:tc>
        <w:tc>
          <w:tcPr>
            <w:tcW w:w="806" w:type="pct"/>
            <w:tcBorders>
              <w:top w:val="single" w:sz="4" w:space="0" w:color="auto"/>
              <w:left w:val="single" w:sz="12" w:space="0" w:color="FFFFFF" w:themeColor="background1"/>
              <w:bottom w:val="single" w:sz="12" w:space="0" w:color="auto"/>
              <w:right w:val="single" w:sz="12" w:space="0" w:color="FFFFFF" w:themeColor="background1"/>
            </w:tcBorders>
            <w:vAlign w:val="center"/>
            <w:hideMark/>
          </w:tcPr>
          <w:p w14:paraId="5EF7E43A" w14:textId="77777777" w:rsidR="0078731E" w:rsidRDefault="0078731E">
            <w:pPr>
              <w:jc w:val="center"/>
              <w:rPr>
                <w:sz w:val="18"/>
                <w:szCs w:val="18"/>
              </w:rPr>
            </w:pPr>
            <w:r>
              <w:rPr>
                <w:sz w:val="18"/>
                <w:szCs w:val="18"/>
              </w:rPr>
              <w:t>2.90 ± 0.31</w:t>
            </w:r>
          </w:p>
        </w:tc>
      </w:tr>
    </w:tbl>
    <w:p w14:paraId="560FEFD2" w14:textId="77777777" w:rsidR="0078731E" w:rsidRPr="0078731E" w:rsidRDefault="0078731E" w:rsidP="0078731E">
      <w:pPr>
        <w:spacing w:before="120" w:line="360" w:lineRule="auto"/>
        <w:rPr>
          <w:sz w:val="20"/>
          <w:szCs w:val="20"/>
        </w:rPr>
      </w:pPr>
      <w:r w:rsidRPr="0078731E">
        <w:rPr>
          <w:sz w:val="20"/>
          <w:szCs w:val="20"/>
          <w:lang w:val="en-US"/>
        </w:rPr>
        <w:t>*p&lt;0.05, ***p&lt;0.0001</w:t>
      </w:r>
    </w:p>
    <w:p w14:paraId="3C703D2E" w14:textId="77777777" w:rsidR="0078731E" w:rsidRDefault="0078731E" w:rsidP="0078731E">
      <w:pPr>
        <w:spacing w:line="360" w:lineRule="auto"/>
        <w:jc w:val="both"/>
        <w:rPr>
          <w:lang w:val="en-US"/>
        </w:rPr>
      </w:pPr>
    </w:p>
    <w:p w14:paraId="38E7EB26" w14:textId="20E5B8A8" w:rsidR="00F02E89" w:rsidRDefault="00E01693" w:rsidP="0078731E">
      <w:pPr>
        <w:spacing w:line="360" w:lineRule="auto"/>
        <w:jc w:val="both"/>
        <w:rPr>
          <w:noProof/>
        </w:rPr>
      </w:pPr>
      <w:r>
        <w:rPr>
          <w:lang w:val="en-US"/>
        </w:rPr>
        <w:t xml:space="preserve">As previously reported </w:t>
      </w:r>
      <w:r w:rsidR="00AC010C">
        <w:rPr>
          <w:lang w:val="en-US"/>
        </w:rPr>
        <w:fldChar w:fldCharType="begin" w:fldLock="1"/>
      </w:r>
      <w:r w:rsidR="00AC010C">
        <w:rPr>
          <w:lang w:val="en-US"/>
        </w:rPr>
        <w:instrText>ADDIN CSL_CITATION {"citationItems":[{"id":"ITEM-1","itemData":{"DOI":"10.1016/j.micromeso.2016.06.015","ISSN":"13871811","abstract":"The preparation of iron-loaded nanosized zeolite with EMT-type structure (Fe-EMT) is reported. The sorption capacity of the Fe-EMT zeolite crystals for NO and CO2 is evaluated. The application of Fe-EMT zeolite as a gas delivery system with high capacity for CO2 and NO in biomedicine is considered. Therefore the toxicity of the pure EMT and Fe-EMT zeolite nanocrystals is studied. Primary culture of astrocytes was exposed to zeolite nanocrystals. In addition, two human cell lines, U87-MG glioblastoma and HEK-293T were used. Cells were exposed to zeolites nanocrystals with concentrations of 50, 100 and 400 μg/ml for 24 h and 48 h. Cytotoxicity was assessed by a cell viability assay and no alteration of cell viability exposed to zeolite nanoparticles was observed.","author":[{"dropping-particle":"","family":"Georgieva","given":"Veselina","non-dropping-particle":"","parse-names":false,"suffix":""},{"dropping-particle":"","family":"Anfray","given":"Clément","non-dropping-particle":"","parse-names":false,"suffix":""},{"dropping-particle":"","family":"Retoux","given":"Richard","non-dropping-particle":"","parse-names":false,"suffix":""},{"dropping-particle":"","family":"Valtchev","given":"Valentin","non-dropping-particle":"","parse-names":false,"suffix":""},{"dropping-particle":"","family":"Valable","given":"Samuel","non-dropping-particle":"","parse-names":false,"suffix":""},{"dropping-particle":"","family":"Mintova","given":"Svetlana","non-dropping-particle":"","parse-names":false,"suffix":""}],"container-title":"Microporous and Mesoporous Materials","id":"ITEM-1","issued":{"date-parts":[["2016"]]},"title":"Iron loaded EMT nanosized zeolite with high affinity towards CO2 and NO","type":"article-journal"},"uris":["http://www.mendeley.com/documents/?uuid=42dd0301-c511-3594-a213-36faa205d03f"]}],"mendeley":{"formattedCitation":"[7]","plainTextFormattedCitation":"[7]","previouslyFormattedCitation":"[7]"},"properties":{"noteIndex":0},"schema":"https://github.com/citation-style-language/schema/raw/master/csl-citation.json"}</w:instrText>
      </w:r>
      <w:r w:rsidR="00AC010C">
        <w:rPr>
          <w:lang w:val="en-US"/>
        </w:rPr>
        <w:fldChar w:fldCharType="separate"/>
      </w:r>
      <w:r w:rsidR="00AC010C" w:rsidRPr="00AC010C">
        <w:rPr>
          <w:noProof/>
          <w:lang w:val="en-US"/>
        </w:rPr>
        <w:t>[7]</w:t>
      </w:r>
      <w:r w:rsidR="00AC010C">
        <w:rPr>
          <w:lang w:val="en-US"/>
        </w:rPr>
        <w:fldChar w:fldCharType="end"/>
      </w:r>
      <w:r>
        <w:rPr>
          <w:lang w:val="en-US"/>
        </w:rPr>
        <w:t xml:space="preserve">, nanoparticles with high positive zeta potential values are usually cytotoxic, while neutral and negatively charged nanoparticles have no negative impact on the cell. </w:t>
      </w:r>
      <w:r w:rsidR="00AC010C">
        <w:rPr>
          <w:lang w:val="en-US"/>
        </w:rPr>
        <w:t xml:space="preserve">To support this theory Georgieva et al. </w:t>
      </w:r>
      <w:r w:rsidR="00AC010C">
        <w:rPr>
          <w:lang w:val="en-US"/>
        </w:rPr>
        <w:fldChar w:fldCharType="begin" w:fldLock="1"/>
      </w:r>
      <w:r w:rsidR="00AC010C">
        <w:rPr>
          <w:lang w:val="en-US"/>
        </w:rPr>
        <w:instrText>ADDIN CSL_CITATION {"citationItems":[{"id":"ITEM-1","itemData":{"DOI":"10.1016/j.micromeso.2016.06.015","ISSN":"13871811","abstract":"The preparation of iron-loaded nanosized zeolite with EMT-type structure (Fe-EMT) is reported. The sorption capacity of the Fe-EMT zeolite crystals for NO and CO2 is evaluated. The application of Fe-EMT zeolite as a gas delivery system with high capacity for CO2 and NO in biomedicine is considered. Therefore the toxicity of the pure EMT and Fe-EMT zeolite nanocrystals is studied. Primary culture of astrocytes was exposed to zeolite nanocrystals. In addition, two human cell lines, U87-MG glioblastoma and HEK-293T were used. Cells were exposed to zeolites nanocrystals with concentrations of 50, 100 and 400 μg/ml for 24 h and 48 h. Cytotoxicity was assessed by a cell viability assay and no alteration of cell viability exposed to zeolite nanoparticles was observed.","author":[{"dropping-particle":"","family":"Georgieva","given":"Veselina","non-dropping-particle":"","parse-names":false,"suffix":""},{"dropping-particle":"","family":"Anfray","given":"Clément","non-dropping-particle":"","parse-names":false,"suffix":""},{"dropping-particle":"","family":"Retoux","given":"Richard","non-dropping-particle":"","parse-names":false,"suffix":""},{"dropping-particle":"","family":"Valtchev","given":"Valentin","non-dropping-particle":"","parse-names":false,"suffix":""},{"dropping-particle":"","family":"Valable","given":"Samuel","non-dropping-particle":"","parse-names":false,"suffix":""},{"dropping-particle":"","family":"Mintova","given":"Svetlana","non-dropping-particle":"","parse-names":false,"suffix":""}],"container-title":"Microporous and Mesoporous Materials","id":"ITEM-1","issued":{"date-parts":[["2016"]]},"title":"Iron loaded EMT nanosized zeolite with high affinity towards CO2 and NO","type":"article-journal"},"uris":["http://www.mendeley.com/documents/?uuid=42dd0301-c511-3594-a213-36faa205d03f"]}],"mendeley":{"formattedCitation":"[7]","plainTextFormattedCitation":"[7]","previouslyFormattedCitation":"[7]"},"properties":{"noteIndex":0},"schema":"https://github.com/citation-style-language/schema/raw/master/csl-citation.json"}</w:instrText>
      </w:r>
      <w:r w:rsidR="00AC010C">
        <w:rPr>
          <w:lang w:val="en-US"/>
        </w:rPr>
        <w:fldChar w:fldCharType="separate"/>
      </w:r>
      <w:r w:rsidR="00AC010C" w:rsidRPr="00AC010C">
        <w:rPr>
          <w:noProof/>
          <w:lang w:val="en-US"/>
        </w:rPr>
        <w:t>[7]</w:t>
      </w:r>
      <w:r w:rsidR="00AC010C">
        <w:rPr>
          <w:lang w:val="en-US"/>
        </w:rPr>
        <w:fldChar w:fldCharType="end"/>
      </w:r>
      <w:r w:rsidR="00AC010C">
        <w:rPr>
          <w:lang w:val="en-US"/>
        </w:rPr>
        <w:t xml:space="preserve"> </w:t>
      </w:r>
      <w:r>
        <w:rPr>
          <w:lang w:val="en-US"/>
        </w:rPr>
        <w:t>reported no impact of zeolite EMT nanoparticles on human glioblastoma U87-MG and human kidney HEK-293T cell lines viability due to exposure to negatively charged zeolite nanoparticles (10-30 nm; 50-400 µg mL</w:t>
      </w:r>
      <w:r>
        <w:rPr>
          <w:vertAlign w:val="superscript"/>
          <w:lang w:val="en-US"/>
        </w:rPr>
        <w:t>-1</w:t>
      </w:r>
      <w:r>
        <w:rPr>
          <w:lang w:val="en-US"/>
        </w:rPr>
        <w:t>). Moreover,</w:t>
      </w:r>
      <w:r w:rsidR="00AC010C">
        <w:rPr>
          <w:lang w:val="en-US"/>
        </w:rPr>
        <w:t xml:space="preserve"> Laurent et al. </w:t>
      </w:r>
      <w:r w:rsidR="00AC010C">
        <w:rPr>
          <w:lang w:val="en-US"/>
        </w:rPr>
        <w:fldChar w:fldCharType="begin" w:fldLock="1"/>
      </w:r>
      <w:r w:rsidR="004746A2">
        <w:rPr>
          <w:lang w:val="en-US"/>
        </w:rPr>
        <w:instrText>ADDIN CSL_CITATION {"citationItems":[{"id":"ITEM-1","itemData":{"DOI":"10.1039/c3tx50023c","ISSN":"2045452X","abstract":"The toxicity of two types of ultra-small zeolites (8-18 nm) with LTL- and EMT-type structures is reported. Both the LTL- and EMT-type zeolites belong to the same group of molecular sieves; they have large pores (7.1-7.5 Å) and low silica content (Si/Al = 1.2-2.3). The zeolites are prepared by an environmentally friendly synthetic approach from precursor suspensions without using any organic template. Cellular interactions with the two types of zeolite nanocrystals are evaluated by cell viability, reactive oxygen species and cell life cycle assays. It is found that various concentrations of zeolites have negligible effects on the cell life cycle. Moreover, the LTL- and EMT-types zeolites did not cause extensive oxidative stress on the cells. Although it is seen that the zeolites extensively entered in the cells, there is no sign of toxicity for all employed concentrations of ultra-small EMT and LTL zeolites. Additionally, no abnormality in DNA replication while exposed to the zeolites is observed. Very importantly, the zeolite corona shows a high affinity for fibrinogen, moderate affinity for apoA-II and complement factor 3, and trace affinity for albumin, which is the most abundant protein of human plasma. Thus the zeolite nanoparticles can be considered as very promising material for purification of fibrinogen and lipoproteins. Since fibrinogen is considered as acute phase protein and found to be the most associated biomolecule in the composition of corona at the surface of zeolites, we propose that these nanoparticles can be potentially pro-inflammatory for in vivo applications. © 2013 The Royal Society of Chemistry.","author":[{"dropping-particle":"","family":"Laurent","given":"S.","non-dropping-particle":"","parse-names":false,"suffix":""},{"dropping-particle":"","family":"Ng","given":"E. P.","non-dropping-particle":"","parse-names":false,"suffix":""},{"dropping-particle":"","family":"Thirifays","given":"C.","non-dropping-particle":"","parse-names":false,"suffix":""},{"dropping-particle":"","family":"Lakiss","given":"L.","non-dropping-particle":"","parse-names":false,"suffix":""},{"dropping-particle":"","family":"Goupil","given":"G. M.","non-dropping-particle":"","parse-names":false,"suffix":""},{"dropping-particle":"","family":"Mintova","given":"S.","non-dropping-particle":"","parse-names":false,"suffix":""},{"dropping-particle":"","family":"Burtea","given":"C.","non-dropping-particle":"","parse-names":false,"suffix":""},{"dropping-particle":"","family":"Oveisi","given":"E.","non-dropping-particle":"","parse-names":false,"suffix":""},{"dropping-particle":"","family":"Hébert","given":"C.","non-dropping-particle":"","parse-names":false,"suffix":""},{"dropping-particle":"","family":"Vries","given":"M.","non-dropping-particle":"De","parse-names":false,"suffix":""},{"dropping-particle":"","family":"Motazacker","given":"M. M.","non-dropping-particle":"","parse-names":false,"suffix":""},{"dropping-particle":"","family":"Rezaee","given":"F.","non-dropping-particle":"","parse-names":false,"suffix":""},{"dropping-particle":"","family":"Mahmoudi","given":"M.","non-dropping-particle":"","parse-names":false,"suffix":""}],"container-title":"Toxicology Research","id":"ITEM-1","issued":{"date-parts":[["2013"]]},"title":"Corona protein composition and cytotoxicity evaluation of ultra-small zeolites synthesized from template free precursor suspensions","type":"article-journal"},"uris":["http://www.mendeley.com/documents/?uuid=88ade6aa-098a-383d-9730-5c4a058707fc"]}],"mendeley":{"formattedCitation":"[17]","plainTextFormattedCitation":"[17]","previouslyFormattedCitation":"[17]"},"properties":{"noteIndex":0},"schema":"https://github.com/citation-style-language/schema/raw/master/csl-citation.json"}</w:instrText>
      </w:r>
      <w:r w:rsidR="00AC010C">
        <w:rPr>
          <w:lang w:val="en-US"/>
        </w:rPr>
        <w:fldChar w:fldCharType="separate"/>
      </w:r>
      <w:r w:rsidR="00B20EBB" w:rsidRPr="00B20EBB">
        <w:rPr>
          <w:noProof/>
          <w:lang w:val="en-US"/>
        </w:rPr>
        <w:t>[17]</w:t>
      </w:r>
      <w:r w:rsidR="00AC010C">
        <w:rPr>
          <w:lang w:val="en-US"/>
        </w:rPr>
        <w:fldChar w:fldCharType="end"/>
      </w:r>
      <w:r>
        <w:fldChar w:fldCharType="begin" w:fldLock="1"/>
      </w:r>
      <w:r w:rsidR="00B20EBB">
        <w:instrText>ADDIN CSL_CITATION {"citationItems":[{"id":"ITEM-1","itemData":{"DOI":"10.1039/c3tx50023c","ISSN":"2045452X","abstract":"The toxicity of two types of ultra-small zeolites (8-18 nm) with LTL- and EMT-type structures is reported.  Both the LTL- and EMT-type zeolites belong to the same group of mol. sieves; they have large pores (7.1-7.5 Å) and low silica content (Si/Al = 1.2-2.3).  The zeolites are prepd. by an environmentally friendly synthetic approach from precursor suspensions without using any org. template.  Cellular interactions with the two types of zeolite nanocrystals are evaluated by cell viability, reactive oxygen species and cell life cycle assays.  It is found that various concns. of zeolites have negligible effects on the cell life cycle.  Moreover, the LTL- and EMT-types zeolites did not cause extensive oxidative stress on the cells.  Although it is seen that the zeolites extensively entered in the cells, there is no sign of toxicity for all employed concns. of ultra-small EMT and LTL zeolites.  Addnl., no abnormality in DNA replication while exposed to the zeolites is obsd.  Very importantly, the zeolite corona shows a high affinity for fibrinogen, moderate affinity for apoA-II and complement factor 3, and trace affinity for albumin, which is the most abundant protein of human plasma.  Thus the zeolite nanoparticles can be considered as very promising material for purifn. of fibrinogen and lipoproteins.  Since fibrinogen is considered as acute phase protein and found to be the most assocd. biomol. in the compn. of corona at the surface of zeolites, we propose that these nanoparticles can be potentially pro-inflammatory for in vivo applications. [on SciFinder(R)]","author":[{"dropping-particle":"","family":"Laurent","given":"S.","non-dropping-particle":"","parse-names":false,"suffix":""},{"dropping-particle":"","family":"Ng","given":"E. P.","non-dropping-particle":"","parse-names":false,"suffix":""},{"dropping-particle":"","family":"Thirifays","given":"C.","non-dropping-particle":"","parse-names":false,"suffix":""},{"dropping-particle":"","family":"Lakiss","given":"L.","non-dropping-particle":"","parse-names":false,"suffix":""},{"dropping-particle":"","family":"Goupil","given":"G. M.","non-dropping-particle":"","parse-names":false,"suffix":""},{"dropping-particle":"","family":"Mintova","given":"S.","non-dropping-particle":"","parse-names":false,"suffix":""},{"dropping-particle":"","family":"Burtea","given":"C.","non-dropping-particle":"","parse-names":false,"suffix":""},{"dropping-particle":"","family":"Oveisi","given":"E.","non-dropping-particle":"","parse-names":false,"suffix":""},{"dropping-particle":"","family":"Hébert","given":"C.","non-dropping-particle":"","parse-names":false,"suffix":""},{"dropping-particle":"","family":"Vries","given":"M.","non-dropping-particle":"De","parse-names":false,"suffix":""},{"dropping-particle":"","family":"Motazacker","given":"M. M.","non-dropping-particle":"","parse-names":false,"suffix":""},{"dropping-particle":"","family":"Rezaee","given":"F.","non-dropping-particle":"","parse-names":false,"suffix":""},{"dropping-particle":"","family":"Mahmoudi","given":"M.","non-dropping-particle":"","parse-names":false,"suffix":""}],"container-title":"Toxicology Research","id":"ITEM-1","issued":{"date-parts":[["2013"]]},"title":"Corona protein composition and cytotoxicity evaluation of ultra-small zeolites synthesized from template free precursor suspensions","type":"article-journal"},"uris":["http://www.mendeley.com/documents/?uuid=9f0ba215-daef-3b5b-a9a4-a30afa5991ec"]}],"mendeley":{"formattedCitation":"[54]","manualFormatting":" showed that the viability of human cervical adenocarcinoma (HeLa) cells was also not significantly affected after interaction with ultra-small LTL and EMT zeolites (8–18 nm) free of organic templates (50-400 μg mL−1). Based on the number of survived zebrafish, it can be asserted that all tested samples showed no toxicity or very low acute toxicity with small variances in the percentage of dead and/or abnormal embryos/larvae.\rSince there is a possibility of the TEA leaching from the zeolite channels, which may have an impact on the results obtained for the pristine nano-sized zeolite beta sample, the toxicity of TEA alone was tested as well. Upon exposure to 4.5, 9 and 18 µg mL-1 TEAOH (corresponding to the TEA concentrations present in 25, 50 and 100 µg mL-1 of non-calcined BEA-140 and BEA-600 samples, respectively) heart rate significantly increased (Tbl. 1, marked gray), which was not manifested in accelerated movements. According to the results obtained during exposure to BEA-140 and BEA-600, nano-sized zeolite beta samples prevented the cardiotoxic effect of the TEA. Still, avoiding the presence of organic structure-directing agents is indispensable for further practical uses of nanosized zeolites, especially for biomedical applications. This claim has been pointed up by further observation of larvae hatching. Hatching is a critical stage in zebrafish life since it represents the end of embryogenesis and the start of their swimming life phase. Decreased hatching success can increase predation or lead to fish death within the chorion. Moreover, hatching disruption can cause a negative impact at the population level, affecting thus ecosystems","plainTextFormattedCitation":"[54]","previouslyFormattedCitation":"[54]"},"properties":{"noteIndex":0},"schema":"https://github.com/citation-style-language/schema/raw/master/csl-citation.json"}</w:instrText>
      </w:r>
      <w:r>
        <w:fldChar w:fldCharType="separate"/>
      </w:r>
      <w:bookmarkStart w:id="44" w:name="__Fieldmark__14516_1509016404"/>
      <w:bookmarkEnd w:id="44"/>
      <w:r>
        <w:rPr>
          <w:noProof/>
          <w:lang w:val="en-US"/>
        </w:rPr>
        <w:t xml:space="preserve"> showed that the viability of human cervical adenocarcinoma (HeLa) cells was also not significantly affected after interaction with ultra-small LTL and EMT zeolites (8–18 nm) free of organic templates (50-400 μg mL</w:t>
      </w:r>
      <w:r>
        <w:rPr>
          <w:noProof/>
          <w:vertAlign w:val="superscript"/>
          <w:lang w:val="en-US"/>
        </w:rPr>
        <w:t>−1</w:t>
      </w:r>
      <w:r>
        <w:rPr>
          <w:noProof/>
          <w:lang w:val="en-US"/>
        </w:rPr>
        <w:t>).</w:t>
      </w:r>
      <w:r>
        <w:rPr>
          <w:noProof/>
        </w:rPr>
        <w:t xml:space="preserve"> </w:t>
      </w:r>
      <w:r>
        <w:rPr>
          <w:noProof/>
          <w:lang w:val="en-US"/>
        </w:rPr>
        <w:t xml:space="preserve">Based on the number of survived zebrafish, </w:t>
      </w:r>
      <w:r>
        <w:rPr>
          <w:noProof/>
          <w:lang w:val="en-US"/>
        </w:rPr>
        <w:lastRenderedPageBreak/>
        <w:t>it can be asserted that all tested samples showed no toxicity or very low acute toxicity with small variances in the percentage of dead and/or abnormal embryos/larvae.</w:t>
      </w:r>
    </w:p>
    <w:p w14:paraId="3434D7B0" w14:textId="2DBE371D" w:rsidR="00F02E89" w:rsidRDefault="00E01693">
      <w:pPr>
        <w:spacing w:line="360" w:lineRule="auto"/>
        <w:jc w:val="both"/>
        <w:rPr>
          <w:lang w:val="en-US"/>
        </w:rPr>
      </w:pPr>
      <w:r>
        <w:rPr>
          <w:noProof/>
          <w:lang w:val="en-US"/>
        </w:rPr>
        <w:t>Since there is a possibility of the TEA leaching from the zeolite channels</w:t>
      </w:r>
      <w:r w:rsidR="001B556E">
        <w:rPr>
          <w:noProof/>
          <w:lang w:val="en-US"/>
        </w:rPr>
        <w:t>,</w:t>
      </w:r>
      <w:r>
        <w:rPr>
          <w:noProof/>
          <w:lang w:val="en-US"/>
        </w:rPr>
        <w:t xml:space="preserve"> which may have an impact on the results obtained for the pristine nano-sized zeolite beta sample, the toxicity of TEA alone was tested as well. Upon exposure to 4.5, 9 and 18 µg mL</w:t>
      </w:r>
      <w:r>
        <w:rPr>
          <w:noProof/>
          <w:vertAlign w:val="superscript"/>
          <w:lang w:val="en-US"/>
        </w:rPr>
        <w:t xml:space="preserve">-1 </w:t>
      </w:r>
      <w:r>
        <w:rPr>
          <w:noProof/>
          <w:lang w:val="en-US"/>
        </w:rPr>
        <w:t>TEAOH (corresponding to the TEA concentrations present in 25, 50 and 100 µg mL</w:t>
      </w:r>
      <w:r>
        <w:rPr>
          <w:noProof/>
          <w:vertAlign w:val="superscript"/>
          <w:lang w:val="en-US"/>
        </w:rPr>
        <w:t xml:space="preserve">-1 </w:t>
      </w:r>
      <w:r>
        <w:rPr>
          <w:noProof/>
          <w:lang w:val="en-US"/>
        </w:rPr>
        <w:t>of non-calcined BEA-140 and BEA-600 samples, respectively) heart rate significantly increased (Tbl. 1, marked gray), which was not manifested in accelerated movements. According to the results obtained during exposure to BEA-140 and BEA-600, nano-sized zeolite beta samples prevented the cardiotoxic effect of the TEA. Still, avoiding the presence of organic structure-directing agents is indispensable for further practical uses of nanosized zeolites, especially for biomedical applications. This claim has been pointed up by further observation of larvae hatching. Hatching is a critical stage in zebrafish life since it represents the end of embryogenesis and the start of their swimming life phase. Decreased hatching success can increase predation or lead to fish death within the chorion. Moreover, hatching disruption can cause a negative impact at the population level, affecting thus ecosystems</w:t>
      </w:r>
      <w:bookmarkStart w:id="45" w:name="__Fieldmark__14555_1509016404"/>
      <w:r>
        <w:fldChar w:fldCharType="end"/>
      </w:r>
      <w:bookmarkEnd w:id="45"/>
      <w:r w:rsidR="00384A6E">
        <w:t xml:space="preserve"> </w:t>
      </w:r>
      <w:r w:rsidR="00AC010C">
        <w:fldChar w:fldCharType="begin" w:fldLock="1"/>
      </w:r>
      <w:r w:rsidR="00B20EBB">
        <w:instrText>ADDIN CSL_CITATION {"citationItems":[{"id":"ITEM-1","itemData":{"DOI":"10.3390/ijms18040710","ISSN":"14220067","abstract":"In animals, hatching represents the transition point from a developing embryo to a free-living individual, the larva. This process is finely regulated by many endogenous and environmental factors and has been shown to be sensitive to a variety of chemical agents. It is commonly evaluated in bioassays in order to establish the effects of different agents on early development and reproductive capabilities in fish and other aquatic animals. In fish, the breakdown of the chorion is achieved by the secretion of choriolysin by hatching gland cells (HGCs) into the perivitelline space (PVS), coupled with spontaneous movements of the developing larva. In this work, we used zebrafish to assay the effects of a family of widely used agrochemicals—triazoles Triadimefon (FON), Triadimenol (NOL) and free triazole (1,2,4-T)—on hatching success. We found a strong inhibition of hatching by triazole exposure which was correlated with morphological changes and a reduction in the secretory function of the HGCs. As a consequence, the release of choriolytic enzymes by HGCs was reduced. We also found that HGC secretion reduction after exposure to FON can be rescued by co-incubation with a dopamine D2 receptor antagonist but not by antagonists of the D1-like receptors. This suggests a specific pathway through which this family of fungicides may be impairing a critical event in the fish life cycle.","author":[{"dropping-particle":"","family":"La Paz","given":"Javiera F.","non-dropping-particle":"De","parse-names":false,"suffix":""},{"dropping-particle":"","family":"Beiza","given":"Natalia","non-dropping-particle":"","parse-names":false,"suffix":""},{"dropping-particle":"","family":"Paredes-Zúñiga","given":"Susana","non-dropping-particle":"","parse-names":false,"suffix":""},{"dropping-particle":"","family":"Hoare","given":"Misque S.","non-dropping-particle":"","parse-names":false,"suffix":""},{"dropping-particle":"","family":"Allende","given":"Miguel L.","non-dropping-particle":"","parse-names":false,"suffix":""}],"container-title":"International Journal of Molecular Sciences","id":"ITEM-1","issued":{"date-parts":[["2017"]]},"title":"Triazole fungicides inhibit zebrafish hatching by blocking the secretory function of hatching gland cells","type":"article-journal"},"uris":["http://www.mendeley.com/documents/?uuid=73b28dd9-a45e-3a4b-861b-52f4bb58d92f"]}],"mendeley":{"formattedCitation":"[55]","plainTextFormattedCitation":"[55]","previouslyFormattedCitation":"[55]"},"properties":{"noteIndex":0},"schema":"https://github.com/citation-style-language/schema/raw/master/csl-citation.json"}</w:instrText>
      </w:r>
      <w:r w:rsidR="00AC010C">
        <w:fldChar w:fldCharType="separate"/>
      </w:r>
      <w:r w:rsidR="00B20EBB" w:rsidRPr="00B20EBB">
        <w:rPr>
          <w:noProof/>
        </w:rPr>
        <w:t>[55]</w:t>
      </w:r>
      <w:r w:rsidR="00AC010C">
        <w:fldChar w:fldCharType="end"/>
      </w:r>
      <w:r>
        <w:rPr>
          <w:lang w:val="en-US"/>
        </w:rPr>
        <w:t>.</w:t>
      </w:r>
      <w:r w:rsidR="00214287">
        <w:rPr>
          <w:lang w:val="en-US"/>
        </w:rPr>
        <w:t xml:space="preserve"> </w:t>
      </w:r>
      <w:r>
        <w:rPr>
          <w:lang w:val="en-US"/>
        </w:rPr>
        <w:t xml:space="preserve">Calcined zeolite nanoparticles tested within this study did not affect zebrafish hatching, while on the other hand, strong inhibition of hatching rate at 72 </w:t>
      </w:r>
      <w:proofErr w:type="spellStart"/>
      <w:r>
        <w:rPr>
          <w:lang w:val="en-US"/>
        </w:rPr>
        <w:t>hpf</w:t>
      </w:r>
      <w:proofErr w:type="spellEnd"/>
      <w:r>
        <w:rPr>
          <w:lang w:val="en-US"/>
        </w:rPr>
        <w:t xml:space="preserve"> was recorded on non-calcined BEA-140 and BEA-600 samples (Fig. 4). The highest concentration of the sample BEA-140 caused the largest hatching rate reduction at 72 </w:t>
      </w:r>
      <w:proofErr w:type="spellStart"/>
      <w:r>
        <w:rPr>
          <w:lang w:val="en-US"/>
        </w:rPr>
        <w:t>hpf</w:t>
      </w:r>
      <w:proofErr w:type="spellEnd"/>
      <w:r>
        <w:rPr>
          <w:lang w:val="en-US"/>
        </w:rPr>
        <w:t xml:space="preserve"> (96.55% compared to the control values; Fig. 4). TEA caused also a statistically significant decrease of hatching rate, but those values were lower (~65% of zebrafish hatched during a 72-h exposure to 18 µg mL</w:t>
      </w:r>
      <w:r>
        <w:rPr>
          <w:vertAlign w:val="superscript"/>
          <w:lang w:val="en-US"/>
        </w:rPr>
        <w:t>-1</w:t>
      </w:r>
      <w:r>
        <w:rPr>
          <w:lang w:val="en-US"/>
        </w:rPr>
        <w:t xml:space="preserve"> of TEAOH).</w:t>
      </w:r>
    </w:p>
    <w:p w14:paraId="6A434E55" w14:textId="77777777" w:rsidR="005E1EB7" w:rsidRDefault="005E1EB7">
      <w:pPr>
        <w:spacing w:line="360" w:lineRule="auto"/>
        <w:jc w:val="both"/>
        <w:rPr>
          <w:lang w:val="en-US"/>
        </w:rPr>
      </w:pPr>
    </w:p>
    <w:p w14:paraId="5E2FC190" w14:textId="28C4E5D1" w:rsidR="00A02432" w:rsidRDefault="00A02432" w:rsidP="008D0479">
      <w:pPr>
        <w:spacing w:line="360" w:lineRule="auto"/>
        <w:jc w:val="both"/>
        <w:rPr>
          <w:lang w:val="en-US"/>
        </w:rPr>
      </w:pPr>
      <w:r w:rsidRPr="00A215E5">
        <w:rPr>
          <w:noProof/>
          <w:highlight w:val="yellow"/>
          <w:lang w:eastAsia="hr-HR"/>
        </w:rPr>
        <w:lastRenderedPageBreak/>
        <w:drawing>
          <wp:inline distT="0" distB="0" distL="0" distR="0" wp14:anchorId="7D1F3A7E" wp14:editId="19CF180C">
            <wp:extent cx="5760720" cy="3015711"/>
            <wp:effectExtent l="0" t="0" r="0" b="0"/>
            <wp:docPr id="30" name="Picture 30" descr="C:\Users\IRB\Desktop\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Desktop\Captur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15711"/>
                    </a:xfrm>
                    <a:prstGeom prst="rect">
                      <a:avLst/>
                    </a:prstGeom>
                    <a:noFill/>
                    <a:ln>
                      <a:noFill/>
                    </a:ln>
                  </pic:spPr>
                </pic:pic>
              </a:graphicData>
            </a:graphic>
          </wp:inline>
        </w:drawing>
      </w:r>
    </w:p>
    <w:p w14:paraId="5207959E" w14:textId="0BC7D11F" w:rsidR="009A4CC2" w:rsidRDefault="005E1EB7" w:rsidP="009A4CC2">
      <w:pPr>
        <w:spacing w:line="360" w:lineRule="auto"/>
        <w:jc w:val="both"/>
        <w:rPr>
          <w:lang w:val="en-US"/>
        </w:rPr>
      </w:pPr>
      <w:r w:rsidRPr="00A215E5">
        <w:rPr>
          <w:bCs/>
          <w:highlight w:val="yellow"/>
          <w:lang w:val="en-US"/>
        </w:rPr>
        <w:t>Figure 4.</w:t>
      </w:r>
      <w:r>
        <w:rPr>
          <w:bCs/>
          <w:lang w:val="en-US"/>
        </w:rPr>
        <w:t xml:space="preserve"> Hatching rate of 72 h old </w:t>
      </w:r>
      <w:r>
        <w:rPr>
          <w:bCs/>
          <w:i/>
          <w:lang w:val="en-US"/>
        </w:rPr>
        <w:t xml:space="preserve">D. </w:t>
      </w:r>
      <w:proofErr w:type="spellStart"/>
      <w:r>
        <w:rPr>
          <w:bCs/>
          <w:i/>
          <w:lang w:val="en-US"/>
        </w:rPr>
        <w:t>rerio</w:t>
      </w:r>
      <w:proofErr w:type="spellEnd"/>
      <w:r>
        <w:rPr>
          <w:bCs/>
          <w:lang w:val="en-US"/>
        </w:rPr>
        <w:t xml:space="preserve"> embryos after exposure to the </w:t>
      </w:r>
      <w:proofErr w:type="spellStart"/>
      <w:r>
        <w:rPr>
          <w:bCs/>
          <w:lang w:val="en-US"/>
        </w:rPr>
        <w:t>nano</w:t>
      </w:r>
      <w:proofErr w:type="spellEnd"/>
      <w:r>
        <w:rPr>
          <w:bCs/>
          <w:lang w:val="en-US"/>
        </w:rPr>
        <w:t>-zeolite beta suspensions and TEAOH</w:t>
      </w:r>
      <w:r w:rsidRPr="001B556E">
        <w:rPr>
          <w:bCs/>
          <w:lang w:val="en-US"/>
        </w:rPr>
        <w:t>.</w:t>
      </w:r>
      <w:r w:rsidR="008D0479" w:rsidRPr="001B556E">
        <w:rPr>
          <w:bCs/>
          <w:lang w:val="en-US"/>
        </w:rPr>
        <w:t xml:space="preserve"> </w:t>
      </w:r>
      <w:r w:rsidR="009A4CC2" w:rsidRPr="001B556E">
        <w:rPr>
          <w:lang w:val="en-US"/>
        </w:rPr>
        <w:t>Statistical differences relative to the control group: *p&lt;0.05, **p&lt;0.001, ***p&lt;0.0001.</w:t>
      </w:r>
    </w:p>
    <w:p w14:paraId="405BC770" w14:textId="77777777" w:rsidR="009A4CC2" w:rsidRDefault="009A4CC2" w:rsidP="008D0479">
      <w:pPr>
        <w:spacing w:line="360" w:lineRule="auto"/>
        <w:jc w:val="both"/>
      </w:pPr>
    </w:p>
    <w:p w14:paraId="03DB1B49" w14:textId="29876547" w:rsidR="00F02E89" w:rsidRDefault="00E01693">
      <w:pPr>
        <w:spacing w:line="360" w:lineRule="auto"/>
        <w:jc w:val="both"/>
        <w:rPr>
          <w:lang w:val="en-US"/>
        </w:rPr>
      </w:pPr>
      <w:r>
        <w:rPr>
          <w:lang w:val="en-US"/>
        </w:rPr>
        <w:t>It is important to note that treated fish were not morphologically different from control fish, indicating that delayed hatching was not caused by slowed morphological development and thus by slowed maturation of the hatching gland. Since this option seems unfeasible, we investigated other possible mechanisms of the observed hatching inhibition. Hatching in zebrafish is regulated by exogenous factors such as light-dark cycles, oxygen levels, etc., but also endogenous factors such as muscle contractions, hormonal levels, the release of proteolytic enzymes from specialized cells</w:t>
      </w:r>
      <w:bookmarkStart w:id="46" w:name="__Fieldmark__14574_1509016404"/>
      <w:bookmarkEnd w:id="46"/>
      <w:r w:rsidR="001B556E">
        <w:rPr>
          <w:lang w:val="en-US"/>
        </w:rPr>
        <w:t xml:space="preserve"> </w:t>
      </w:r>
      <w:r w:rsidR="00AC010C">
        <w:rPr>
          <w:lang w:val="en-US"/>
        </w:rPr>
        <w:fldChar w:fldCharType="begin" w:fldLock="1"/>
      </w:r>
      <w:r w:rsidR="00B20EBB">
        <w:rPr>
          <w:lang w:val="en-US"/>
        </w:rPr>
        <w:instrText>ADDIN CSL_CITATION {"citationItems":[{"id":"ITEM-1","itemData":{"DOI":"10.3390/ijms18040710","ISSN":"14220067","abstract":"In animals, hatching represents the transition point from a developing embryo to a free-living individual, the larva. This process is finely regulated by many endogenous and environmental factors and has been shown to be sensitive to a variety of chemical agents. It is commonly evaluated in bioassays in order to establish the effects of different agents on early development and reproductive capabilities in fish and other aquatic animals. In fish, the breakdown of the chorion is achieved by the secretion of choriolysin by hatching gland cells (HGCs) into the perivitelline space (PVS), coupled with spontaneous movements of the developing larva. In this work, we used zebrafish to assay the effects of a family of widely used agrochemicals—triazoles Triadimefon (FON), Triadimenol (NOL) and free triazole (1,2,4-T)—on hatching success. We found a strong inhibition of hatching by triazole exposure which was correlated with morphological changes and a reduction in the secretory function of the HGCs. As a consequence, the release of choriolytic enzymes by HGCs was reduced. We also found that HGC secretion reduction after exposure to FON can be rescued by co-incubation with a dopamine D2 receptor antagonist but not by antagonists of the D1-like receptors. This suggests a specific pathway through which this family of fungicides may be impairing a critical event in the fish life cycle.","author":[{"dropping-particle":"","family":"La Paz","given":"Javiera F.","non-dropping-particle":"De","parse-names":false,"suffix":""},{"dropping-particle":"","family":"Beiza","given":"Natalia","non-dropping-particle":"","parse-names":false,"suffix":""},{"dropping-particle":"","family":"Paredes-Zúñiga","given":"Susana","non-dropping-particle":"","parse-names":false,"suffix":""},{"dropping-particle":"","family":"Hoare","given":"Misque S.","non-dropping-particle":"","parse-names":false,"suffix":""},{"dropping-particle":"","family":"Allende","given":"Miguel L.","non-dropping-particle":"","parse-names":false,"suffix":""}],"container-title":"International Journal of Molecular Sciences","id":"ITEM-1","issued":{"date-parts":[["2017"]]},"title":"Triazole fungicides inhibit zebrafish hatching by blocking the secretory function of hatching gland cells","type":"article-journal"},"uris":["http://www.mendeley.com/documents/?uuid=73b28dd9-a45e-3a4b-861b-52f4bb58d92f"]}],"mendeley":{"formattedCitation":"[55]","plainTextFormattedCitation":"[55]","previouslyFormattedCitation":"[55]"},"properties":{"noteIndex":0},"schema":"https://github.com/citation-style-language/schema/raw/master/csl-citation.json"}</w:instrText>
      </w:r>
      <w:r w:rsidR="00AC010C">
        <w:rPr>
          <w:lang w:val="en-US"/>
        </w:rPr>
        <w:fldChar w:fldCharType="separate"/>
      </w:r>
      <w:r w:rsidR="00B20EBB" w:rsidRPr="00B20EBB">
        <w:rPr>
          <w:noProof/>
          <w:lang w:val="en-US"/>
        </w:rPr>
        <w:t>[55]</w:t>
      </w:r>
      <w:r w:rsidR="00AC010C">
        <w:rPr>
          <w:lang w:val="en-US"/>
        </w:rPr>
        <w:fldChar w:fldCharType="end"/>
      </w:r>
      <w:r>
        <w:rPr>
          <w:lang w:val="en-US"/>
        </w:rPr>
        <w:t>.</w:t>
      </w:r>
      <w:r>
        <w:rPr>
          <w:vertAlign w:val="superscript"/>
          <w:lang w:val="en-US"/>
        </w:rPr>
        <w:t>⁠</w:t>
      </w:r>
      <w:r>
        <w:rPr>
          <w:lang w:val="en-US"/>
        </w:rPr>
        <w:t xml:space="preserve"> Since the experiment was conducted in controlled conditions (light, temperature, oxygen level), the reason for decreased hatching was searched among endogenous factors.</w:t>
      </w:r>
      <w:r w:rsidR="00AC010C">
        <w:rPr>
          <w:lang w:val="en-US"/>
        </w:rPr>
        <w:t xml:space="preserve"> </w:t>
      </w:r>
      <w:r w:rsidR="00AC010C">
        <w:t xml:space="preserve">De la Paz </w:t>
      </w:r>
      <w:proofErr w:type="spellStart"/>
      <w:r w:rsidR="00AC010C">
        <w:t>et</w:t>
      </w:r>
      <w:proofErr w:type="spellEnd"/>
      <w:r w:rsidR="00AC010C">
        <w:t xml:space="preserve"> </w:t>
      </w:r>
      <w:proofErr w:type="spellStart"/>
      <w:r w:rsidR="00AC010C">
        <w:t>al</w:t>
      </w:r>
      <w:proofErr w:type="spellEnd"/>
      <w:r w:rsidR="00AC010C">
        <w:t>.</w:t>
      </w:r>
      <w:r>
        <w:rPr>
          <w:lang w:val="en-US"/>
        </w:rPr>
        <w:t xml:space="preserve"> </w:t>
      </w:r>
      <w:r w:rsidR="00AC010C">
        <w:rPr>
          <w:lang w:val="en-US"/>
        </w:rPr>
        <w:fldChar w:fldCharType="begin" w:fldLock="1"/>
      </w:r>
      <w:r w:rsidR="00B20EBB">
        <w:rPr>
          <w:lang w:val="en-US"/>
        </w:rPr>
        <w:instrText>ADDIN CSL_CITATION {"citationItems":[{"id":"ITEM-1","itemData":{"DOI":"10.3390/ijms18040710","ISSN":"14220067","abstract":"In animals, hatching represents the transition point from a developing embryo to a free-living individual, the larva. This process is finely regulated by many endogenous and environmental factors and has been shown to be sensitive to a variety of chemical agents. It is commonly evaluated in bioassays in order to establish the effects of different agents on early development and reproductive capabilities in fish and other aquatic animals. In fish, the breakdown of the chorion is achieved by the secretion of choriolysin by hatching gland cells (HGCs) into the perivitelline space (PVS), coupled with spontaneous movements of the developing larva. In this work, we used zebrafish to assay the effects of a family of widely used agrochemicals—triazoles Triadimefon (FON), Triadimenol (NOL) and free triazole (1,2,4-T)—on hatching success. We found a strong inhibition of hatching by triazole exposure which was correlated with morphological changes and a reduction in the secretory function of the HGCs. As a consequence, the release of choriolytic enzymes by HGCs was reduced. We also found that HGC secretion reduction after exposure to FON can be rescued by co-incubation with a dopamine D2 receptor antagonist but not by antagonists of the D1-like receptors. This suggests a specific pathway through which this family of fungicides may be impairing a critical event in the fish life cycle.","author":[{"dropping-particle":"","family":"La Paz","given":"Javiera F.","non-dropping-particle":"De","parse-names":false,"suffix":""},{"dropping-particle":"","family":"Beiza","given":"Natalia","non-dropping-particle":"","parse-names":false,"suffix":""},{"dropping-particle":"","family":"Paredes-Zúñiga","given":"Susana","non-dropping-particle":"","parse-names":false,"suffix":""},{"dropping-particle":"","family":"Hoare","given":"Misque S.","non-dropping-particle":"","parse-names":false,"suffix":""},{"dropping-particle":"","family":"Allende","given":"Miguel L.","non-dropping-particle":"","parse-names":false,"suffix":""}],"container-title":"International Journal of Molecular Sciences","id":"ITEM-1","issued":{"date-parts":[["2017"]]},"title":"Triazole fungicides inhibit zebrafish hatching by blocking the secretory function of hatching gland cells","type":"article-journal"},"uris":["http://www.mendeley.com/documents/?uuid=73b28dd9-a45e-3a4b-861b-52f4bb58d92f"]}],"mendeley":{"formattedCitation":"[55]","plainTextFormattedCitation":"[55]","previouslyFormattedCitation":"[55]"},"properties":{"noteIndex":0},"schema":"https://github.com/citation-style-language/schema/raw/master/csl-citation.json"}</w:instrText>
      </w:r>
      <w:r w:rsidR="00AC010C">
        <w:rPr>
          <w:lang w:val="en-US"/>
        </w:rPr>
        <w:fldChar w:fldCharType="separate"/>
      </w:r>
      <w:r w:rsidR="00B20EBB" w:rsidRPr="00B20EBB">
        <w:rPr>
          <w:noProof/>
          <w:lang w:val="en-US"/>
        </w:rPr>
        <w:t>[55]</w:t>
      </w:r>
      <w:r w:rsidR="00AC010C">
        <w:rPr>
          <w:lang w:val="en-US"/>
        </w:rPr>
        <w:fldChar w:fldCharType="end"/>
      </w:r>
      <w:r w:rsidR="00AC010C">
        <w:rPr>
          <w:lang w:val="en-US"/>
        </w:rPr>
        <w:t xml:space="preserve"> </w:t>
      </w:r>
      <w:r>
        <w:rPr>
          <w:lang w:val="en-US"/>
        </w:rPr>
        <w:t>reported that zebrafish hatching enzyme (ZHE1) expressed in the hatching gland is responsible for chorion degradation allowing zebrafish to hatch. Therefore, the inhibition of enzyme ZHE1 could lead to hatching retardation. Previous studies have shown that EDTA</w:t>
      </w:r>
      <w:bookmarkStart w:id="47" w:name="__UnoMark__128098_1509016404"/>
      <w:r w:rsidR="001B556E">
        <w:rPr>
          <w:lang w:val="en-US"/>
        </w:rPr>
        <w:t xml:space="preserve"> </w:t>
      </w:r>
      <w:bookmarkEnd w:id="47"/>
      <w:r w:rsidR="00AC010C">
        <w:rPr>
          <w:lang w:val="en-US"/>
        </w:rPr>
        <w:fldChar w:fldCharType="begin" w:fldLock="1"/>
      </w:r>
      <w:r w:rsidR="00B20EBB">
        <w:rPr>
          <w:lang w:val="en-US"/>
        </w:rPr>
        <w:instrText>ADDIN CSL_CITATION {"citationItems":[{"id":"ITEM-1","itemData":{"DOI":"10.1111/j.1742-4658.2008.06722.x","ISSN":"1742464X","abstract":"There are two hatching enzyme homologues in the zebrafish genome: zebrafish hatching enzyme ZHE1 and ZHE2. Northern blot and RT-PCR analysis revealed that ZHE1 was mainly expressed in pre-hatching embryos, whereas ZHE2 was rarely expressed. This was consistent with the results obtained in an experiment conducted at the protein level, which demonstrated that one kind of hatching enzyme, ZHE1, was able to be purified from the hatching liquid. Therefore, the hatching of zebrafish embryo is performed by a single enzyme, different from the finding that the medaka hatching enzyme is an enzyme system composed of two enzymes, medaka high choriolytic enzyme (MHCE) and medaka low choriolytic enzyme (MLCE), which cooperatively digest the egg envelope. The six ZHE1-cleaving sites were located in the N-terminal regions of egg envelope subunit proteins, ZP2 and ZP3, but not in the internal regions, such as the ZP domains. The digestion manner of ZHE1 appears to be highly analogous to that of MHCE, which partially digests the egg envelope and swells the envelope. The cross-species digestion using enzymes and substrates of zebrafish and medaka revealed that both ZHE1 and MHCE cleaved the same sites of the egg envelope proteins of two species, suggesting that the substrate specificity of ZHE1 is quite similar to that of MHCE. However, MLCE did not show such similarity. Because HCE and LCE are the result of gene duplication in the evolutionary pathway of Teleostei, the present study suggests that ZHE1 and MHCE maintain the character of an ancestral hatching enzyme, and that MLCE acquires a new function, such as promoting the complete digestion of the egg envelope swollen by MHCE. © 2008 The Authors.","author":[{"dropping-particle":"","family":"Sano","given":"Kaori","non-dropping-particle":"","parse-names":false,"suffix":""},{"dropping-particle":"","family":"Inohaya","given":"Keiji","non-dropping-particle":"","parse-names":false,"suffix":""},{"dropping-particle":"","family":"Kawaguchi","given":"Mari","non-dropping-particle":"","parse-names":false,"suffix":""},{"dropping-particle":"","family":"Yoshizaki","given":"Norio","non-dropping-particle":"","parse-names":false,"suffix":""},{"dropping-particle":"","family":"Iuchi","given":"Ichiro","non-dropping-particle":"","parse-names":false,"suffix":""},{"dropping-particle":"","family":"Yasumasu","given":"Shigeki","non-dropping-particle":"","parse-names":false,"suffix":""}],"container-title":"FEBS Journal","id":"ITEM-1","issued":{"date-parts":[["2008"]]},"title":"Purification and characterization of zebrafish hatching enzyme - An evolutionary aspect of the mechanism of egg envelope digestion","type":"article-journal"},"uris":["http://www.mendeley.com/documents/?uuid=b3c10d7c-2ae3-352b-a024-3e4fd9f0a0ca"]}],"mendeley":{"formattedCitation":"[56]","plainTextFormattedCitation":"[56]","previouslyFormattedCitation":"[56]"},"properties":{"noteIndex":0},"schema":"https://github.com/citation-style-language/schema/raw/master/csl-citation.json"}</w:instrText>
      </w:r>
      <w:r w:rsidR="00AC010C">
        <w:rPr>
          <w:lang w:val="en-US"/>
        </w:rPr>
        <w:fldChar w:fldCharType="separate"/>
      </w:r>
      <w:r w:rsidR="00B20EBB" w:rsidRPr="00B20EBB">
        <w:rPr>
          <w:noProof/>
          <w:lang w:val="en-US"/>
        </w:rPr>
        <w:t>[56]</w:t>
      </w:r>
      <w:r w:rsidR="00AC010C">
        <w:rPr>
          <w:lang w:val="en-US"/>
        </w:rPr>
        <w:fldChar w:fldCharType="end"/>
      </w:r>
      <w:r>
        <w:rPr>
          <w:lang w:val="en-US"/>
        </w:rPr>
        <w:t>⁠</w:t>
      </w:r>
      <w:bookmarkStart w:id="48" w:name="__Fieldmark__14596_1509016404"/>
      <w:bookmarkEnd w:id="48"/>
      <w:r>
        <w:rPr>
          <w:lang w:val="en-US"/>
        </w:rPr>
        <w:t xml:space="preserve"> and triazoles</w:t>
      </w:r>
      <w:bookmarkStart w:id="49" w:name="__UnoMark__128102_1509016404"/>
      <w:r w:rsidR="001B556E">
        <w:rPr>
          <w:lang w:val="en-US"/>
        </w:rPr>
        <w:t xml:space="preserve"> </w:t>
      </w:r>
      <w:bookmarkEnd w:id="49"/>
      <w:r w:rsidR="00AC010C">
        <w:rPr>
          <w:lang w:val="en-US"/>
        </w:rPr>
        <w:fldChar w:fldCharType="begin" w:fldLock="1"/>
      </w:r>
      <w:r w:rsidR="00B20EBB">
        <w:rPr>
          <w:lang w:val="en-US"/>
        </w:rPr>
        <w:instrText>ADDIN CSL_CITATION {"citationItems":[{"id":"ITEM-1","itemData":{"DOI":"10.3390/ijms18040710","ISSN":"14220067","abstract":"In animals, hatching represents the transition point from a developing embryo to a free-living individual, the larva. This process is finely regulated by many endogenous and environmental factors and has been shown to be sensitive to a variety of chemical agents. It is commonly evaluated in bioassays in order to establish the effects of different agents on early development and reproductive capabilities in fish and other aquatic animals. In fish, the breakdown of the chorion is achieved by the secretion of choriolysin by hatching gland cells (HGCs) into the perivitelline space (PVS), coupled with spontaneous movements of the developing larva. In this work, we used zebrafish to assay the effects of a family of widely used agrochemicals—triazoles Triadimefon (FON), Triadimenol (NOL) and free triazole (1,2,4-T)—on hatching success. We found a strong inhibition of hatching by triazole exposure which was correlated with morphological changes and a reduction in the secretory function of the HGCs. As a consequence, the release of choriolytic enzymes by HGCs was reduced. We also found that HGC secretion reduction after exposure to FON can be rescued by co-incubation with a dopamine D2 receptor antagonist but not by antagonists of the D1-like receptors. This suggests a specific pathway through which this family of fungicides may be impairing a critical event in the fish life cycle.","author":[{"dropping-particle":"","family":"La Paz","given":"Javiera F.","non-dropping-particle":"De","parse-names":false,"suffix":""},{"dropping-particle":"","family":"Beiza","given":"Natalia","non-dropping-particle":"","parse-names":false,"suffix":""},{"dropping-particle":"","family":"Paredes-Zúñiga","given":"Susana","non-dropping-particle":"","parse-names":false,"suffix":""},{"dropping-particle":"","family":"Hoare","given":"Misque S.","non-dropping-particle":"","parse-names":false,"suffix":""},{"dropping-particle":"","family":"Allende","given":"Miguel L.","non-dropping-particle":"","parse-names":false,"suffix":""}],"container-title":"International Journal of Molecular Sciences","id":"ITEM-1","issued":{"date-parts":[["2017"]]},"title":"Triazole fungicides inhibit zebrafish hatching by blocking the secretory function of hatching gland cells","type":"article-journal"},"uris":["http://www.mendeley.com/documents/?uuid=73b28dd9-a45e-3a4b-861b-52f4bb58d92f"]}],"mendeley":{"formattedCitation":"[55]","plainTextFormattedCitation":"[55]","previouslyFormattedCitation":"[55]"},"properties":{"noteIndex":0},"schema":"https://github.com/citation-style-language/schema/raw/master/csl-citation.json"}</w:instrText>
      </w:r>
      <w:r w:rsidR="00AC010C">
        <w:rPr>
          <w:lang w:val="en-US"/>
        </w:rPr>
        <w:fldChar w:fldCharType="separate"/>
      </w:r>
      <w:r w:rsidR="00B20EBB" w:rsidRPr="00B20EBB">
        <w:rPr>
          <w:noProof/>
          <w:lang w:val="en-US"/>
        </w:rPr>
        <w:t>[55]</w:t>
      </w:r>
      <w:r w:rsidR="00AC010C">
        <w:rPr>
          <w:lang w:val="en-US"/>
        </w:rPr>
        <w:fldChar w:fldCharType="end"/>
      </w:r>
      <w:r w:rsidR="00AC010C">
        <w:rPr>
          <w:lang w:val="en-US"/>
        </w:rPr>
        <w:t xml:space="preserve"> </w:t>
      </w:r>
      <w:r>
        <w:rPr>
          <w:lang w:val="en-US"/>
        </w:rPr>
        <w:t>inhibit hatching through affecting the hatching enzyme, either by complexing its Zn</w:t>
      </w:r>
      <w:r>
        <w:rPr>
          <w:vertAlign w:val="superscript"/>
          <w:lang w:val="en-US"/>
        </w:rPr>
        <w:t>2+</w:t>
      </w:r>
      <w:r>
        <w:rPr>
          <w:lang w:val="en-US"/>
        </w:rPr>
        <w:t xml:space="preserve"> ion or impairing the release of ZHE1 enzyme, respectively. To probe whether TEA directly binds to ZHE1 enzyme and interferes with the hatching process we performed docking simulations using two different docking programs </w:t>
      </w:r>
      <w:proofErr w:type="spellStart"/>
      <w:r>
        <w:rPr>
          <w:lang w:val="en-US"/>
        </w:rPr>
        <w:t>AutoDock</w:t>
      </w:r>
      <w:proofErr w:type="spellEnd"/>
      <w:r>
        <w:rPr>
          <w:lang w:val="en-US"/>
        </w:rPr>
        <w:t xml:space="preserve"> Vina and </w:t>
      </w:r>
      <w:proofErr w:type="spellStart"/>
      <w:r>
        <w:rPr>
          <w:lang w:val="en-US"/>
        </w:rPr>
        <w:t>SwissDock</w:t>
      </w:r>
      <w:proofErr w:type="spellEnd"/>
      <w:r>
        <w:rPr>
          <w:lang w:val="en-US"/>
        </w:rPr>
        <w:t xml:space="preserve">. Molecular dynamics simulations were used to probe how specific are binding sites and poses found by docking simulations. Only those binding positions, found by both programs, were analyzed. Consequently, three different </w:t>
      </w:r>
      <w:r>
        <w:rPr>
          <w:lang w:val="en-US"/>
        </w:rPr>
        <w:lastRenderedPageBreak/>
        <w:t xml:space="preserve">binding sites were identified (Fig. 5). Within the binding site </w:t>
      </w:r>
      <w:r>
        <w:rPr>
          <w:i/>
          <w:lang w:val="en-US"/>
        </w:rPr>
        <w:t>a</w:t>
      </w:r>
      <w:r>
        <w:rPr>
          <w:lang w:val="en-US"/>
        </w:rPr>
        <w:t xml:space="preserve">, TEA and Tyr93 interact through cation-π interactions; Asp34 interacts with the TEA through electrostatic interactions, whereas ethyl groups of the TEA interact with Val37 and Val92 through van der Waals interactions. Within the binding site </w:t>
      </w:r>
      <w:r>
        <w:rPr>
          <w:i/>
          <w:lang w:val="en-US"/>
        </w:rPr>
        <w:t>b</w:t>
      </w:r>
      <w:r>
        <w:rPr>
          <w:lang w:val="en-US"/>
        </w:rPr>
        <w:t xml:space="preserve">, the TEA is bound within the enzyme active site. Cation-π interactions are established between TEA and Tyr155 and Phe160, whereas Ile98 makes van der Waals interactions with ethyl groups of TEA. Glu100 makes electrostatic interactions with cationic TEA. Within the binding site </w:t>
      </w:r>
      <w:r>
        <w:rPr>
          <w:i/>
          <w:lang w:val="en-US"/>
        </w:rPr>
        <w:t>c</w:t>
      </w:r>
      <w:r>
        <w:rPr>
          <w:lang w:val="en-US"/>
        </w:rPr>
        <w:t>, cation-π interactions are established between TEA and Trp12, electrostatic interactions are established with Glu21 and Asp61, whereas TEA makes hydrophobic interactions with Pro23.</w:t>
      </w:r>
    </w:p>
    <w:p w14:paraId="07B27266" w14:textId="77777777" w:rsidR="005E1EB7" w:rsidRDefault="005E1EB7">
      <w:pPr>
        <w:spacing w:line="360" w:lineRule="auto"/>
        <w:jc w:val="both"/>
        <w:rPr>
          <w:lang w:val="en-US"/>
        </w:rPr>
      </w:pPr>
    </w:p>
    <w:p w14:paraId="63DB7357" w14:textId="77777777" w:rsidR="005E1EB7" w:rsidRDefault="005E1EB7" w:rsidP="005E1EB7">
      <w:pPr>
        <w:spacing w:line="360" w:lineRule="auto"/>
        <w:jc w:val="center"/>
        <w:rPr>
          <w:lang w:val="en-US"/>
        </w:rPr>
      </w:pPr>
      <w:r>
        <w:rPr>
          <w:noProof/>
          <w:lang w:eastAsia="hr-HR"/>
        </w:rPr>
        <w:drawing>
          <wp:inline distT="0" distB="0" distL="0" distR="0" wp14:anchorId="0A787BE3" wp14:editId="4B356EE2">
            <wp:extent cx="5943600" cy="3611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611880"/>
                    </a:xfrm>
                    <a:prstGeom prst="rect">
                      <a:avLst/>
                    </a:prstGeom>
                    <a:noFill/>
                    <a:ln>
                      <a:noFill/>
                    </a:ln>
                  </pic:spPr>
                </pic:pic>
              </a:graphicData>
            </a:graphic>
          </wp:inline>
        </w:drawing>
      </w:r>
    </w:p>
    <w:p w14:paraId="74E4CAF6" w14:textId="77777777" w:rsidR="005E1EB7" w:rsidRDefault="005E1EB7">
      <w:pPr>
        <w:spacing w:line="360" w:lineRule="auto"/>
        <w:jc w:val="both"/>
        <w:rPr>
          <w:lang w:val="en-US"/>
        </w:rPr>
      </w:pPr>
      <w:r>
        <w:rPr>
          <w:lang w:val="en-US"/>
        </w:rPr>
        <w:t xml:space="preserve">Figure 5. Three binding sites </w:t>
      </w:r>
      <w:r>
        <w:rPr>
          <w:i/>
          <w:lang w:val="en-US"/>
        </w:rPr>
        <w:t>a</w:t>
      </w:r>
      <w:r>
        <w:rPr>
          <w:lang w:val="en-US"/>
        </w:rPr>
        <w:t xml:space="preserve">, </w:t>
      </w:r>
      <w:r>
        <w:rPr>
          <w:i/>
          <w:lang w:val="en-US"/>
        </w:rPr>
        <w:t>b</w:t>
      </w:r>
      <w:r>
        <w:rPr>
          <w:lang w:val="en-US"/>
        </w:rPr>
        <w:t xml:space="preserve"> and </w:t>
      </w:r>
      <w:r>
        <w:rPr>
          <w:i/>
          <w:lang w:val="en-US"/>
        </w:rPr>
        <w:t>c</w:t>
      </w:r>
      <w:r>
        <w:rPr>
          <w:lang w:val="en-US"/>
        </w:rPr>
        <w:t xml:space="preserve"> obtained using </w:t>
      </w:r>
      <w:proofErr w:type="spellStart"/>
      <w:r>
        <w:rPr>
          <w:lang w:val="en-US"/>
        </w:rPr>
        <w:t>AutoDock</w:t>
      </w:r>
      <w:proofErr w:type="spellEnd"/>
      <w:r>
        <w:rPr>
          <w:lang w:val="en-US"/>
        </w:rPr>
        <w:t xml:space="preserve"> Vina and </w:t>
      </w:r>
      <w:proofErr w:type="spellStart"/>
      <w:r>
        <w:rPr>
          <w:lang w:val="en-US"/>
        </w:rPr>
        <w:t>SwissDock</w:t>
      </w:r>
      <w:proofErr w:type="spellEnd"/>
      <w:r>
        <w:rPr>
          <w:lang w:val="en-US"/>
        </w:rPr>
        <w:t xml:space="preserve"> docking software. Protein surface is colored according to electrostatic potential, where red stands for negative, white for neutral and blue for positive potential. TEA is shown in grey. </w:t>
      </w:r>
    </w:p>
    <w:p w14:paraId="084B30F6" w14:textId="77777777" w:rsidR="005E1EB7" w:rsidRDefault="005E1EB7">
      <w:pPr>
        <w:spacing w:line="360" w:lineRule="auto"/>
        <w:jc w:val="both"/>
      </w:pPr>
    </w:p>
    <w:p w14:paraId="47A20EEE" w14:textId="3AE8BE46" w:rsidR="00F02E89" w:rsidRDefault="00E01693">
      <w:pPr>
        <w:spacing w:line="360" w:lineRule="auto"/>
        <w:jc w:val="both"/>
        <w:rPr>
          <w:lang w:val="en-US"/>
        </w:rPr>
      </w:pPr>
      <w:r>
        <w:rPr>
          <w:lang w:val="en-US"/>
        </w:rPr>
        <w:t xml:space="preserve">To probe how specific these interactions are, we </w:t>
      </w:r>
      <w:r w:rsidR="00F75E72" w:rsidRPr="00A215E5">
        <w:rPr>
          <w:highlight w:val="yellow"/>
          <w:lang w:val="en-US"/>
        </w:rPr>
        <w:t>simulated</w:t>
      </w:r>
      <w:r w:rsidR="00F75E72">
        <w:rPr>
          <w:lang w:val="en-US"/>
        </w:rPr>
        <w:t xml:space="preserve"> </w:t>
      </w:r>
      <w:r>
        <w:rPr>
          <w:lang w:val="en-US"/>
        </w:rPr>
        <w:t xml:space="preserve">three complexes for molecular-dynamics simulations according to binding poses obtained using </w:t>
      </w:r>
      <w:proofErr w:type="spellStart"/>
      <w:r>
        <w:rPr>
          <w:lang w:val="en-US"/>
        </w:rPr>
        <w:t>AutoDock</w:t>
      </w:r>
      <w:proofErr w:type="spellEnd"/>
      <w:r>
        <w:rPr>
          <w:lang w:val="en-US"/>
        </w:rPr>
        <w:t xml:space="preserve"> Vina and </w:t>
      </w:r>
      <w:proofErr w:type="spellStart"/>
      <w:r>
        <w:rPr>
          <w:lang w:val="en-US"/>
        </w:rPr>
        <w:t>SwissDock</w:t>
      </w:r>
      <w:proofErr w:type="spellEnd"/>
      <w:r>
        <w:rPr>
          <w:lang w:val="en-US"/>
        </w:rPr>
        <w:t xml:space="preserve"> (Fig. 5). Each complex was simulated in three independent replicas according to the protocol described in Materials and methods. Our unconstrained simulations have shown that binding of TEA is nonspecific. What was common for all three complexes is that after 20 ns of simulations TEA dissociated from ZHE1 into bulk water. The simulations were repeated </w:t>
      </w:r>
      <w:r>
        <w:rPr>
          <w:lang w:val="en-US"/>
        </w:rPr>
        <w:lastRenderedPageBreak/>
        <w:t>with all ligand atoms restrained by the harmonic potential with the force constant of 100 kcal mol</w:t>
      </w:r>
      <w:r>
        <w:rPr>
          <w:vertAlign w:val="superscript"/>
          <w:lang w:val="en-US"/>
        </w:rPr>
        <w:t>-1</w:t>
      </w:r>
      <w:r>
        <w:rPr>
          <w:lang w:val="en-US"/>
        </w:rPr>
        <w:t xml:space="preserve"> Å</w:t>
      </w:r>
      <w:r>
        <w:rPr>
          <w:vertAlign w:val="superscript"/>
          <w:lang w:val="en-US"/>
        </w:rPr>
        <w:t>-1</w:t>
      </w:r>
      <w:r>
        <w:rPr>
          <w:lang w:val="en-US"/>
        </w:rPr>
        <w:t xml:space="preserve"> during optimization, equilibration and first 20 ns of MD simulation, after which force constant was gradually decreased. This was then followed by unconstrained MD simulations. However, in all three cases, TEA dissociated from </w:t>
      </w:r>
      <w:r w:rsidR="00724F07" w:rsidRPr="00A215E5">
        <w:rPr>
          <w:highlight w:val="yellow"/>
          <w:lang w:val="en-US"/>
        </w:rPr>
        <w:t>the</w:t>
      </w:r>
      <w:r w:rsidR="00724F07">
        <w:rPr>
          <w:lang w:val="en-US"/>
        </w:rPr>
        <w:t xml:space="preserve"> </w:t>
      </w:r>
      <w:r>
        <w:rPr>
          <w:lang w:val="en-US"/>
        </w:rPr>
        <w:t xml:space="preserve">ZHE1 enzyme into bulk water again, definitely referring to nonspecific binding of TEA to </w:t>
      </w:r>
      <w:r w:rsidR="00724F07" w:rsidRPr="00A215E5">
        <w:rPr>
          <w:highlight w:val="yellow"/>
          <w:lang w:val="en-US"/>
        </w:rPr>
        <w:t>the</w:t>
      </w:r>
      <w:r w:rsidR="00724F07">
        <w:rPr>
          <w:lang w:val="en-US"/>
        </w:rPr>
        <w:t xml:space="preserve"> </w:t>
      </w:r>
      <w:r>
        <w:rPr>
          <w:lang w:val="en-US"/>
        </w:rPr>
        <w:t xml:space="preserve">ZHE1 enzyme. </w:t>
      </w:r>
      <w:r>
        <w:rPr>
          <w:i/>
          <w:lang w:val="en-US"/>
        </w:rPr>
        <w:t>In silico</w:t>
      </w:r>
      <w:r>
        <w:rPr>
          <w:lang w:val="en-US"/>
        </w:rPr>
        <w:t xml:space="preserve"> study implies that TEA </w:t>
      </w:r>
      <w:r w:rsidR="00A02432" w:rsidRPr="00A215E5">
        <w:rPr>
          <w:highlight w:val="yellow"/>
          <w:lang w:val="en-US"/>
        </w:rPr>
        <w:t>does not</w:t>
      </w:r>
      <w:r w:rsidR="00A02432" w:rsidRPr="00A215E5">
        <w:rPr>
          <w:lang w:val="en-US"/>
        </w:rPr>
        <w:t xml:space="preserve"> </w:t>
      </w:r>
      <w:r>
        <w:rPr>
          <w:lang w:val="en-US"/>
        </w:rPr>
        <w:t xml:space="preserve">bind to </w:t>
      </w:r>
      <w:r w:rsidR="00A02432" w:rsidRPr="00A215E5">
        <w:rPr>
          <w:highlight w:val="yellow"/>
          <w:lang w:val="en-US"/>
        </w:rPr>
        <w:t>the</w:t>
      </w:r>
      <w:r w:rsidR="00A02432" w:rsidRPr="00A215E5">
        <w:rPr>
          <w:lang w:val="en-US"/>
        </w:rPr>
        <w:t xml:space="preserve"> </w:t>
      </w:r>
      <w:r>
        <w:rPr>
          <w:lang w:val="en-US"/>
        </w:rPr>
        <w:t xml:space="preserve">ZHE1 enzyme which therefore excludes the inhibition of </w:t>
      </w:r>
      <w:r w:rsidR="00A02432" w:rsidRPr="00A215E5">
        <w:rPr>
          <w:highlight w:val="yellow"/>
          <w:lang w:val="en-US"/>
        </w:rPr>
        <w:t>the</w:t>
      </w:r>
      <w:r w:rsidR="00A02432">
        <w:rPr>
          <w:lang w:val="en-US"/>
        </w:rPr>
        <w:t xml:space="preserve"> </w:t>
      </w:r>
      <w:r>
        <w:rPr>
          <w:lang w:val="en-US"/>
        </w:rPr>
        <w:t xml:space="preserve">ZHE1 enzyme as a possible mechanism of hatching retardation. </w:t>
      </w:r>
    </w:p>
    <w:p w14:paraId="2F2397D4" w14:textId="463CFA9B" w:rsidR="00F02E89" w:rsidRDefault="00E01693">
      <w:pPr>
        <w:spacing w:line="360" w:lineRule="auto"/>
        <w:jc w:val="both"/>
      </w:pPr>
      <w:r>
        <w:rPr>
          <w:lang w:val="en-US"/>
        </w:rPr>
        <w:t xml:space="preserve">It has been previously shown that tetraalkylammonium salts are reversible inhibitors of </w:t>
      </w:r>
      <w:proofErr w:type="spellStart"/>
      <w:r>
        <w:rPr>
          <w:lang w:val="en-US"/>
        </w:rPr>
        <w:t>cholinesterases</w:t>
      </w:r>
      <w:bookmarkStart w:id="50" w:name="__Fieldmark__14650_1509016404"/>
      <w:bookmarkEnd w:id="50"/>
      <w:proofErr w:type="spellEnd"/>
      <w:r w:rsidR="001B556E">
        <w:rPr>
          <w:lang w:val="en-US"/>
        </w:rPr>
        <w:t xml:space="preserve"> </w:t>
      </w:r>
      <w:r w:rsidR="00AC010C">
        <w:rPr>
          <w:lang w:val="en-US"/>
        </w:rPr>
        <w:fldChar w:fldCharType="begin" w:fldLock="1"/>
      </w:r>
      <w:r w:rsidR="00B20EBB">
        <w:rPr>
          <w:lang w:val="en-US"/>
        </w:rPr>
        <w:instrText>ADDIN CSL_CITATION {"citationItems":[{"id":"ITEM-1","itemData":{"DOI":"10.1046/j.1432-1033.2002.02749.x","ISSN":"00142956","abstract":"Tetraalkylammonium (TAA) salts are well known reversible inhibitors of cholinesterases. However, at concentrations around 10 mM, they have been found to activate the hydrolysis of positively charged substrates, catalyzed by wild-type human butyrylcholinesterase (EC 3.1.1.8)[Erdoes, E.G., Foldes, F.F., Zsigmond, E.K., Baart, N. &amp; Zwartz, J.A. (1958) Science 128, 92]. The present study was undertaken to determine whether the peripheral anionic site (PAS) of human BuChE (Y332, D70) and/or the catalytic substrate binding site (CS) (W82, A328) are involved in this phenomenon. For this purpose, the kinetics of butyrylthiocholine (BTC) hydrolysis by wild-type human BuChE, by selected mutants and by horse BuChE was carried out at 25°C and pH 7.0 in the presence of tetraethylammonium (TEA). It appears that human enzymes with more intact structure of the PAS show more prominent activation phenomenon. The following explanation has been put forward: TEA competes with the substrate at the peripheral site thus inhibiting the substrate hydrolysis at the CS. As the inhibition by TEA is less effective than the substrate inhibition itself, it mimics activation. At the concentrations around 40 mM, well within the range of TEA competition at both substrate binding sites, it lowers the activity of all tested enzymes.","author":[{"dropping-particle":"","family":"Stojan","given":"Jure","non-dropping-particle":"","parse-names":false,"suffix":""},{"dropping-particle":"","family":"Golicnik","given":"Marko","non-dropping-particle":"","parse-names":false,"suffix":""},{"dropping-particle":"","family":"Froment","given":"Marie Thérèse","non-dropping-particle":"","parse-names":false,"suffix":""},{"dropping-particle":"","family":"Estour","given":"Francois","non-dropping-particle":"","parse-names":false,"suffix":""},{"dropping-particle":"","family":"Masson","given":"Patrick","non-dropping-particle":"","parse-names":false,"suffix":""}],"container-title":"European Journal of Biochemistry","id":"ITEM-1","issued":{"date-parts":[["2002"]]},"title":"Concentration-dependent reversible activation-inhibition of human butyrylcholinesterase by tetraethylammonium ion","type":"article-journal"},"uris":["http://www.mendeley.com/documents/?uuid=a8d6cffe-6133-3abf-9a0d-fefaf802532a"]}],"mendeley":{"formattedCitation":"[57]","plainTextFormattedCitation":"[57]","previouslyFormattedCitation":"[57]"},"properties":{"noteIndex":0},"schema":"https://github.com/citation-style-language/schema/raw/master/csl-citation.json"}</w:instrText>
      </w:r>
      <w:r w:rsidR="00AC010C">
        <w:rPr>
          <w:lang w:val="en-US"/>
        </w:rPr>
        <w:fldChar w:fldCharType="separate"/>
      </w:r>
      <w:r w:rsidR="00B20EBB" w:rsidRPr="00B20EBB">
        <w:rPr>
          <w:noProof/>
          <w:lang w:val="en-US"/>
        </w:rPr>
        <w:t>[57]</w:t>
      </w:r>
      <w:r w:rsidR="00AC010C">
        <w:rPr>
          <w:lang w:val="en-US"/>
        </w:rPr>
        <w:fldChar w:fldCharType="end"/>
      </w:r>
      <w:r>
        <w:rPr>
          <w:lang w:val="en-US"/>
        </w:rPr>
        <w:t>,</w:t>
      </w:r>
      <w:r>
        <w:rPr>
          <w:vertAlign w:val="superscript"/>
          <w:lang w:val="en-US"/>
        </w:rPr>
        <w:t>⁠</w:t>
      </w:r>
      <w:r>
        <w:rPr>
          <w:lang w:val="en-US"/>
        </w:rPr>
        <w:t xml:space="preserve"> which was our rationale behind investigating whether TEA binds to and inhibits ZHE1 enzyme. Another study has shown that organic cations, such as tetramethylammonium (TMA) and TEA, can replace Mg</w:t>
      </w:r>
      <w:r>
        <w:rPr>
          <w:vertAlign w:val="superscript"/>
          <w:lang w:val="en-US"/>
        </w:rPr>
        <w:t>2+</w:t>
      </w:r>
      <w:r>
        <w:rPr>
          <w:lang w:val="en-US"/>
        </w:rPr>
        <w:t xml:space="preserve"> and Ca</w:t>
      </w:r>
      <w:r>
        <w:rPr>
          <w:vertAlign w:val="superscript"/>
          <w:lang w:val="en-US"/>
        </w:rPr>
        <w:t>2+</w:t>
      </w:r>
      <w:r>
        <w:rPr>
          <w:lang w:val="en-US"/>
        </w:rPr>
        <w:t xml:space="preserve"> ions in bacteriorhodopsin and maintain proton pumping ability</w:t>
      </w:r>
      <w:bookmarkStart w:id="51" w:name="__Fieldmark__14661_1509016404"/>
      <w:bookmarkEnd w:id="51"/>
      <w:r w:rsidR="001B556E">
        <w:rPr>
          <w:lang w:val="en-US"/>
        </w:rPr>
        <w:t xml:space="preserve"> </w:t>
      </w:r>
      <w:r w:rsidR="00AC010C">
        <w:rPr>
          <w:lang w:val="en-US"/>
        </w:rPr>
        <w:fldChar w:fldCharType="begin" w:fldLock="1"/>
      </w:r>
      <w:r w:rsidR="00B20EBB">
        <w:rPr>
          <w:lang w:val="en-US"/>
        </w:rPr>
        <w:instrText>ADDIN CSL_CITATION {"citationItems":[{"id":"ITEM-1","itemData":{"DOI":"10.1021/ja953491+","ISSN":"00027863","author":[{"dropping-particle":"","family":"Tan","given":"Eric H.L.","non-dropping-particle":"","parse-names":false,"suffix":""},{"dropping-particle":"","family":"Govender","given":"Deshan S.K.","non-dropping-particle":"","parse-names":false,"suffix":""},{"dropping-particle":"","family":"Birge","given":"Robert R.","non-dropping-particle":"","parse-names":false,"suffix":""}],"container-title":"Journal of the American Chemical Society","id":"ITEM-1","issued":{"date-parts":[["1996"]]},"title":"Large organic cations can replace Mg2+ and Ca2+ ions in bacteriorhodopsin and maintain proton pumping ability","type":"article-journal"},"uris":["http://www.mendeley.com/documents/?uuid=eb320fe7-e7eb-3a0b-9106-8cf344973c62"]}],"mendeley":{"formattedCitation":"[58]","plainTextFormattedCitation":"[58]","previouslyFormattedCitation":"[58]"},"properties":{"noteIndex":0},"schema":"https://github.com/citation-style-language/schema/raw/master/csl-citation.json"}</w:instrText>
      </w:r>
      <w:r w:rsidR="00AC010C">
        <w:rPr>
          <w:lang w:val="en-US"/>
        </w:rPr>
        <w:fldChar w:fldCharType="separate"/>
      </w:r>
      <w:r w:rsidR="00B20EBB" w:rsidRPr="00B20EBB">
        <w:rPr>
          <w:noProof/>
          <w:lang w:val="en-US"/>
        </w:rPr>
        <w:t>[58]</w:t>
      </w:r>
      <w:r w:rsidR="00AC010C">
        <w:rPr>
          <w:lang w:val="en-US"/>
        </w:rPr>
        <w:fldChar w:fldCharType="end"/>
      </w:r>
      <w:r>
        <w:rPr>
          <w:lang w:val="en-US"/>
        </w:rPr>
        <w:t>.⁠ In our case, displacement of Zn</w:t>
      </w:r>
      <w:r>
        <w:rPr>
          <w:vertAlign w:val="superscript"/>
          <w:lang w:val="en-US"/>
        </w:rPr>
        <w:t>2+</w:t>
      </w:r>
      <w:r>
        <w:rPr>
          <w:lang w:val="en-US"/>
        </w:rPr>
        <w:t xml:space="preserve"> ions with organic cation would inhibit the enzyme and consequently, the hatching process, because zebrafish hatching enzyme 1 is a Zn-protease needing Zn</w:t>
      </w:r>
      <w:r>
        <w:rPr>
          <w:vertAlign w:val="superscript"/>
          <w:lang w:val="en-US"/>
        </w:rPr>
        <w:t>2+</w:t>
      </w:r>
      <w:r>
        <w:rPr>
          <w:lang w:val="en-US"/>
        </w:rPr>
        <w:t xml:space="preserve"> as a catalytically active cation. This is in line with the previous study that demonstrated complete loss of enzyme activity in the presence of a chelating agent EDTA</w:t>
      </w:r>
      <w:bookmarkStart w:id="52" w:name="__Fieldmark__14670_1509016404"/>
      <w:bookmarkEnd w:id="52"/>
      <w:r w:rsidR="001B556E">
        <w:rPr>
          <w:lang w:val="en-US"/>
        </w:rPr>
        <w:t xml:space="preserve"> </w:t>
      </w:r>
      <w:r w:rsidR="009314B4">
        <w:rPr>
          <w:lang w:val="en-US"/>
        </w:rPr>
        <w:fldChar w:fldCharType="begin" w:fldLock="1"/>
      </w:r>
      <w:r w:rsidR="00B20EBB">
        <w:rPr>
          <w:lang w:val="en-US"/>
        </w:rPr>
        <w:instrText>ADDIN CSL_CITATION {"citationItems":[{"id":"ITEM-1","itemData":{"DOI":"10.1111/j.1742-4658.2008.06722.x","ISSN":"1742464X","abstract":"There are two hatching enzyme homologues in the zebrafish genome: zebrafish hatching enzyme ZHE1 and ZHE2. Northern blot and RT-PCR analysis revealed that ZHE1 was mainly expressed in pre-hatching embryos, whereas ZHE2 was rarely expressed. This was consistent with the results obtained in an experiment conducted at the protein level, which demonstrated that one kind of hatching enzyme, ZHE1, was able to be purified from the hatching liquid. Therefore, the hatching of zebrafish embryo is performed by a single enzyme, different from the finding that the medaka hatching enzyme is an enzyme system composed of two enzymes, medaka high choriolytic enzyme (MHCE) and medaka low choriolytic enzyme (MLCE), which cooperatively digest the egg envelope. The six ZHE1-cleaving sites were located in the N-terminal regions of egg envelope subunit proteins, ZP2 and ZP3, but not in the internal regions, such as the ZP domains. The digestion manner of ZHE1 appears to be highly analogous to that of MHCE, which partially digests the egg envelope and swells the envelope. The cross-species digestion using enzymes and substrates of zebrafish and medaka revealed that both ZHE1 and MHCE cleaved the same sites of the egg envelope proteins of two species, suggesting that the substrate specificity of ZHE1 is quite similar to that of MHCE. However, MLCE did not show such similarity. Because HCE and LCE are the result of gene duplication in the evolutionary pathway of Teleostei, the present study suggests that ZHE1 and MHCE maintain the character of an ancestral hatching enzyme, and that MLCE acquires a new function, such as promoting the complete digestion of the egg envelope swollen by MHCE. © 2008 The Authors.","author":[{"dropping-particle":"","family":"Sano","given":"Kaori","non-dropping-particle":"","parse-names":false,"suffix":""},{"dropping-particle":"","family":"Inohaya","given":"Keiji","non-dropping-particle":"","parse-names":false,"suffix":""},{"dropping-particle":"","family":"Kawaguchi","given":"Mari","non-dropping-particle":"","parse-names":false,"suffix":""},{"dropping-particle":"","family":"Yoshizaki","given":"Norio","non-dropping-particle":"","parse-names":false,"suffix":""},{"dropping-particle":"","family":"Iuchi","given":"Ichiro","non-dropping-particle":"","parse-names":false,"suffix":""},{"dropping-particle":"","family":"Yasumasu","given":"Shigeki","non-dropping-particle":"","parse-names":false,"suffix":""}],"container-title":"FEBS Journal","id":"ITEM-1","issued":{"date-parts":[["2008"]]},"title":"Purification and characterization of zebrafish hatching enzyme - An evolutionary aspect of the mechanism of egg envelope digestion","type":"article-journal"},"uris":["http://www.mendeley.com/documents/?uuid=b3c10d7c-2ae3-352b-a024-3e4fd9f0a0ca"]}],"mendeley":{"formattedCitation":"[56]","plainTextFormattedCitation":"[56]","previouslyFormattedCitation":"[56]"},"properties":{"noteIndex":0},"schema":"https://github.com/citation-style-language/schema/raw/master/csl-citation.json"}</w:instrText>
      </w:r>
      <w:r w:rsidR="009314B4">
        <w:rPr>
          <w:lang w:val="en-US"/>
        </w:rPr>
        <w:fldChar w:fldCharType="separate"/>
      </w:r>
      <w:r w:rsidR="00B20EBB" w:rsidRPr="00B20EBB">
        <w:rPr>
          <w:noProof/>
          <w:lang w:val="en-US"/>
        </w:rPr>
        <w:t>[56]</w:t>
      </w:r>
      <w:r w:rsidR="009314B4">
        <w:rPr>
          <w:lang w:val="en-US"/>
        </w:rPr>
        <w:fldChar w:fldCharType="end"/>
      </w:r>
      <w:r>
        <w:rPr>
          <w:lang w:val="en-US"/>
        </w:rPr>
        <w:t>.⁠ It has also been demonstrated that 4 metal oxide nanoparticles (</w:t>
      </w:r>
      <w:proofErr w:type="spellStart"/>
      <w:r>
        <w:rPr>
          <w:lang w:val="en-US"/>
        </w:rPr>
        <w:t>CuO</w:t>
      </w:r>
      <w:proofErr w:type="spellEnd"/>
      <w:r>
        <w:rPr>
          <w:lang w:val="en-US"/>
        </w:rPr>
        <w:t xml:space="preserve">, </w:t>
      </w:r>
      <w:proofErr w:type="spellStart"/>
      <w:r>
        <w:rPr>
          <w:lang w:val="en-US"/>
        </w:rPr>
        <w:t>ZnO</w:t>
      </w:r>
      <w:proofErr w:type="spellEnd"/>
      <w:r>
        <w:rPr>
          <w:lang w:val="en-US"/>
        </w:rPr>
        <w:t>, Cr</w:t>
      </w:r>
      <w:r>
        <w:rPr>
          <w:vertAlign w:val="subscript"/>
          <w:lang w:val="en-US"/>
        </w:rPr>
        <w:t>2</w:t>
      </w:r>
      <w:r>
        <w:rPr>
          <w:lang w:val="en-US"/>
        </w:rPr>
        <w:t>O</w:t>
      </w:r>
      <w:r>
        <w:rPr>
          <w:vertAlign w:val="subscript"/>
          <w:lang w:val="en-US"/>
        </w:rPr>
        <w:t>3</w:t>
      </w:r>
      <w:r w:rsidR="00F75E72">
        <w:rPr>
          <w:vertAlign w:val="subscript"/>
          <w:lang w:val="en-US"/>
        </w:rPr>
        <w:t>,</w:t>
      </w:r>
      <w:r>
        <w:rPr>
          <w:lang w:val="en-US"/>
        </w:rPr>
        <w:t xml:space="preserve"> and </w:t>
      </w:r>
      <w:proofErr w:type="spellStart"/>
      <w:r>
        <w:rPr>
          <w:lang w:val="en-US"/>
        </w:rPr>
        <w:t>NiO</w:t>
      </w:r>
      <w:proofErr w:type="spellEnd"/>
      <w:r>
        <w:rPr>
          <w:lang w:val="en-US"/>
        </w:rPr>
        <w:t xml:space="preserve">) interfere with zebrafish hatching by shedding metal ions which then ligate to critical </w:t>
      </w:r>
      <w:proofErr w:type="spellStart"/>
      <w:r>
        <w:rPr>
          <w:lang w:val="en-US"/>
        </w:rPr>
        <w:t>histidines</w:t>
      </w:r>
      <w:proofErr w:type="spellEnd"/>
      <w:r>
        <w:rPr>
          <w:lang w:val="en-US"/>
        </w:rPr>
        <w:t xml:space="preserve"> in the ZHE1 active site</w:t>
      </w:r>
      <w:r w:rsidR="001B556E">
        <w:rPr>
          <w:lang w:val="en-US"/>
        </w:rPr>
        <w:t xml:space="preserve"> </w:t>
      </w:r>
      <w:r w:rsidR="009314B4">
        <w:rPr>
          <w:lang w:val="en-US"/>
        </w:rPr>
        <w:fldChar w:fldCharType="begin" w:fldLock="1"/>
      </w:r>
      <w:r w:rsidR="00B20EBB">
        <w:rPr>
          <w:lang w:val="en-US"/>
        </w:rPr>
        <w:instrText>ADDIN CSL_CITATION {"citationItems":[{"id":"ITEM-1","itemData":{"DOI":"10.1002/smll.201202128","ISSN":"16136810","abstract":"The zebrafish is emerging as a model organism for the safety assessment and hazard ranking of engineered nanomaterials. In this Communication, the implementation of a roboticized high-throughput screening (HTS) platform with automated image analysis is demonstrated to assess the impact of dissolvable oxide nanoparticles on embryo hatching. It is further demonstrated that this hatching interference is mechanistically linked to an effect on the metalloprotease, ZHE 1, which is responsible for degradation of the chorionic membrane. The data indicate that 4 of 24 metal oxide nanoparticles (CuO, ZnO, Cr2O3, and NiO) could interfere with embryo hatching by a chelator-sensitive mechanism that involves ligation of critical histidines in the ZHE1 center by the shed metal ions. A recombinant ZHE1 enzymatic assay is established to demonstrate that the dialysates from the same materials responsible for hatching interference also inhibit ZHE1 activity in a dose-dependent fashion. A peptide-based BLAST search identifies several additional aquatic species that express enzymes with homologous histidine-based catalytic centers, suggesting that the ZHE1 mechanistic paradigm could be used to predict the toxicity of a large number of oxide nanoparticles that pose a hazard to aquatic species. Automated high-throughput screening using zebrafish embryos is used for hazard assessment of 24 representative metal oxide nanoparticles. Four nanoparticles are found to interfere with zebrafish embryo hatching. Hatching interference is a result of toxic metal ion shedding from nanoparticles, compromising the zebrafish hatching enzyme 1 (ZHE1) activity. The structural and functional similarities of hatching enzymes across fish species suggest that the ZHE1 mechanistic paradigm could be used to predict the toxicity of a large number of engineered nanoparticles. Copyright © 2013 WILEY-VCH Verlag GmbH &amp; Co. KGaA, Weinheim.","author":[{"dropping-particle":"","family":"Lin","given":"Sijie","non-dropping-particle":"","parse-names":false,"suffix":""},{"dropping-particle":"","family":"Zhao","given":"Yan","non-dropping-particle":"","parse-names":false,"suffix":""},{"dropping-particle":"","family":"Ji","given":"Zhaoxia","non-dropping-particle":"","parse-names":false,"suffix":""},{"dropping-particle":"","family":"Ear","given":"Jason","non-dropping-particle":"","parse-names":false,"suffix":""},{"dropping-particle":"","family":"Chang","given":"Chong Hyun","non-dropping-particle":"","parse-names":false,"suffix":""},{"dropping-particle":"","family":"Zhang","given":"Haiyuan","non-dropping-particle":"","parse-names":false,"suffix":""},{"dropping-particle":"","family":"Low-Kam","given":"Cecile","non-dropping-particle":"","parse-names":false,"suffix":""},{"dropping-particle":"","family":"Yamada","given":"Kristin","non-dropping-particle":"","parse-names":false,"suffix":""},{"dropping-particle":"","family":"Meng","given":"Huan","non-dropping-particle":"","parse-names":false,"suffix":""},{"dropping-particle":"","family":"Wang","given":"Xiang","non-dropping-particle":"","parse-names":false,"suffix":""},{"dropping-particle":"","family":"Liu","given":"Rong","non-dropping-particle":"","parse-names":false,"suffix":""},{"dropping-particle":"","family":"Pokhrel","given":"Suman","non-dropping-particle":"","parse-names":false,"suffix":""},{"dropping-particle":"","family":"Mädler","given":"Lutz","non-dropping-particle":"","parse-names":false,"suffix":""},{"dropping-particle":"","family":"Damoiseaux","given":"Robert","non-dropping-particle":"","parse-names":false,"suffix":""},{"dropping-particle":"","family":"Xia","given":"Tian","non-dropping-particle":"","parse-names":false,"suffix":""},{"dropping-particle":"","family":"Godwin","given":"Hilary A.","non-dropping-particle":"","parse-names":false,"suffix":""},{"dropping-particle":"","family":"Lin","given":"Shuo","non-dropping-particle":"","parse-names":false,"suffix":""},{"dropping-particle":"","family":"Nel","given":"André E.","non-dropping-particle":"","parse-names":false,"suffix":""}],"container-title":"Small","id":"ITEM-1","issued":{"date-parts":[["2013"]]},"title":"Zebrafish high-throughput screening to study the impact of dissolvable metal oxide nanoparticles on the hatching enzyme, ZHE1","type":"article-journal"},"uris":["http://www.mendeley.com/documents/?uuid=056be6b2-0d85-308f-be4d-16c62e3bb02d"]}],"mendeley":{"formattedCitation":"[59]","plainTextFormattedCitation":"[59]","previouslyFormattedCitation":"[59]"},"properties":{"noteIndex":0},"schema":"https://github.com/citation-style-language/schema/raw/master/csl-citation.json"}</w:instrText>
      </w:r>
      <w:r w:rsidR="009314B4">
        <w:rPr>
          <w:lang w:val="en-US"/>
        </w:rPr>
        <w:fldChar w:fldCharType="separate"/>
      </w:r>
      <w:r w:rsidR="00B20EBB" w:rsidRPr="00B20EBB">
        <w:rPr>
          <w:noProof/>
          <w:lang w:val="en-US"/>
        </w:rPr>
        <w:t>[59]</w:t>
      </w:r>
      <w:r w:rsidR="009314B4">
        <w:rPr>
          <w:lang w:val="en-US"/>
        </w:rPr>
        <w:fldChar w:fldCharType="end"/>
      </w:r>
      <w:r>
        <w:rPr>
          <w:lang w:val="en-US"/>
        </w:rPr>
        <w:t>.</w:t>
      </w:r>
      <w:r>
        <w:rPr>
          <w:vertAlign w:val="superscript"/>
          <w:lang w:val="en-US"/>
        </w:rPr>
        <w:t>⁠</w:t>
      </w:r>
      <w:r>
        <w:rPr>
          <w:lang w:val="en-US"/>
        </w:rPr>
        <w:t xml:space="preserve"> In another study, the addition of the metal ion chelator, diethylene </w:t>
      </w:r>
      <w:proofErr w:type="spellStart"/>
      <w:r>
        <w:rPr>
          <w:lang w:val="en-US"/>
        </w:rPr>
        <w:t>triamine</w:t>
      </w:r>
      <w:proofErr w:type="spellEnd"/>
      <w:r>
        <w:rPr>
          <w:lang w:val="en-US"/>
        </w:rPr>
        <w:t xml:space="preserve"> </w:t>
      </w:r>
      <w:proofErr w:type="spellStart"/>
      <w:r>
        <w:rPr>
          <w:lang w:val="en-US"/>
        </w:rPr>
        <w:t>pentaacetic</w:t>
      </w:r>
      <w:proofErr w:type="spellEnd"/>
      <w:r>
        <w:rPr>
          <w:lang w:val="en-US"/>
        </w:rPr>
        <w:t xml:space="preserve"> acid (DTPA), reversed the hatching interference of the shed Cu</w:t>
      </w:r>
      <w:r>
        <w:rPr>
          <w:vertAlign w:val="superscript"/>
          <w:lang w:val="en-US"/>
        </w:rPr>
        <w:t>2+</w:t>
      </w:r>
      <w:r>
        <w:rPr>
          <w:lang w:val="en-US"/>
        </w:rPr>
        <w:t>, Zn</w:t>
      </w:r>
      <w:r>
        <w:rPr>
          <w:vertAlign w:val="superscript"/>
          <w:lang w:val="en-US"/>
        </w:rPr>
        <w:t>2+</w:t>
      </w:r>
      <w:r>
        <w:rPr>
          <w:lang w:val="en-US"/>
        </w:rPr>
        <w:t>, and Ni</w:t>
      </w:r>
      <w:r>
        <w:rPr>
          <w:vertAlign w:val="superscript"/>
          <w:lang w:val="en-US"/>
        </w:rPr>
        <w:t>2+</w:t>
      </w:r>
      <w:r>
        <w:rPr>
          <w:lang w:val="en-US"/>
        </w:rPr>
        <w:t xml:space="preserve"> cations, proving that inhibition is indeed due to the shedding of metal ions</w:t>
      </w:r>
      <w:r w:rsidR="001B556E">
        <w:rPr>
          <w:lang w:val="en-US"/>
        </w:rPr>
        <w:t xml:space="preserve"> </w:t>
      </w:r>
      <w:r w:rsidR="0050232C">
        <w:rPr>
          <w:lang w:val="en-US"/>
        </w:rPr>
        <w:fldChar w:fldCharType="begin" w:fldLock="1"/>
      </w:r>
      <w:r w:rsidR="00B20EBB">
        <w:rPr>
          <w:lang w:val="en-US"/>
        </w:rPr>
        <w:instrText>ADDIN CSL_CITATION {"citationItems":[{"id":"ITEM-1","itemData":{"DOI":"10.1021/nn202116p","ISSN":"19360851","abstract":"Zebrafish is an aquatic organism that can be used for high content safety screening of engineered nanomaterials (ENMs). We demonstrate, for the first time, the use of high content bright-field and fluorescence-based imaging to compare the toxicological effect of transition metal oxide (CuO, ZnO, NiO, and Co3O4) nanoparticles in zebrafish embryos and larvae. High content bright-field imaging demonstrated potent and dose-dependent hatching interference in the embryos, with the exception of Co3O4 which was relatively inert. We propose that the hatching interference was due to the shedding of Cu and Ni ions, compromising the activity of the hatching enzyme, ZHE1, similar to what we previously proposed for Zn2+. This hypothesis is based on the presence of metal-sensitive histidines in the catalytic center of this enzyme. Co-introduction of a metal ion chelator, diethylene triamine pentaacetic acid (DTPA), reversed the hatching interference of Cu, Zn, and Ni. While neither the embryos nor larvae demonstrated morphological abnormalities, high content fluorescence-based imaging demonstrated that CuO, ZnO, and NiO could induce increased expression of the heat shock protein 70:enhanced green fluorescence protein (hsp70:eGFP) in transgenic zebrafish larvae. Induction of this response by CuO required a higher nanoparticle dose than the amount leading to hatching interference. This response was also DTPA-sensitive. We demonstrate that high content imaging of embryo development, morphological abnormalities, and HSP70 expression can be used for hazard ranking and determining the dose-response relationships leading to ENM effects on the development of the zebrafish embryo. © 2011 American Chemical Society.","author":[{"dropping-particle":"","family":"Lin","given":"Sijie","non-dropping-particle":"","parse-names":false,"suffix":""},{"dropping-particle":"","family":"Zhao","given":"Yan","non-dropping-particle":"","parse-names":false,"suffix":""},{"dropping-particle":"","family":"Xia","given":"Tian","non-dropping-particle":"","parse-names":false,"suffix":""},{"dropping-particle":"","family":"Meng","given":"Huan","non-dropping-particle":"","parse-names":false,"suffix":""},{"dropping-particle":"","family":"Ji","given":"Zhaoxia","non-dropping-particle":"","parse-names":false,"suffix":""},{"dropping-particle":"","family":"Liu","given":"Rong","non-dropping-particle":"","parse-names":false,"suffix":""},{"dropping-particle":"","family":"George","given":"Saji","non-dropping-particle":"","parse-names":false,"suffix":""},{"dropping-particle":"","family":"Xiong","given":"Sijing","non-dropping-particle":"","parse-names":false,"suffix":""},{"dropping-particle":"","family":"Wang","given":"Xiang","non-dropping-particle":"","parse-names":false,"suffix":""},{"dropping-particle":"","family":"Zhang","given":"Haiyuan","non-dropping-particle":"","parse-names":false,"suffix":""},{"dropping-particle":"","family":"Pokhrel","given":"Suman","non-dropping-particle":"","parse-names":false,"suffix":""},{"dropping-particle":"","family":"Mädler","given":"Lutz","non-dropping-particle":"","parse-names":false,"suffix":""},{"dropping-particle":"","family":"Damoiseaux","given":"Robert","non-dropping-particle":"","parse-names":false,"suffix":""},{"dropping-particle":"","family":"Lin","given":"Shuo","non-dropping-particle":"","parse-names":false,"suffix":""},{"dropping-particle":"","family":"Nel","given":"Andre E.","non-dropping-particle":"","parse-names":false,"suffix":""}],"container-title":"ACS Nano","id":"ITEM-1","issued":{"date-parts":[["2011"]]},"title":"High content screening in zebrafish speeds up hazard ranking of transition metal oxide nanoparticles","type":"article"},"uris":["http://www.mendeley.com/documents/?uuid=524cff66-cbd8-3bdc-9db9-5f0c59df2b0f"]}],"mendeley":{"formattedCitation":"[60]","plainTextFormattedCitation":"[60]","previouslyFormattedCitation":"[60]"},"properties":{"noteIndex":0},"schema":"https://github.com/citation-style-language/schema/raw/master/csl-citation.json"}</w:instrText>
      </w:r>
      <w:r w:rsidR="0050232C">
        <w:rPr>
          <w:lang w:val="en-US"/>
        </w:rPr>
        <w:fldChar w:fldCharType="separate"/>
      </w:r>
      <w:r w:rsidR="00B20EBB" w:rsidRPr="00B20EBB">
        <w:rPr>
          <w:noProof/>
          <w:lang w:val="en-US"/>
        </w:rPr>
        <w:t>[60]</w:t>
      </w:r>
      <w:r w:rsidR="0050232C">
        <w:rPr>
          <w:lang w:val="en-US"/>
        </w:rPr>
        <w:fldChar w:fldCharType="end"/>
      </w:r>
      <w:r>
        <w:rPr>
          <w:lang w:val="en-US"/>
        </w:rPr>
        <w:t>.⁠ Moreover, studies conducted on related zinc metalloprotease showed that substituting Zn</w:t>
      </w:r>
      <w:r>
        <w:rPr>
          <w:vertAlign w:val="superscript"/>
          <w:lang w:val="en-US"/>
        </w:rPr>
        <w:t>2+</w:t>
      </w:r>
      <w:r>
        <w:rPr>
          <w:lang w:val="en-US"/>
        </w:rPr>
        <w:t xml:space="preserve"> with Cu</w:t>
      </w:r>
      <w:r>
        <w:rPr>
          <w:vertAlign w:val="superscript"/>
          <w:lang w:val="en-US"/>
        </w:rPr>
        <w:t>2+</w:t>
      </w:r>
      <w:r>
        <w:rPr>
          <w:lang w:val="en-US"/>
        </w:rPr>
        <w:t xml:space="preserve"> or Ni</w:t>
      </w:r>
      <w:r>
        <w:rPr>
          <w:vertAlign w:val="superscript"/>
          <w:lang w:val="en-US"/>
        </w:rPr>
        <w:t>2+</w:t>
      </w:r>
      <w:r>
        <w:rPr>
          <w:lang w:val="en-US"/>
        </w:rPr>
        <w:t xml:space="preserve"> results in reduced or diminished enzyme activity</w:t>
      </w:r>
      <w:r w:rsidR="001B556E">
        <w:rPr>
          <w:lang w:val="en-US"/>
        </w:rPr>
        <w:t xml:space="preserve"> </w:t>
      </w:r>
      <w:r w:rsidR="0050232C">
        <w:rPr>
          <w:lang w:val="en-US"/>
        </w:rPr>
        <w:fldChar w:fldCharType="begin" w:fldLock="1"/>
      </w:r>
      <w:r w:rsidR="00B20EBB">
        <w:rPr>
          <w:lang w:val="en-US"/>
        </w:rPr>
        <w:instrText>ADDIN CSL_CITATION {"citationItems":[{"id":"ITEM-1","itemData":{"DOI":"10.4061/2011/574816","ISSN":"2090-0112","abstract":" Almost all naturally occurring metalloproteases are monozinc enzymes. The zinc in any number of zinc metalloproteases has been substituted by some other divalent cation. Almost all Co(II)- or Mn(II)-substituted enzymes maintain the catalytic activity of their zinc counterparts. However, in the case of Cu(II) substitution of zinc proteases, a great number of enzymes are not active, for example, thermolysin, carboxypeptidase A, endopeptidase from Lactococcus lactis , or aminopeptidase B, while some do have catalytic activity, for example, astacin (37%) and DPP III (100%). Based on structural studies of various metal-substituted enzymes, for example, thermolysin, astacin, aminopeptidase B, dipeptidyl peptidase (DPP) III, and del-DPP III, the metal coordination geometries of both active and inactive Cu(II)-substituted enzymes are shown to be the same as those of the wild-type Zn(II) enzymes. Therefore, the enzyme activity of a copper-ion-substituted zinc metalloprotease may depend on the flexibility of catalytic domain. ","author":[{"dropping-particle":"","family":"Fukasawa","given":"Kayoko M.","non-dropping-particle":"","parse-names":false,"suffix":""},{"dropping-particle":"","family":"Hata","given":"Toshiyuki","non-dropping-particle":"","parse-names":false,"suffix":""},{"dropping-particle":"","family":"Ono","given":"Yukio","non-dropping-particle":"","parse-names":false,"suffix":""},{"dropping-particle":"","family":"Hirose","given":"Junzo","non-dropping-particle":"","parse-names":false,"suffix":""}],"container-title":"Journal of Amino Acids","id":"ITEM-1","issued":{"date-parts":[["2011"]]},"title":"Metal Preferences of Zinc-Binding Motif on Metalloproteases","type":"article-journal"},"uris":["http://www.mendeley.com/documents/?uuid=2e3b9ad3-b04b-36c1-8e02-bbe494058cb3"]},{"id":"ITEM-2","itemData":{"DOI":"10.2210/pdb1iaa/pdb","ISSN":"00219258","abstract":"The catalytic zinc ion of astacin, a prototypical metalloproteinase from crayfish, has been substituted by Co(II), Cu(II), Hg(II), and Ni(II) in order to probe the role of the metal for both catalysis and structure. Compared to Zn(II)-astacin, Co(II)- and Cu(II)-astacin display enzymatic activities of about 140 and 37%, respectively, while Ni(II)- and Hg(II)-astacin are almost inactive. The electron paramagnetic resonance spectrum of Cu(II)-astacin is typical of 5-fold coordinated copper(II), and its intense absorption maxima at 445 and 325 nm are probably due to ligand-metal charge-transfer transitions involving Tyr-149. This residue had been identified previously by x-ray crystallography of the zinc enzyme as a zinc ligand, in addition to three imidazoles and a glutamic acid-bound water molecule. We present now the refined high-resolution x-ray crystal structures of Cu(II)-, Co(II)-, and Ni(II)-astacin, which exhibit a virtually identical protein framework to the previously analyzed structures of Zn(II)-, apo-, and Hg(II)-astacin. In Co(II)- and Cu(II)-astacin, the metal is penta-coordinated similarly to the native zinc enzyme. In the Ni(II) derivative, however, an additional solvent molecule expands the metal coordination sphere to a distorted octahedral ligand geometry, while in Hg(II)-astacin, no ordered solvent molecule at all is observed in the inner coordination sphere of the metal. This indicates a close correlation between catalytic properties and ground-state metal coordination of astacin.","author":[{"dropping-particle":"","family":"Gomis-Ruth","given":"F. X.","non-dropping-particle":"","parse-names":false,"suffix":""},{"dropping-particle":"","family":"Grams","given":"F.","non-dropping-particle":"","parse-names":false,"suffix":""},{"dropping-particle":"","family":"Yiallouros","given":"I.","non-dropping-particle":"","parse-names":false,"suffix":""},{"dropping-particle":"","family":"Nar","given":"H.","non-dropping-particle":"","parse-names":false,"suffix":""},{"dropping-particle":"","family":"Kusthardt","given":"U.","non-dropping-particle":"","parse-names":false,"suffix":""},{"dropping-particle":"","family":"Zwilling","given":"R.","non-dropping-particle":"","parse-names":false,"suffix":""},{"dropping-particle":"","family":"Bode","given":"W.","non-dropping-particle":"","parse-names":false,"suffix":""},{"dropping-particle":"","family":"Stocker","given":"W.","non-dropping-particle":"","parse-names":false,"suffix":""}],"container-title":"Journal of Biological Chemistry","id":"ITEM-2","issued":{"date-parts":[["1994"]]},"title":"Crystal structures, spectroscopic features, and catalytic properties of cobalt(II), copper(II), nickel(II), mercury(II) derivatives of the zinc endopeptidase astacin. A correlation of structure and proteolytic activity","type":"article-journal"},"uris":["http://www.mendeley.com/documents/?uuid=2c19d0a1-b0c8-30c5-93c8-08adbf8a2620"]}],"mendeley":{"formattedCitation":"[61,62]","plainTextFormattedCitation":"[61,62]","previouslyFormattedCitation":"[61,62]"},"properties":{"noteIndex":0},"schema":"https://github.com/citation-style-language/schema/raw/master/csl-citation.json"}</w:instrText>
      </w:r>
      <w:r w:rsidR="0050232C">
        <w:rPr>
          <w:lang w:val="en-US"/>
        </w:rPr>
        <w:fldChar w:fldCharType="separate"/>
      </w:r>
      <w:r w:rsidR="00B20EBB" w:rsidRPr="00B20EBB">
        <w:rPr>
          <w:noProof/>
          <w:lang w:val="en-US"/>
        </w:rPr>
        <w:t>[61,62]</w:t>
      </w:r>
      <w:r w:rsidR="0050232C">
        <w:rPr>
          <w:lang w:val="en-US"/>
        </w:rPr>
        <w:fldChar w:fldCharType="end"/>
      </w:r>
      <w:r>
        <w:rPr>
          <w:lang w:val="en-US"/>
        </w:rPr>
        <w:t>.⁠ Therefore, to investigate whether TEA could replace Zn</w:t>
      </w:r>
      <w:r>
        <w:rPr>
          <w:vertAlign w:val="superscript"/>
          <w:lang w:val="en-US"/>
        </w:rPr>
        <w:t>2+</w:t>
      </w:r>
      <w:r>
        <w:rPr>
          <w:lang w:val="en-US"/>
        </w:rPr>
        <w:t xml:space="preserve"> and stay stably bound, which would result in an inactive enzyme, we have additionally prepared another complex of ZHE1 with TEA, in which the organic cation occupies Zn</w:t>
      </w:r>
      <w:r>
        <w:rPr>
          <w:vertAlign w:val="superscript"/>
          <w:lang w:val="en-US"/>
        </w:rPr>
        <w:t>2+</w:t>
      </w:r>
      <w:r>
        <w:rPr>
          <w:lang w:val="en-US"/>
        </w:rPr>
        <w:t xml:space="preserve"> binding site. However, our three independent MD simulations showed that TEA dissociates from the enzyme into bulk water within the first 15 ns of MD simulations. Thus, TEA does not inhibit the enzyme by displacing the Zn</w:t>
      </w:r>
      <w:r>
        <w:rPr>
          <w:vertAlign w:val="superscript"/>
          <w:lang w:val="en-US"/>
        </w:rPr>
        <w:t>2+</w:t>
      </w:r>
      <w:r>
        <w:rPr>
          <w:lang w:val="en-US"/>
        </w:rPr>
        <w:t xml:space="preserve"> cation. </w:t>
      </w:r>
    </w:p>
    <w:p w14:paraId="038471EB" w14:textId="77777777" w:rsidR="00F02E89" w:rsidRDefault="00F02E89">
      <w:pPr>
        <w:spacing w:line="360" w:lineRule="auto"/>
        <w:jc w:val="both"/>
        <w:rPr>
          <w:lang w:val="en-US"/>
        </w:rPr>
      </w:pPr>
    </w:p>
    <w:p w14:paraId="0B12E5F1" w14:textId="77777777" w:rsidR="00F02E89" w:rsidRDefault="00E01693">
      <w:pPr>
        <w:spacing w:line="360" w:lineRule="auto"/>
        <w:jc w:val="both"/>
        <w:rPr>
          <w:b/>
          <w:lang w:val="en-US"/>
        </w:rPr>
      </w:pPr>
      <w:r>
        <w:rPr>
          <w:b/>
          <w:lang w:val="en-US"/>
        </w:rPr>
        <w:t xml:space="preserve">3.3. ROS and apoptosis detection </w:t>
      </w:r>
    </w:p>
    <w:p w14:paraId="6F0C1069" w14:textId="3ADDB513" w:rsidR="00F02E89" w:rsidRDefault="00A379B0">
      <w:pPr>
        <w:spacing w:line="360" w:lineRule="auto"/>
        <w:jc w:val="both"/>
      </w:pPr>
      <w:r w:rsidRPr="00A379B0">
        <w:rPr>
          <w:highlight w:val="yellow"/>
          <w:lang w:val="en-US"/>
        </w:rPr>
        <w:t>Generation of ROS and apoptosis are normal parts of the development and essential for normal cellular functioning. Despite, homeostatic cellular balance can be disrupted by exposure to e.g. toxicants, consequently resulting in ROS overproduction and cell death.</w:t>
      </w:r>
      <w:r w:rsidRPr="00A379B0">
        <w:rPr>
          <w:lang w:val="en-US"/>
        </w:rPr>
        <w:t xml:space="preserve"> </w:t>
      </w:r>
      <w:r w:rsidR="00E01693">
        <w:rPr>
          <w:lang w:val="en-US"/>
        </w:rPr>
        <w:t xml:space="preserve">Zebrafish exposure to </w:t>
      </w:r>
      <w:r w:rsidR="00E01693">
        <w:rPr>
          <w:lang w:val="en-US"/>
        </w:rPr>
        <w:lastRenderedPageBreak/>
        <w:t xml:space="preserve">pristine BEA-140 and BEA-600 samples, as well as TEAOH, resulted in a significant increase of the mean green fluorescence intensity (Fig. 6). Contrary, DCF and AO staining showed no significant ROS and/or apoptosis formation during exposure to calcined zeolite samples (Fig. 6, b). The highest increase of ROS production in larvae exposed to BEA-600 and BEA-140, followed by TEAOH (4.21, 3.24 and 2.30 times increased compared to the control, respectively). Moreover, fish treated with BEA-140 and BEA-600 samples and stained with AO showed green fluorescent apoptotic spots on the heart, eye and head region (Fig. 6, a). Such finding was also observed during exposure to TEAOH. The results confirmed the dependence of cellular apoptosis with ROS induction in </w:t>
      </w:r>
      <w:r w:rsidR="003263A7">
        <w:rPr>
          <w:lang w:val="en-US"/>
        </w:rPr>
        <w:t xml:space="preserve">the whole </w:t>
      </w:r>
      <w:r w:rsidR="00E01693">
        <w:rPr>
          <w:lang w:val="en-US"/>
        </w:rPr>
        <w:t>zebrafish</w:t>
      </w:r>
      <w:r w:rsidR="003263A7">
        <w:rPr>
          <w:lang w:val="en-US"/>
        </w:rPr>
        <w:t xml:space="preserve"> larvae</w:t>
      </w:r>
      <w:r w:rsidR="00E01693">
        <w:rPr>
          <w:lang w:val="en-US"/>
        </w:rPr>
        <w:t>, as is already recorded by</w:t>
      </w:r>
      <w:r w:rsidR="0050232C">
        <w:t xml:space="preserve"> </w:t>
      </w:r>
      <w:proofErr w:type="spellStart"/>
      <w:r w:rsidR="0050232C">
        <w:t>Kumar</w:t>
      </w:r>
      <w:proofErr w:type="spellEnd"/>
      <w:r w:rsidR="0050232C">
        <w:t xml:space="preserve"> </w:t>
      </w:r>
      <w:proofErr w:type="spellStart"/>
      <w:r w:rsidR="0050232C">
        <w:t>et</w:t>
      </w:r>
      <w:proofErr w:type="spellEnd"/>
      <w:r w:rsidR="0050232C">
        <w:t xml:space="preserve"> </w:t>
      </w:r>
      <w:proofErr w:type="spellStart"/>
      <w:r w:rsidR="0050232C">
        <w:t>al</w:t>
      </w:r>
      <w:proofErr w:type="spellEnd"/>
      <w:r w:rsidR="0050232C">
        <w:t xml:space="preserve">. </w:t>
      </w:r>
      <w:r w:rsidR="0050232C">
        <w:fldChar w:fldCharType="begin" w:fldLock="1"/>
      </w:r>
      <w:r w:rsidR="00B20EBB">
        <w:instrText>ADDIN CSL_CITATION {"citationItems":[{"id":"ITEM-1","itemData":{"DOI":"10.1038/s41598-017-16581-1","ISSN":"20452322","abstract":"With the rapid development of nanotechnology, much has been anticipated with copper oxide nanoparticles (CuO NP) due to their extensive industrial and commercial application. However, it has raised concern over the environmental safety and human health effects. In this study, CuO nanoparticles were synthesized using the green method with floral extract of Calotropis gigantea and characterized by standard physiochemical techniques like DLS, Zeta potential determination, UV- Visible Spectroscopy, XRD, FTIR, FESEM, and TEM. Mechanistic cytotoxicity studies were performed using experimental and computational assays including morphological analysis, hatching, and viability rate analysis along with ROS and apoptosis analysis. Physiochemical characterization of CuO NP determined the size and zeta potential of synthesized nanoparticles to be 30 ± 09 nm to 40 ± 2 nm and -38 mV ± 12 mV respectively. Cytotoxicity evaluation with Zebrafish revealed malfunctioned organ development with differential viability and hatching rate at 48 hpf and 72 hpf with LC50 of 175 ± 10 mg/l. Computational analysis depicted the influential role of CuO nanoparticles on zebrafish embryo's he1a, sod1 and p53 functional expression through hydrophobic and hydrogen bond interaction with amino acid residues. Study demonstrated valuable information of cytotoxic impact which can be influential in further studies of their eco-toxicological effects.","author":[{"dropping-particle":"","family":"Kumari","given":"Puja","non-dropping-particle":"","parse-names":false,"suffix":""},{"dropping-particle":"","family":"Panda","given":"Pritam Kumar","non-dropping-particle":"","parse-names":false,"suffix":""},{"dropping-particle":"","family":"Jha","given":"Ealisha","non-dropping-particle":"","parse-names":false,"suffix":""},{"dropping-particle":"","family":"Kumari","given":"Khushboo","non-dropping-particle":"","parse-names":false,"suffix":""},{"dropping-particle":"","family":"Nisha","given":"Kumari","non-dropping-particle":"","parse-names":false,"suffix":""},{"dropping-particle":"","family":"Mallick","given":"M. Anwar","non-dropping-particle":"","parse-names":false,"suffix":""},{"dropping-particle":"","family":"Verma","given":"Suresh K.","non-dropping-particle":"","parse-names":false,"suffix":""}],"container-title":"Scientific Reports","id":"ITEM-1","issued":{"date-parts":[["2017"]]},"title":"Mechanistic insight to ROS and Apoptosis regulated cytotoxicity inferred by Green synthesized CuO nanoparticles from Calotropis gigantea to Embryonic Zebrafish","type":"article-journal"},"uris":["http://www.mendeley.com/documents/?uuid=62e8a2ee-5fa8-359b-bf22-8434a8ca964b"]}],"mendeley":{"formattedCitation":"[63]","plainTextFormattedCitation":"[63]","previouslyFormattedCitation":"[63]"},"properties":{"noteIndex":0},"schema":"https://github.com/citation-style-language/schema/raw/master/csl-citation.json"}</w:instrText>
      </w:r>
      <w:r w:rsidR="0050232C">
        <w:fldChar w:fldCharType="separate"/>
      </w:r>
      <w:r w:rsidR="00B20EBB" w:rsidRPr="00B20EBB">
        <w:rPr>
          <w:noProof/>
        </w:rPr>
        <w:t>[63]</w:t>
      </w:r>
      <w:r w:rsidR="0050232C">
        <w:fldChar w:fldCharType="end"/>
      </w:r>
      <w:r w:rsidR="0050232C">
        <w:t>.</w:t>
      </w:r>
    </w:p>
    <w:p w14:paraId="4EB67421" w14:textId="77777777" w:rsidR="00724F07" w:rsidRDefault="00724F07">
      <w:pPr>
        <w:spacing w:line="360" w:lineRule="auto"/>
        <w:jc w:val="both"/>
      </w:pPr>
    </w:p>
    <w:p w14:paraId="67FB73BA" w14:textId="77777777" w:rsidR="00724F07" w:rsidRDefault="00724F07">
      <w:pPr>
        <w:spacing w:line="360" w:lineRule="auto"/>
        <w:jc w:val="both"/>
        <w:rPr>
          <w:lang w:val="en-US"/>
        </w:rPr>
      </w:pPr>
    </w:p>
    <w:p w14:paraId="3CDE7F63" w14:textId="74FA8F22" w:rsidR="005E1EB7" w:rsidRDefault="005E1EB7">
      <w:pPr>
        <w:spacing w:line="360" w:lineRule="auto"/>
        <w:jc w:val="both"/>
        <w:rPr>
          <w:lang w:val="en-US"/>
        </w:rPr>
      </w:pPr>
    </w:p>
    <w:tbl>
      <w:tblPr>
        <w:tblStyle w:val="TableGrid"/>
        <w:tblW w:w="0" w:type="auto"/>
        <w:jc w:val="center"/>
        <w:tblLook w:val="04A0" w:firstRow="1" w:lastRow="0" w:firstColumn="1" w:lastColumn="0" w:noHBand="0" w:noVBand="1"/>
      </w:tblPr>
      <w:tblGrid>
        <w:gridCol w:w="1640"/>
        <w:gridCol w:w="3732"/>
        <w:gridCol w:w="3270"/>
      </w:tblGrid>
      <w:tr w:rsidR="005E1EB7" w14:paraId="7803C7ED" w14:textId="77777777" w:rsidTr="005E1EB7">
        <w:trPr>
          <w:jc w:val="center"/>
        </w:trPr>
        <w:tc>
          <w:tcPr>
            <w:tcW w:w="1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C9BA87" w14:textId="5925739E" w:rsidR="005E1EB7" w:rsidRDefault="005E1EB7">
            <w:pPr>
              <w:spacing w:before="60" w:line="360" w:lineRule="auto"/>
              <w:rPr>
                <w:b/>
                <w:sz w:val="26"/>
                <w:szCs w:val="26"/>
              </w:rPr>
            </w:pPr>
            <w:r>
              <w:rPr>
                <w:b/>
                <w:sz w:val="26"/>
                <w:szCs w:val="26"/>
              </w:rPr>
              <w:t>a)</w:t>
            </w:r>
          </w:p>
        </w:tc>
        <w:tc>
          <w:tcPr>
            <w:tcW w:w="3732"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C05A468" w14:textId="77777777" w:rsidR="005E1EB7" w:rsidRDefault="005E1EB7">
            <w:pPr>
              <w:spacing w:before="60" w:line="360" w:lineRule="auto"/>
              <w:jc w:val="center"/>
              <w:rPr>
                <w:b/>
              </w:rPr>
            </w:pPr>
            <w:r>
              <w:rPr>
                <w:b/>
              </w:rPr>
              <w:t>ROS assay</w:t>
            </w:r>
          </w:p>
        </w:tc>
        <w:tc>
          <w:tcPr>
            <w:tcW w:w="3270"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5F81220A" w14:textId="77777777" w:rsidR="005E1EB7" w:rsidRDefault="005E1EB7">
            <w:pPr>
              <w:spacing w:before="60" w:line="360" w:lineRule="auto"/>
              <w:jc w:val="center"/>
              <w:rPr>
                <w:b/>
              </w:rPr>
            </w:pPr>
            <w:r>
              <w:rPr>
                <w:b/>
              </w:rPr>
              <w:t>Apoptosis assay</w:t>
            </w:r>
          </w:p>
        </w:tc>
      </w:tr>
      <w:tr w:rsidR="005E1EB7" w14:paraId="1BFB991D" w14:textId="77777777" w:rsidTr="005E1EB7">
        <w:trPr>
          <w:jc w:val="center"/>
        </w:trPr>
        <w:tc>
          <w:tcPr>
            <w:tcW w:w="1640"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4419B753" w14:textId="1B336A81" w:rsidR="005E1EB7" w:rsidRDefault="005E1EB7">
            <w:pPr>
              <w:spacing w:before="60" w:line="360" w:lineRule="auto"/>
              <w:jc w:val="center"/>
              <w:rPr>
                <w:b/>
              </w:rPr>
            </w:pPr>
            <w:r>
              <w:rPr>
                <w:b/>
              </w:rPr>
              <w:t xml:space="preserve">Control </w:t>
            </w:r>
            <w:r>
              <w:t>(artificial water)</w:t>
            </w:r>
          </w:p>
        </w:tc>
        <w:tc>
          <w:tcPr>
            <w:tcW w:w="3732"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99AB81B" w14:textId="77777777" w:rsidR="005E1EB7" w:rsidRDefault="005E1EB7">
            <w:pPr>
              <w:spacing w:before="60" w:line="360" w:lineRule="auto"/>
              <w:jc w:val="center"/>
              <w:rPr>
                <w:b/>
              </w:rPr>
            </w:pPr>
            <w:r>
              <w:rPr>
                <w:b/>
                <w:noProof/>
                <w:lang w:eastAsia="hr-HR"/>
              </w:rPr>
              <w:drawing>
                <wp:inline distT="0" distB="0" distL="0" distR="0" wp14:anchorId="5BEBAF83" wp14:editId="7BB92581">
                  <wp:extent cx="1988820" cy="708660"/>
                  <wp:effectExtent l="0" t="0" r="0" b="0"/>
                  <wp:docPr id="26" name="Picture 26" descr="2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fd7"/>
                          <pic:cNvPicPr>
                            <a:picLocks noChangeAspect="1" noChangeArrowheads="1"/>
                          </pic:cNvPicPr>
                        </pic:nvPicPr>
                        <pic:blipFill>
                          <a:blip r:embed="rId18" cstate="print">
                            <a:extLst>
                              <a:ext uri="{28A0092B-C50C-407E-A947-70E740481C1C}">
                                <a14:useLocalDpi xmlns:a14="http://schemas.microsoft.com/office/drawing/2010/main" val="0"/>
                              </a:ext>
                            </a:extLst>
                          </a:blip>
                          <a:srcRect l="20117" t="30582" b="33656"/>
                          <a:stretch>
                            <a:fillRect/>
                          </a:stretch>
                        </pic:blipFill>
                        <pic:spPr bwMode="auto">
                          <a:xfrm>
                            <a:off x="0" y="0"/>
                            <a:ext cx="1988820" cy="708660"/>
                          </a:xfrm>
                          <a:prstGeom prst="rect">
                            <a:avLst/>
                          </a:prstGeom>
                          <a:noFill/>
                          <a:ln>
                            <a:noFill/>
                          </a:ln>
                        </pic:spPr>
                      </pic:pic>
                    </a:graphicData>
                  </a:graphic>
                </wp:inline>
              </w:drawing>
            </w:r>
          </w:p>
        </w:tc>
        <w:tc>
          <w:tcPr>
            <w:tcW w:w="3270"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F95AC31" w14:textId="696493B8" w:rsidR="005E1EB7" w:rsidRDefault="005E1EB7">
            <w:pPr>
              <w:spacing w:before="60" w:line="360" w:lineRule="auto"/>
              <w:jc w:val="both"/>
              <w:rPr>
                <w:b/>
              </w:rPr>
            </w:pPr>
            <w:r>
              <w:rPr>
                <w:b/>
                <w:noProof/>
                <w:lang w:eastAsia="hr-HR"/>
              </w:rPr>
              <w:drawing>
                <wp:inline distT="0" distB="0" distL="0" distR="0" wp14:anchorId="08E0BBCE" wp14:editId="404F7AFD">
                  <wp:extent cx="1844040" cy="786105"/>
                  <wp:effectExtent l="0" t="0" r="3810" b="0"/>
                  <wp:docPr id="25" name="Picture 25"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2"/>
                          <pic:cNvPicPr>
                            <a:picLocks noChangeAspect="1" noChangeArrowheads="1"/>
                          </pic:cNvPicPr>
                        </pic:nvPicPr>
                        <pic:blipFill rotWithShape="1">
                          <a:blip r:embed="rId19">
                            <a:extLst>
                              <a:ext uri="{28A0092B-C50C-407E-A947-70E740481C1C}">
                                <a14:useLocalDpi xmlns:a14="http://schemas.microsoft.com/office/drawing/2010/main" val="0"/>
                              </a:ext>
                            </a:extLst>
                          </a:blip>
                          <a:srcRect l="23799" t="21987" r="956" b="34526"/>
                          <a:stretch/>
                        </pic:blipFill>
                        <pic:spPr bwMode="auto">
                          <a:xfrm flipV="1">
                            <a:off x="0" y="0"/>
                            <a:ext cx="1844040" cy="7861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1EB7" w14:paraId="44E48978" w14:textId="77777777" w:rsidTr="005E1EB7">
        <w:trPr>
          <w:jc w:val="center"/>
        </w:trPr>
        <w:tc>
          <w:tcPr>
            <w:tcW w:w="1640"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E2DA1B0" w14:textId="10833DC6" w:rsidR="005E1EB7" w:rsidRDefault="005E1EB7">
            <w:pPr>
              <w:spacing w:before="60" w:line="360" w:lineRule="auto"/>
              <w:jc w:val="center"/>
              <w:rPr>
                <w:b/>
              </w:rPr>
            </w:pPr>
            <w:r>
              <w:rPr>
                <w:b/>
              </w:rPr>
              <w:t>BEA-140</w:t>
            </w:r>
          </w:p>
          <w:p w14:paraId="57A0A099" w14:textId="01C7EAAF" w:rsidR="005E1EB7" w:rsidRDefault="005E1EB7" w:rsidP="00E36A9C">
            <w:pPr>
              <w:spacing w:before="60" w:line="360" w:lineRule="auto"/>
              <w:jc w:val="center"/>
            </w:pPr>
            <w:r>
              <w:t xml:space="preserve">(100 µg </w:t>
            </w:r>
            <w:r w:rsidR="00E36A9C" w:rsidRPr="00A215E5">
              <w:rPr>
                <w:highlight w:val="yellow"/>
              </w:rPr>
              <w:t>mL</w:t>
            </w:r>
            <w:r w:rsidRPr="00EC65B6">
              <w:rPr>
                <w:highlight w:val="yellow"/>
                <w:vertAlign w:val="superscript"/>
              </w:rPr>
              <w:t>-1</w:t>
            </w:r>
            <w:r>
              <w:t>)</w:t>
            </w:r>
          </w:p>
        </w:tc>
        <w:tc>
          <w:tcPr>
            <w:tcW w:w="3732"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483DE83F" w14:textId="77777777" w:rsidR="005E1EB7" w:rsidRDefault="005E1EB7">
            <w:pPr>
              <w:spacing w:before="60" w:line="360" w:lineRule="auto"/>
              <w:jc w:val="center"/>
              <w:rPr>
                <w:b/>
              </w:rPr>
            </w:pPr>
            <w:r>
              <w:rPr>
                <w:b/>
                <w:noProof/>
                <w:lang w:eastAsia="hr-HR"/>
              </w:rPr>
              <w:drawing>
                <wp:inline distT="0" distB="0" distL="0" distR="0" wp14:anchorId="5890B1F1" wp14:editId="149663B9">
                  <wp:extent cx="1981200" cy="685800"/>
                  <wp:effectExtent l="0" t="0" r="0" b="0"/>
                  <wp:docPr id="24" name="Picture 24" desc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1"/>
                          <pic:cNvPicPr>
                            <a:picLocks noChangeAspect="1" noChangeArrowheads="1"/>
                          </pic:cNvPicPr>
                        </pic:nvPicPr>
                        <pic:blipFill>
                          <a:blip r:embed="rId20">
                            <a:extLst>
                              <a:ext uri="{28A0092B-C50C-407E-A947-70E740481C1C}">
                                <a14:useLocalDpi xmlns:a14="http://schemas.microsoft.com/office/drawing/2010/main" val="0"/>
                              </a:ext>
                            </a:extLst>
                          </a:blip>
                          <a:srcRect l="2141" t="32883" r="13255" b="27379"/>
                          <a:stretch>
                            <a:fillRect/>
                          </a:stretch>
                        </pic:blipFill>
                        <pic:spPr bwMode="auto">
                          <a:xfrm flipH="1" flipV="1">
                            <a:off x="0" y="0"/>
                            <a:ext cx="1981200" cy="685800"/>
                          </a:xfrm>
                          <a:prstGeom prst="rect">
                            <a:avLst/>
                          </a:prstGeom>
                          <a:noFill/>
                          <a:ln>
                            <a:noFill/>
                          </a:ln>
                        </pic:spPr>
                      </pic:pic>
                    </a:graphicData>
                  </a:graphic>
                </wp:inline>
              </w:drawing>
            </w:r>
          </w:p>
        </w:tc>
        <w:tc>
          <w:tcPr>
            <w:tcW w:w="3270"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A038A7D" w14:textId="77777777" w:rsidR="005E1EB7" w:rsidRDefault="005E1EB7">
            <w:pPr>
              <w:spacing w:before="60" w:line="360" w:lineRule="auto"/>
              <w:jc w:val="both"/>
              <w:rPr>
                <w:b/>
              </w:rPr>
            </w:pPr>
            <w:r>
              <w:rPr>
                <w:noProof/>
                <w:lang w:eastAsia="hr-HR"/>
              </w:rPr>
              <mc:AlternateContent>
                <mc:Choice Requires="wps">
                  <w:drawing>
                    <wp:anchor distT="0" distB="0" distL="114300" distR="114300" simplePos="0" relativeHeight="251659264" behindDoc="0" locked="0" layoutInCell="1" allowOverlap="1" wp14:anchorId="2CAC386E" wp14:editId="65FDAF4C">
                      <wp:simplePos x="0" y="0"/>
                      <wp:positionH relativeFrom="column">
                        <wp:posOffset>1457325</wp:posOffset>
                      </wp:positionH>
                      <wp:positionV relativeFrom="paragraph">
                        <wp:posOffset>337820</wp:posOffset>
                      </wp:positionV>
                      <wp:extent cx="235585" cy="128270"/>
                      <wp:effectExtent l="0" t="0" r="12065" b="24130"/>
                      <wp:wrapNone/>
                      <wp:docPr id="1054" name="Rectangle 1054"/>
                      <wp:cNvGraphicFramePr/>
                      <a:graphic xmlns:a="http://schemas.openxmlformats.org/drawingml/2006/main">
                        <a:graphicData uri="http://schemas.microsoft.com/office/word/2010/wordprocessingShape">
                          <wps:wsp>
                            <wps:cNvSpPr/>
                            <wps:spPr>
                              <a:xfrm>
                                <a:off x="0" y="0"/>
                                <a:ext cx="235585" cy="128270"/>
                              </a:xfrm>
                              <a:prstGeom prst="rect">
                                <a:avLst/>
                              </a:prstGeom>
                              <a:noFill/>
                              <a:ln w="31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6E894E" id="Rectangle 1054" o:spid="_x0000_s1026" style="position:absolute;margin-left:114.75pt;margin-top:26.6pt;width:18.55pt;height: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" filled="f" strokecolor="white [3212]" strokeweight=".25pt">
                      <v:stroke dashstyle="3 1"/>
                    </v:rect>
                  </w:pict>
                </mc:Fallback>
              </mc:AlternateContent>
            </w:r>
            <w:r>
              <w:rPr>
                <w:noProof/>
                <w:lang w:eastAsia="hr-HR"/>
              </w:rPr>
              <mc:AlternateContent>
                <mc:Choice Requires="wps">
                  <w:drawing>
                    <wp:anchor distT="0" distB="0" distL="114300" distR="114300" simplePos="0" relativeHeight="251660288" behindDoc="0" locked="0" layoutInCell="1" allowOverlap="1" wp14:anchorId="503AE08F" wp14:editId="7DC5A1A4">
                      <wp:simplePos x="0" y="0"/>
                      <wp:positionH relativeFrom="column">
                        <wp:posOffset>1477010</wp:posOffset>
                      </wp:positionH>
                      <wp:positionV relativeFrom="paragraph">
                        <wp:posOffset>486410</wp:posOffset>
                      </wp:positionV>
                      <wp:extent cx="125095" cy="150495"/>
                      <wp:effectExtent l="0" t="0" r="27305" b="20955"/>
                      <wp:wrapNone/>
                      <wp:docPr id="1053" name="Rectangle 1053"/>
                      <wp:cNvGraphicFramePr/>
                      <a:graphic xmlns:a="http://schemas.openxmlformats.org/drawingml/2006/main">
                        <a:graphicData uri="http://schemas.microsoft.com/office/word/2010/wordprocessingShape">
                          <wps:wsp>
                            <wps:cNvSpPr/>
                            <wps:spPr>
                              <a:xfrm>
                                <a:off x="0" y="0"/>
                                <a:ext cx="125095" cy="150495"/>
                              </a:xfrm>
                              <a:prstGeom prst="rect">
                                <a:avLst/>
                              </a:prstGeom>
                              <a:noFill/>
                              <a:ln w="31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7BFA47" id="Rectangle 1053" o:spid="_x0000_s1026" style="position:absolute;margin-left:116.3pt;margin-top:38.3pt;width:9.85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" filled="f" strokecolor="white [3212]" strokeweight=".25pt">
                      <v:stroke dashstyle="3 1"/>
                    </v:rect>
                  </w:pict>
                </mc:Fallback>
              </mc:AlternateContent>
            </w:r>
            <w:r>
              <w:rPr>
                <w:noProof/>
                <w:lang w:eastAsia="hr-HR"/>
              </w:rPr>
              <mc:AlternateContent>
                <mc:Choice Requires="wps">
                  <w:drawing>
                    <wp:anchor distT="0" distB="0" distL="114300" distR="114300" simplePos="0" relativeHeight="251661312" behindDoc="0" locked="0" layoutInCell="1" allowOverlap="1" wp14:anchorId="21D70CA9" wp14:editId="520D8171">
                      <wp:simplePos x="0" y="0"/>
                      <wp:positionH relativeFrom="column">
                        <wp:posOffset>1285240</wp:posOffset>
                      </wp:positionH>
                      <wp:positionV relativeFrom="paragraph">
                        <wp:posOffset>504190</wp:posOffset>
                      </wp:positionV>
                      <wp:extent cx="132080" cy="116840"/>
                      <wp:effectExtent l="0" t="0" r="20320" b="16510"/>
                      <wp:wrapNone/>
                      <wp:docPr id="1046" name="Rectangle 1046"/>
                      <wp:cNvGraphicFramePr/>
                      <a:graphic xmlns:a="http://schemas.openxmlformats.org/drawingml/2006/main">
                        <a:graphicData uri="http://schemas.microsoft.com/office/word/2010/wordprocessingShape">
                          <wps:wsp>
                            <wps:cNvSpPr/>
                            <wps:spPr>
                              <a:xfrm>
                                <a:off x="0" y="0"/>
                                <a:ext cx="132080" cy="116840"/>
                              </a:xfrm>
                              <a:prstGeom prst="rect">
                                <a:avLst/>
                              </a:prstGeom>
                              <a:noFill/>
                              <a:ln w="31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D14C" id="Rectangle 1046" o:spid="_x0000_s1026" style="position:absolute;margin-left:101.2pt;margin-top:39.7pt;width:10.4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" filled="f" strokecolor="white [3212]" strokeweight=".25pt">
                      <v:stroke dashstyle="3 1"/>
                    </v:rect>
                  </w:pict>
                </mc:Fallback>
              </mc:AlternateContent>
            </w:r>
            <w:r>
              <w:rPr>
                <w:b/>
                <w:noProof/>
                <w:lang w:eastAsia="hr-HR"/>
              </w:rPr>
              <w:drawing>
                <wp:inline distT="0" distB="0" distL="0" distR="0" wp14:anchorId="6B2BA1EB" wp14:editId="03EF945C">
                  <wp:extent cx="1844040" cy="723900"/>
                  <wp:effectExtent l="0" t="0" r="3810" b="0"/>
                  <wp:docPr id="23" name="Picture 23" descr="2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2fd8"/>
                          <pic:cNvPicPr>
                            <a:picLocks noChangeAspect="1" noChangeArrowheads="1"/>
                          </pic:cNvPicPr>
                        </pic:nvPicPr>
                        <pic:blipFill>
                          <a:blip r:embed="rId21" cstate="print">
                            <a:extLst>
                              <a:ext uri="{28A0092B-C50C-407E-A947-70E740481C1C}">
                                <a14:useLocalDpi xmlns:a14="http://schemas.microsoft.com/office/drawing/2010/main" val="0"/>
                              </a:ext>
                            </a:extLst>
                          </a:blip>
                          <a:srcRect l="22208" t="29640" r="7201" b="33012"/>
                          <a:stretch>
                            <a:fillRect/>
                          </a:stretch>
                        </pic:blipFill>
                        <pic:spPr bwMode="auto">
                          <a:xfrm flipV="1">
                            <a:off x="0" y="0"/>
                            <a:ext cx="1844040" cy="723900"/>
                          </a:xfrm>
                          <a:prstGeom prst="rect">
                            <a:avLst/>
                          </a:prstGeom>
                          <a:noFill/>
                          <a:ln>
                            <a:noFill/>
                          </a:ln>
                        </pic:spPr>
                      </pic:pic>
                    </a:graphicData>
                  </a:graphic>
                </wp:inline>
              </w:drawing>
            </w:r>
          </w:p>
        </w:tc>
      </w:tr>
      <w:tr w:rsidR="005E1EB7" w14:paraId="1D1AEB6C" w14:textId="77777777" w:rsidTr="005E1EB7">
        <w:trPr>
          <w:jc w:val="center"/>
        </w:trPr>
        <w:tc>
          <w:tcPr>
            <w:tcW w:w="1640"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E7A92F1" w14:textId="2BC6C2A2" w:rsidR="005E1EB7" w:rsidRDefault="005E1EB7">
            <w:pPr>
              <w:spacing w:before="60" w:line="360" w:lineRule="auto"/>
              <w:jc w:val="center"/>
              <w:rPr>
                <w:b/>
              </w:rPr>
            </w:pPr>
            <w:r>
              <w:rPr>
                <w:b/>
              </w:rPr>
              <w:t>BEA-600</w:t>
            </w:r>
          </w:p>
          <w:p w14:paraId="0F63F2EF" w14:textId="3ED4A84B" w:rsidR="005E1EB7" w:rsidRDefault="005E1EB7" w:rsidP="00E36A9C">
            <w:pPr>
              <w:spacing w:before="60" w:line="360" w:lineRule="auto"/>
              <w:jc w:val="center"/>
            </w:pPr>
            <w:r>
              <w:t xml:space="preserve">(100 µg </w:t>
            </w:r>
            <w:r w:rsidR="00E36A9C" w:rsidRPr="00A215E5">
              <w:rPr>
                <w:highlight w:val="yellow"/>
              </w:rPr>
              <w:t>mL</w:t>
            </w:r>
            <w:r w:rsidRPr="00EC65B6">
              <w:rPr>
                <w:highlight w:val="yellow"/>
                <w:vertAlign w:val="superscript"/>
              </w:rPr>
              <w:t>-1</w:t>
            </w:r>
            <w:r>
              <w:t>)</w:t>
            </w:r>
          </w:p>
        </w:tc>
        <w:tc>
          <w:tcPr>
            <w:tcW w:w="3732"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86B63F7" w14:textId="77777777" w:rsidR="005E1EB7" w:rsidRDefault="005E1EB7">
            <w:pPr>
              <w:spacing w:before="60" w:line="360" w:lineRule="auto"/>
              <w:jc w:val="center"/>
              <w:rPr>
                <w:b/>
              </w:rPr>
            </w:pPr>
            <w:r>
              <w:rPr>
                <w:b/>
                <w:noProof/>
                <w:lang w:eastAsia="hr-HR"/>
              </w:rPr>
              <w:drawing>
                <wp:inline distT="0" distB="0" distL="0" distR="0" wp14:anchorId="191B34C3" wp14:editId="43ECB4DF">
                  <wp:extent cx="2004060" cy="695960"/>
                  <wp:effectExtent l="0" t="0" r="0" b="8890"/>
                  <wp:docPr id="22" name="Picture 22"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32" t="32102" r="3" b="30230"/>
                          <a:stretch/>
                        </pic:blipFill>
                        <pic:spPr bwMode="auto">
                          <a:xfrm>
                            <a:off x="0" y="0"/>
                            <a:ext cx="2017825" cy="700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0"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AE6A37E" w14:textId="77777777" w:rsidR="005E1EB7" w:rsidRDefault="005E1EB7">
            <w:pPr>
              <w:spacing w:before="60" w:line="360" w:lineRule="auto"/>
              <w:jc w:val="both"/>
              <w:rPr>
                <w:b/>
              </w:rPr>
            </w:pPr>
            <w:r>
              <w:rPr>
                <w:noProof/>
                <w:lang w:eastAsia="hr-HR"/>
              </w:rPr>
              <mc:AlternateContent>
                <mc:Choice Requires="wps">
                  <w:drawing>
                    <wp:anchor distT="0" distB="0" distL="114300" distR="114300" simplePos="0" relativeHeight="251662336" behindDoc="0" locked="0" layoutInCell="1" allowOverlap="1" wp14:anchorId="4C2F4D2C" wp14:editId="4DB06F3E">
                      <wp:simplePos x="0" y="0"/>
                      <wp:positionH relativeFrom="column">
                        <wp:posOffset>1497330</wp:posOffset>
                      </wp:positionH>
                      <wp:positionV relativeFrom="paragraph">
                        <wp:posOffset>219075</wp:posOffset>
                      </wp:positionV>
                      <wp:extent cx="157480" cy="165100"/>
                      <wp:effectExtent l="0" t="0" r="13970" b="25400"/>
                      <wp:wrapNone/>
                      <wp:docPr id="1048" name="Rectangle 1048"/>
                      <wp:cNvGraphicFramePr/>
                      <a:graphic xmlns:a="http://schemas.openxmlformats.org/drawingml/2006/main">
                        <a:graphicData uri="http://schemas.microsoft.com/office/word/2010/wordprocessingShape">
                          <wps:wsp>
                            <wps:cNvSpPr/>
                            <wps:spPr>
                              <a:xfrm>
                                <a:off x="0" y="0"/>
                                <a:ext cx="157480" cy="165100"/>
                              </a:xfrm>
                              <a:prstGeom prst="rect">
                                <a:avLst/>
                              </a:prstGeom>
                              <a:noFill/>
                              <a:ln w="31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3ED07" id="Rectangle 1048" o:spid="_x0000_s1026" style="position:absolute;margin-left:117.9pt;margin-top:17.25pt;width:12.4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" filled="f" strokecolor="white [3212]" strokeweight=".25pt">
                      <v:stroke dashstyle="3 1"/>
                    </v:rect>
                  </w:pict>
                </mc:Fallback>
              </mc:AlternateContent>
            </w:r>
            <w:r>
              <w:rPr>
                <w:noProof/>
                <w:lang w:eastAsia="hr-HR"/>
              </w:rPr>
              <mc:AlternateContent>
                <mc:Choice Requires="wps">
                  <w:drawing>
                    <wp:anchor distT="0" distB="0" distL="114300" distR="114300" simplePos="0" relativeHeight="251663360" behindDoc="0" locked="0" layoutInCell="1" allowOverlap="1" wp14:anchorId="04A88AB3" wp14:editId="50DD9B17">
                      <wp:simplePos x="0" y="0"/>
                      <wp:positionH relativeFrom="column">
                        <wp:posOffset>1363980</wp:posOffset>
                      </wp:positionH>
                      <wp:positionV relativeFrom="paragraph">
                        <wp:posOffset>409575</wp:posOffset>
                      </wp:positionV>
                      <wp:extent cx="123825" cy="128905"/>
                      <wp:effectExtent l="0" t="0" r="28575" b="23495"/>
                      <wp:wrapNone/>
                      <wp:docPr id="1049" name="Rectangle 1049"/>
                      <wp:cNvGraphicFramePr/>
                      <a:graphic xmlns:a="http://schemas.openxmlformats.org/drawingml/2006/main">
                        <a:graphicData uri="http://schemas.microsoft.com/office/word/2010/wordprocessingShape">
                          <wps:wsp>
                            <wps:cNvSpPr/>
                            <wps:spPr>
                              <a:xfrm>
                                <a:off x="0" y="0"/>
                                <a:ext cx="123190" cy="128270"/>
                              </a:xfrm>
                              <a:prstGeom prst="rect">
                                <a:avLst/>
                              </a:prstGeom>
                              <a:noFill/>
                              <a:ln w="31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CDDE23" id="Rectangle 1049" o:spid="_x0000_s1026" style="position:absolute;margin-left:107.4pt;margin-top:32.25pt;width:9.75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" filled="f" strokecolor="white [3212]" strokeweight=".25pt">
                      <v:stroke dashstyle="3 1"/>
                    </v:rect>
                  </w:pict>
                </mc:Fallback>
              </mc:AlternateContent>
            </w:r>
            <w:r>
              <w:rPr>
                <w:b/>
                <w:noProof/>
                <w:lang w:eastAsia="hr-HR"/>
              </w:rPr>
              <w:drawing>
                <wp:inline distT="0" distB="0" distL="0" distR="0" wp14:anchorId="6093A5AF" wp14:editId="1B480CBC">
                  <wp:extent cx="1836420" cy="716280"/>
                  <wp:effectExtent l="0" t="0" r="0" b="7620"/>
                  <wp:docPr id="21" name="Picture 21" descr="2fd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2fd4s"/>
                          <pic:cNvPicPr>
                            <a:picLocks noChangeAspect="1" noChangeArrowheads="1"/>
                          </pic:cNvPicPr>
                        </pic:nvPicPr>
                        <pic:blipFill>
                          <a:blip r:embed="rId23" cstate="print">
                            <a:extLst>
                              <a:ext uri="{28A0092B-C50C-407E-A947-70E740481C1C}">
                                <a14:useLocalDpi xmlns:a14="http://schemas.microsoft.com/office/drawing/2010/main" val="0"/>
                              </a:ext>
                            </a:extLst>
                          </a:blip>
                          <a:srcRect l="20605" t="34546" r="7715" b="28870"/>
                          <a:stretch>
                            <a:fillRect/>
                          </a:stretch>
                        </pic:blipFill>
                        <pic:spPr bwMode="auto">
                          <a:xfrm flipV="1">
                            <a:off x="0" y="0"/>
                            <a:ext cx="1836420" cy="716280"/>
                          </a:xfrm>
                          <a:prstGeom prst="rect">
                            <a:avLst/>
                          </a:prstGeom>
                          <a:noFill/>
                          <a:ln>
                            <a:noFill/>
                          </a:ln>
                        </pic:spPr>
                      </pic:pic>
                    </a:graphicData>
                  </a:graphic>
                </wp:inline>
              </w:drawing>
            </w:r>
          </w:p>
        </w:tc>
      </w:tr>
      <w:tr w:rsidR="005E1EB7" w14:paraId="36D6C556" w14:textId="77777777" w:rsidTr="005E1EB7">
        <w:trPr>
          <w:jc w:val="center"/>
        </w:trPr>
        <w:tc>
          <w:tcPr>
            <w:tcW w:w="1640"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2CC64F20" w14:textId="233384B5" w:rsidR="005E1EB7" w:rsidRDefault="005E1EB7">
            <w:pPr>
              <w:spacing w:before="60" w:line="360" w:lineRule="auto"/>
              <w:jc w:val="center"/>
              <w:rPr>
                <w:b/>
              </w:rPr>
            </w:pPr>
            <w:r>
              <w:rPr>
                <w:b/>
              </w:rPr>
              <w:t>TEAOH</w:t>
            </w:r>
          </w:p>
          <w:p w14:paraId="4ED63DA4" w14:textId="36AB93DB" w:rsidR="005E1EB7" w:rsidRDefault="005E1EB7" w:rsidP="00E36A9C">
            <w:pPr>
              <w:spacing w:before="60" w:line="360" w:lineRule="auto"/>
              <w:jc w:val="center"/>
            </w:pPr>
            <w:r>
              <w:t xml:space="preserve">(18 µg </w:t>
            </w:r>
            <w:r w:rsidR="00E36A9C" w:rsidRPr="00A215E5">
              <w:rPr>
                <w:highlight w:val="yellow"/>
              </w:rPr>
              <w:t>mL</w:t>
            </w:r>
            <w:r w:rsidRPr="00EC65B6">
              <w:rPr>
                <w:highlight w:val="yellow"/>
                <w:vertAlign w:val="superscript"/>
              </w:rPr>
              <w:t>-1</w:t>
            </w:r>
            <w:r>
              <w:t>)</w:t>
            </w:r>
          </w:p>
        </w:tc>
        <w:tc>
          <w:tcPr>
            <w:tcW w:w="3732"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0C078D34" w14:textId="77777777" w:rsidR="005E1EB7" w:rsidRDefault="005E1EB7">
            <w:pPr>
              <w:spacing w:before="60" w:line="360" w:lineRule="auto"/>
              <w:jc w:val="center"/>
              <w:rPr>
                <w:b/>
              </w:rPr>
            </w:pPr>
            <w:r>
              <w:rPr>
                <w:b/>
                <w:noProof/>
                <w:lang w:eastAsia="hr-HR"/>
              </w:rPr>
              <w:drawing>
                <wp:inline distT="0" distB="0" distL="0" distR="0" wp14:anchorId="361D39D3" wp14:editId="719BC80A">
                  <wp:extent cx="2034540" cy="766638"/>
                  <wp:effectExtent l="0" t="0" r="3810" b="0"/>
                  <wp:docPr id="20" name="Picture 20" descr="2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fd6"/>
                          <pic:cNvPicPr>
                            <a:picLocks noChangeAspect="1" noChangeArrowheads="1"/>
                          </pic:cNvPicPr>
                        </pic:nvPicPr>
                        <pic:blipFill rotWithShape="1">
                          <a:blip r:embed="rId24">
                            <a:extLst>
                              <a:ext uri="{28A0092B-C50C-407E-A947-70E740481C1C}">
                                <a14:useLocalDpi xmlns:a14="http://schemas.microsoft.com/office/drawing/2010/main" val="0"/>
                              </a:ext>
                            </a:extLst>
                          </a:blip>
                          <a:srcRect l="21823" t="30270" r="-124" b="31987"/>
                          <a:stretch/>
                        </pic:blipFill>
                        <pic:spPr bwMode="auto">
                          <a:xfrm>
                            <a:off x="0" y="0"/>
                            <a:ext cx="2037606" cy="7677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0" w:type="dxa"/>
            <w:tcBorders>
              <w:top w:val="single" w:sz="4" w:space="0" w:color="auto"/>
              <w:left w:val="single" w:sz="4" w:space="0" w:color="FFFFFF" w:themeColor="background1"/>
              <w:bottom w:val="single" w:sz="4" w:space="0" w:color="auto"/>
              <w:right w:val="single" w:sz="4" w:space="0" w:color="FFFFFF" w:themeColor="background1"/>
            </w:tcBorders>
            <w:vAlign w:val="center"/>
            <w:hideMark/>
          </w:tcPr>
          <w:p w14:paraId="18C0C874" w14:textId="77777777" w:rsidR="005E1EB7" w:rsidRDefault="005E1EB7">
            <w:pPr>
              <w:spacing w:before="60" w:line="360" w:lineRule="auto"/>
              <w:jc w:val="both"/>
              <w:rPr>
                <w:b/>
              </w:rPr>
            </w:pPr>
            <w:r>
              <w:rPr>
                <w:noProof/>
                <w:lang w:eastAsia="hr-HR"/>
              </w:rPr>
              <mc:AlternateContent>
                <mc:Choice Requires="wps">
                  <w:drawing>
                    <wp:anchor distT="0" distB="0" distL="114300" distR="114300" simplePos="0" relativeHeight="251664384" behindDoc="0" locked="0" layoutInCell="1" allowOverlap="1" wp14:anchorId="2B7CE82E" wp14:editId="71E3F131">
                      <wp:simplePos x="0" y="0"/>
                      <wp:positionH relativeFrom="column">
                        <wp:posOffset>1517650</wp:posOffset>
                      </wp:positionH>
                      <wp:positionV relativeFrom="paragraph">
                        <wp:posOffset>694055</wp:posOffset>
                      </wp:positionV>
                      <wp:extent cx="142240" cy="128270"/>
                      <wp:effectExtent l="0" t="0" r="10160" b="24130"/>
                      <wp:wrapNone/>
                      <wp:docPr id="1052" name="Rectangle 1052"/>
                      <wp:cNvGraphicFramePr/>
                      <a:graphic xmlns:a="http://schemas.openxmlformats.org/drawingml/2006/main">
                        <a:graphicData uri="http://schemas.microsoft.com/office/word/2010/wordprocessingShape">
                          <wps:wsp>
                            <wps:cNvSpPr/>
                            <wps:spPr>
                              <a:xfrm>
                                <a:off x="0" y="0"/>
                                <a:ext cx="142240" cy="128270"/>
                              </a:xfrm>
                              <a:prstGeom prst="rect">
                                <a:avLst/>
                              </a:prstGeom>
                              <a:noFill/>
                              <a:ln w="31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5D8B91" id="Rectangle 1052" o:spid="_x0000_s1026" style="position:absolute;margin-left:119.5pt;margin-top:54.65pt;width:11.2pt;height:1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" filled="f" strokecolor="white [3212]" strokeweight=".25pt">
                      <v:stroke dashstyle="3 1"/>
                    </v:rect>
                  </w:pict>
                </mc:Fallback>
              </mc:AlternateContent>
            </w:r>
            <w:r>
              <w:rPr>
                <w:noProof/>
                <w:lang w:eastAsia="hr-HR"/>
              </w:rPr>
              <mc:AlternateContent>
                <mc:Choice Requires="wps">
                  <w:drawing>
                    <wp:anchor distT="0" distB="0" distL="114300" distR="114300" simplePos="0" relativeHeight="251665408" behindDoc="0" locked="0" layoutInCell="1" allowOverlap="1" wp14:anchorId="50A8E5C0" wp14:editId="7A82E7D0">
                      <wp:simplePos x="0" y="0"/>
                      <wp:positionH relativeFrom="column">
                        <wp:posOffset>1499235</wp:posOffset>
                      </wp:positionH>
                      <wp:positionV relativeFrom="paragraph">
                        <wp:posOffset>468630</wp:posOffset>
                      </wp:positionV>
                      <wp:extent cx="210185" cy="201295"/>
                      <wp:effectExtent l="0" t="0" r="18415" b="27305"/>
                      <wp:wrapNone/>
                      <wp:docPr id="1051" name="Rectangle 1051"/>
                      <wp:cNvGraphicFramePr/>
                      <a:graphic xmlns:a="http://schemas.openxmlformats.org/drawingml/2006/main">
                        <a:graphicData uri="http://schemas.microsoft.com/office/word/2010/wordprocessingShape">
                          <wps:wsp>
                            <wps:cNvSpPr/>
                            <wps:spPr>
                              <a:xfrm>
                                <a:off x="0" y="0"/>
                                <a:ext cx="209550" cy="201295"/>
                              </a:xfrm>
                              <a:prstGeom prst="rect">
                                <a:avLst/>
                              </a:prstGeom>
                              <a:noFill/>
                              <a:ln w="317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4085E8" id="Rectangle 1051" o:spid="_x0000_s1026" style="position:absolute;margin-left:118.05pt;margin-top:36.9pt;width:16.55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" filled="f" strokecolor="white [3212]" strokeweight=".25pt">
                      <v:stroke dashstyle="3 1"/>
                    </v:rect>
                  </w:pict>
                </mc:Fallback>
              </mc:AlternateContent>
            </w:r>
            <w:r>
              <w:rPr>
                <w:b/>
                <w:noProof/>
                <w:lang w:eastAsia="hr-HR"/>
              </w:rPr>
              <w:drawing>
                <wp:inline distT="0" distB="0" distL="0" distR="0" wp14:anchorId="0B041A71" wp14:editId="3777088A">
                  <wp:extent cx="1836420" cy="853440"/>
                  <wp:effectExtent l="0" t="0" r="0" b="3810"/>
                  <wp:docPr id="19" name="Picture 19" descr="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18,11"/>
                          <pic:cNvPicPr>
                            <a:picLocks noChangeAspect="1" noChangeArrowheads="1"/>
                          </pic:cNvPicPr>
                        </pic:nvPicPr>
                        <pic:blipFill>
                          <a:blip r:embed="rId25">
                            <a:extLst>
                              <a:ext uri="{28A0092B-C50C-407E-A947-70E740481C1C}">
                                <a14:useLocalDpi xmlns:a14="http://schemas.microsoft.com/office/drawing/2010/main" val="0"/>
                              </a:ext>
                            </a:extLst>
                          </a:blip>
                          <a:srcRect l="20609" t="4924" r="2441" b="47650"/>
                          <a:stretch>
                            <a:fillRect/>
                          </a:stretch>
                        </pic:blipFill>
                        <pic:spPr bwMode="auto">
                          <a:xfrm flipV="1">
                            <a:off x="0" y="0"/>
                            <a:ext cx="1836420" cy="853440"/>
                          </a:xfrm>
                          <a:prstGeom prst="rect">
                            <a:avLst/>
                          </a:prstGeom>
                          <a:noFill/>
                          <a:ln>
                            <a:noFill/>
                          </a:ln>
                        </pic:spPr>
                      </pic:pic>
                    </a:graphicData>
                  </a:graphic>
                </wp:inline>
              </w:drawing>
            </w:r>
          </w:p>
        </w:tc>
      </w:tr>
    </w:tbl>
    <w:p w14:paraId="685D3ABF" w14:textId="4B51F6B9" w:rsidR="005E1EB7" w:rsidRDefault="0086682D" w:rsidP="000E37D6">
      <w:pPr>
        <w:spacing w:line="120" w:lineRule="auto"/>
        <w:jc w:val="both"/>
        <w:rPr>
          <w:b/>
          <w:lang w:val="en-US"/>
        </w:rPr>
      </w:pPr>
      <w:r>
        <w:rPr>
          <w:noProof/>
          <w:lang w:eastAsia="hr-HR"/>
        </w:rPr>
        <mc:AlternateContent>
          <mc:Choice Requires="wps">
            <w:drawing>
              <wp:anchor distT="45720" distB="45720" distL="114300" distR="114300" simplePos="0" relativeHeight="251666432" behindDoc="0" locked="0" layoutInCell="1" allowOverlap="1" wp14:anchorId="6C8F6568" wp14:editId="5EF6C042">
                <wp:simplePos x="0" y="0"/>
                <wp:positionH relativeFrom="column">
                  <wp:posOffset>78740</wp:posOffset>
                </wp:positionH>
                <wp:positionV relativeFrom="paragraph">
                  <wp:posOffset>135890</wp:posOffset>
                </wp:positionV>
                <wp:extent cx="414655" cy="330200"/>
                <wp:effectExtent l="0" t="0" r="444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30200"/>
                        </a:xfrm>
                        <a:prstGeom prst="rect">
                          <a:avLst/>
                        </a:prstGeom>
                        <a:solidFill>
                          <a:srgbClr val="FFFFFF"/>
                        </a:solidFill>
                        <a:ln w="9525">
                          <a:noFill/>
                          <a:miter lim="800000"/>
                          <a:headEnd/>
                          <a:tailEnd/>
                        </a:ln>
                      </wps:spPr>
                      <wps:txbx>
                        <w:txbxContent>
                          <w:p w14:paraId="79F99750" w14:textId="77777777" w:rsidR="00A379B0" w:rsidRDefault="00A379B0" w:rsidP="005E1EB7">
                            <w:pPr>
                              <w:rPr>
                                <w:b/>
                                <w:sz w:val="26"/>
                                <w:szCs w:val="26"/>
                              </w:rPr>
                            </w:pPr>
                            <w:r>
                              <w:rPr>
                                <w:b/>
                                <w:sz w:val="26"/>
                                <w:szCs w:val="2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F6568" id="Text Box 27" o:spid="_x0000_s1034" type="#_x0000_t202" style="position:absolute;left:0;text-align:left;margin-left:6.2pt;margin-top:10.7pt;width:32.65pt;height:2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" stroked="f">
                <v:textbox>
                  <w:txbxContent>
                    <w:p w14:paraId="79F99750" w14:textId="77777777" w:rsidR="00A379B0" w:rsidRDefault="00A379B0" w:rsidP="005E1EB7">
                      <w:pPr>
                        <w:rPr>
                          <w:b/>
                          <w:sz w:val="26"/>
                          <w:szCs w:val="26"/>
                        </w:rPr>
                      </w:pPr>
                      <w:r>
                        <w:rPr>
                          <w:b/>
                          <w:sz w:val="26"/>
                          <w:szCs w:val="26"/>
                        </w:rPr>
                        <w:t>b)</w:t>
                      </w:r>
                    </w:p>
                  </w:txbxContent>
                </v:textbox>
              </v:shape>
            </w:pict>
          </mc:Fallback>
        </mc:AlternateContent>
      </w:r>
    </w:p>
    <w:p w14:paraId="5BA3AEAA" w14:textId="62EE74AD" w:rsidR="005E1EB7" w:rsidRDefault="003930A9" w:rsidP="000E37D6">
      <w:pPr>
        <w:spacing w:line="360" w:lineRule="auto"/>
        <w:jc w:val="center"/>
        <w:rPr>
          <w:b/>
          <w:lang w:val="en-US"/>
        </w:rPr>
      </w:pPr>
      <w:r>
        <w:rPr>
          <w:noProof/>
          <w:lang w:eastAsia="hr-HR"/>
        </w:rPr>
        <w:lastRenderedPageBreak/>
        <w:drawing>
          <wp:inline distT="0" distB="0" distL="0" distR="0" wp14:anchorId="70FEFF70" wp14:editId="06A07DE0">
            <wp:extent cx="5316129" cy="273600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6129" cy="2736000"/>
                    </a:xfrm>
                    <a:prstGeom prst="rect">
                      <a:avLst/>
                    </a:prstGeom>
                  </pic:spPr>
                </pic:pic>
              </a:graphicData>
            </a:graphic>
          </wp:inline>
        </w:drawing>
      </w:r>
    </w:p>
    <w:p w14:paraId="5983E526" w14:textId="6C683CAA" w:rsidR="003930A9" w:rsidRDefault="005E1EB7" w:rsidP="003930A9">
      <w:pPr>
        <w:spacing w:line="360" w:lineRule="auto"/>
        <w:jc w:val="both"/>
        <w:rPr>
          <w:lang w:val="en-US"/>
        </w:rPr>
      </w:pPr>
      <w:r>
        <w:rPr>
          <w:lang w:val="en-US"/>
        </w:rPr>
        <w:t xml:space="preserve">Figure 6. (a) Fluorescent images of </w:t>
      </w:r>
      <w:r>
        <w:rPr>
          <w:i/>
          <w:lang w:val="en-US"/>
        </w:rPr>
        <w:t xml:space="preserve">D. </w:t>
      </w:r>
      <w:proofErr w:type="spellStart"/>
      <w:r>
        <w:rPr>
          <w:i/>
          <w:lang w:val="en-US"/>
        </w:rPr>
        <w:t>rerio</w:t>
      </w:r>
      <w:proofErr w:type="spellEnd"/>
      <w:r>
        <w:rPr>
          <w:lang w:val="en-US"/>
        </w:rPr>
        <w:t xml:space="preserve"> larvae stained with ROS marker DCF and apoptosis marker AO after 72 h of exposure to tested </w:t>
      </w:r>
      <w:proofErr w:type="spellStart"/>
      <w:r>
        <w:rPr>
          <w:lang w:val="en-US"/>
        </w:rPr>
        <w:t>nano</w:t>
      </w:r>
      <w:proofErr w:type="spellEnd"/>
      <w:r>
        <w:rPr>
          <w:lang w:val="en-US"/>
        </w:rPr>
        <w:t xml:space="preserve">-zeolite beta suspensions and TEAOH. (b) </w:t>
      </w:r>
      <w:r w:rsidR="000E37D6">
        <w:rPr>
          <w:lang w:val="en-US"/>
        </w:rPr>
        <w:t>The b</w:t>
      </w:r>
      <w:r>
        <w:rPr>
          <w:lang w:val="en-US"/>
        </w:rPr>
        <w:t xml:space="preserve">ar graph represents the mean fluorescent intensity of DCF and AO in the whole larvae. The AO positive cells were indicated by dashed rectangles. Fluorescent intensity was calculated using Image J and the values were presented as the mean of fluorescence intensity ± SD. </w:t>
      </w:r>
      <w:r w:rsidR="003930A9" w:rsidRPr="00B67D34">
        <w:rPr>
          <w:lang w:val="en-US"/>
        </w:rPr>
        <w:t>Statistical differences from the fluorescent intensity of untreated control larvae: *p&lt;0.05, and from the fluorescent intensity of TEAOH treatment group: #p&lt;0.05, ###p&lt;0.05.</w:t>
      </w:r>
    </w:p>
    <w:p w14:paraId="4A879E82" w14:textId="7459A81F" w:rsidR="009A4CC2" w:rsidRDefault="009A4CC2" w:rsidP="005E1EB7">
      <w:pPr>
        <w:spacing w:line="360" w:lineRule="auto"/>
        <w:jc w:val="both"/>
        <w:rPr>
          <w:lang w:val="en-US"/>
        </w:rPr>
      </w:pPr>
    </w:p>
    <w:p w14:paraId="714B3C95" w14:textId="60657B0F" w:rsidR="00F02E89" w:rsidRDefault="00E01693">
      <w:pPr>
        <w:spacing w:line="360" w:lineRule="auto"/>
        <w:jc w:val="both"/>
      </w:pPr>
      <w:r>
        <w:rPr>
          <w:lang w:val="en-US"/>
        </w:rPr>
        <w:t>The absence of negative impact of calcined samples was in line with the study of</w:t>
      </w:r>
      <w:r w:rsidR="0050232C">
        <w:t xml:space="preserve"> </w:t>
      </w:r>
      <w:proofErr w:type="spellStart"/>
      <w:r w:rsidR="0050232C">
        <w:t>Laurent</w:t>
      </w:r>
      <w:proofErr w:type="spellEnd"/>
      <w:r w:rsidR="0050232C">
        <w:t xml:space="preserve"> </w:t>
      </w:r>
      <w:proofErr w:type="spellStart"/>
      <w:r w:rsidR="0050232C">
        <w:t>et</w:t>
      </w:r>
      <w:proofErr w:type="spellEnd"/>
      <w:r w:rsidR="0050232C">
        <w:t xml:space="preserve"> </w:t>
      </w:r>
      <w:proofErr w:type="spellStart"/>
      <w:r w:rsidR="0050232C">
        <w:t>al</w:t>
      </w:r>
      <w:proofErr w:type="spellEnd"/>
      <w:r w:rsidR="0050232C">
        <w:t xml:space="preserve">. </w:t>
      </w:r>
      <w:r w:rsidR="0050232C">
        <w:rPr>
          <w:lang w:val="en-US"/>
        </w:rPr>
        <w:fldChar w:fldCharType="begin" w:fldLock="1"/>
      </w:r>
      <w:r w:rsidR="004746A2">
        <w:rPr>
          <w:lang w:val="en-US"/>
        </w:rPr>
        <w:instrText>ADDIN CSL_CITATION {"citationItems":[{"id":"ITEM-1","itemData":{"DOI":"10.1039/c3tx50023c","ISSN":"2045452X","abstract":"The toxicity of two types of ultra-small zeolites (8-18 nm) with LTL- and EMT-type structures is reported. Both the LTL- and EMT-type zeolites belong to the same group of molecular sieves; they have large pores (7.1-7.5 Å) and low silica content (Si/Al = 1.2-2.3). The zeolites are prepared by an environmentally friendly synthetic approach from precursor suspensions without using any organic template. Cellular interactions with the two types of zeolite nanocrystals are evaluated by cell viability, reactive oxygen species and cell life cycle assays. It is found that various concentrations of zeolites have negligible effects on the cell life cycle. Moreover, the LTL- and EMT-types zeolites did not cause extensive oxidative stress on the cells. Although it is seen that the zeolites extensively entered in the cells, there is no sign of toxicity for all employed concentrations of ultra-small EMT and LTL zeolites. Additionally, no abnormality in DNA replication while exposed to the zeolites is observed. Very importantly, the zeolite corona shows a high affinity for fibrinogen, moderate affinity for apoA-II and complement factor 3, and trace affinity for albumin, which is the most abundant protein of human plasma. Thus the zeolite nanoparticles can be considered as very promising material for purification of fibrinogen and lipoproteins. Since fibrinogen is considered as acute phase protein and found to be the most associated biomolecule in the composition of corona at the surface of zeolites, we propose that these nanoparticles can be potentially pro-inflammatory for in vivo applications. © 2013 The Royal Society of Chemistry.","author":[{"dropping-particle":"","family":"Laurent","given":"S.","non-dropping-particle":"","parse-names":false,"suffix":""},{"dropping-particle":"","family":"Ng","given":"E. P.","non-dropping-particle":"","parse-names":false,"suffix":""},{"dropping-particle":"","family":"Thirifays","given":"C.","non-dropping-particle":"","parse-names":false,"suffix":""},{"dropping-particle":"","family":"Lakiss","given":"L.","non-dropping-particle":"","parse-names":false,"suffix":""},{"dropping-particle":"","family":"Goupil","given":"G. M.","non-dropping-particle":"","parse-names":false,"suffix":""},{"dropping-particle":"","family":"Mintova","given":"S.","non-dropping-particle":"","parse-names":false,"suffix":""},{"dropping-particle":"","family":"Burtea","given":"C.","non-dropping-particle":"","parse-names":false,"suffix":""},{"dropping-particle":"","family":"Oveisi","given":"E.","non-dropping-particle":"","parse-names":false,"suffix":""},{"dropping-particle":"","family":"Hébert","given":"C.","non-dropping-particle":"","parse-names":false,"suffix":""},{"dropping-particle":"","family":"Vries","given":"M.","non-dropping-particle":"De","parse-names":false,"suffix":""},{"dropping-particle":"","family":"Motazacker","given":"M. M.","non-dropping-particle":"","parse-names":false,"suffix":""},{"dropping-particle":"","family":"Rezaee","given":"F.","non-dropping-particle":"","parse-names":false,"suffix":""},{"dropping-particle":"","family":"Mahmoudi","given":"M.","non-dropping-particle":"","parse-names":false,"suffix":""}],"container-title":"Toxicology Research","id":"ITEM-1","issued":{"date-parts":[["2013"]]},"title":"Corona protein composition and cytotoxicity evaluation of ultra-small zeolites synthesized from template free precursor suspensions","type":"article-journal"},"uris":["http://www.mendeley.com/documents/?uuid=88ade6aa-098a-383d-9730-5c4a058707fc"]}],"mendeley":{"formattedCitation":"[17]","plainTextFormattedCitation":"[17]","previouslyFormattedCitation":"[17]"},"properties":{"noteIndex":0},"schema":"https://github.com/citation-style-language/schema/raw/master/csl-citation.json"}</w:instrText>
      </w:r>
      <w:r w:rsidR="0050232C">
        <w:rPr>
          <w:lang w:val="en-US"/>
        </w:rPr>
        <w:fldChar w:fldCharType="separate"/>
      </w:r>
      <w:r w:rsidR="00B20EBB" w:rsidRPr="00B20EBB">
        <w:rPr>
          <w:noProof/>
          <w:lang w:val="en-US"/>
        </w:rPr>
        <w:t>[17]</w:t>
      </w:r>
      <w:r w:rsidR="0050232C">
        <w:rPr>
          <w:lang w:val="en-US"/>
        </w:rPr>
        <w:fldChar w:fldCharType="end"/>
      </w:r>
      <w:r w:rsidR="0050232C">
        <w:rPr>
          <w:lang w:val="en-US"/>
        </w:rPr>
        <w:t xml:space="preserve"> </w:t>
      </w:r>
      <w:r>
        <w:rPr>
          <w:lang w:val="en-US"/>
        </w:rPr>
        <w:t>which although confirmed internalization of ultra-small zeolites in HeLa cells, recorded neither oxidative stress nor abnormality in DNA replication. Considering the results obtained on non-calcined samples and TEAOH, we can conclude that OSDA leached to a certain extent from the zeolite, thus leading to ROS formation. To date, several authors emphasized that oxidative stress caused by ROS could lead to hatching delay</w:t>
      </w:r>
      <w:bookmarkStart w:id="53" w:name="__Fieldmark__14763_1509016404"/>
      <w:bookmarkEnd w:id="53"/>
      <w:r w:rsidR="007F0660">
        <w:rPr>
          <w:lang w:val="en-US"/>
        </w:rPr>
        <w:t xml:space="preserve"> </w:t>
      </w:r>
      <w:r w:rsidR="0050232C">
        <w:rPr>
          <w:lang w:val="en-US"/>
        </w:rPr>
        <w:fldChar w:fldCharType="begin" w:fldLock="1"/>
      </w:r>
      <w:r w:rsidR="00B20EBB">
        <w:rPr>
          <w:lang w:val="en-US"/>
        </w:rPr>
        <w:instrText>ADDIN CSL_CITATION {"citationItems":[{"id":"ITEM-1","itemData":{"DOI":"10.1016/j.jhazmat.2013.12.030","ISSN":"18733336","abstract":"Zinc oxide nanoparticles (ZnO NP) are extensively used in various consumer products such as sunscreens and cosmetics, with high potential of being released into aquatic environments. In this study, fertilized zebrafish (Danio rerio) eggs were exposed to various concentrations of ZnO NP suspensions (control, 0.1, 0.5, 1, 5, and 10. mg/L) or their respective centrifuged supernatants (0.03, 0.01, 0.08, 0.17, 0.75, and 1.21. mg/L dissolved Zn ions measured) until reaching free swimming stage. Exposure to ZnO NP suspensions and their respective centrifuged supernatants caused similar hatching delay, but did not cause larval mortality or malformation. Larval activity level, mean velocity, and maximum velocity were altered in the groups exposed to high concentrations of ZnO NP (5-10. mg/L) but not in the larvae exposed to the supernatants. To evaluate possible mechanism of observed effects caused by ZnO NP, we also manipulated the antioxidant environment by co-exposure to an antioxidant compound (N-acetylcysteine, NAC) or an antioxidant molecule suppressor (buthionine sulfoximine, BSO) with 5. mg/L ZnO NP. Co-exposure to NAC did not alter the effects of ZnO NP on hatchability, but co-exposure to BSO caused further hatching delay. For larval locomotor activity, co-exposure to NAC rescued the behavioral effect caused by ZnO NP, but co-exposure to BSO did not exacerbate the effect. Our data indicated that toxicity of ZnO NP cannot be solely explained by dissolved Zn ions, and oxidative stress may involve in ZnO NP toxicity. © 2013 Elsevier B.V.","author":[{"dropping-particle":"","family":"Chen","given":"Te Hao","non-dropping-particle":"","parse-names":false,"suffix":""},{"dropping-particle":"","family":"Lin","given":"Chia Chi","non-dropping-particle":"","parse-names":false,"suffix":""},{"dropping-particle":"","family":"Meng","given":"Pei Jie","non-dropping-particle":"","parse-names":false,"suffix":""}],"container-title":"Journal of Hazardous Materials","id":"ITEM-1","issued":{"date-parts":[["2014"]]},"title":"Zinc oxide nanoparticles alter hatching and larval locomotor activity in zebrafish (Danio rerio)","type":"article-journal"},"uris":["http://www.mendeley.com/documents/?uuid=f77e6421-760c-3808-a3d3-a8c8d2d2e59a"]},{"id":"ITEM-2","itemData":{"DOI":"10.1088/0957-4484/20/19/195103","ISSN":"09574484","abstract":"With extensive use of metal oxide nanoparticles (NPs) in a variety of applications comes a higher potential of release into aquatic environments. NPs tend to form much larger aggregates in water, which are expected to settle down to the bottom of the water column and possibly get mixed with the sediments. However, little is known about the environmental impacts and biological effects of these aggregated NPs in the sediment column. In this study, we examined the sedimentation of nanoscale ZnO particles (nZnO) in zebrafish culture medium, and assessed the toxicity of settled nZnO aggregates on developing zebrafish embryos and larvae. Given the known dissolution of nZnO particles to release Zn 2+ , we also assessed the toxic effect of soluble Zn 2+ in this organism. We demonstrated that within 48 h, micron-sized nZnO aggregates were formed and settled out of the culture medium. These aggregates were found to exert dose-dependent toxicity to zebrafish embryos and larvae, reducing the hatching rate and causing pericardial edema. The observed toxicity of the nZnO aggregates was not likely a result solely of particle dissolution, as soluble Zn 2+ alone caused much less toxicity to zebrafish embryos than nZnO. Instead, the combination of both nZnO and Zn 2+ may contribute to the embryonic toxicity, possibly by increasing reactive oxidative species (ROS) and/or compromising the cellular oxidative stress response. Interestingly, we demonstrated that one type of formulated sediments could mitigate the toxicity of nZnO aggregates, highlighting a possible countermeasure to reduce the adverse impact of nZnO aggregates on the environment. © 2009 IOP Publishing Ltd.","author":[{"dropping-particle":"","family":"Zhu","given":"Xiaoshan","non-dropping-particle":"","parse-names":false,"suffix":""},{"dropping-particle":"","family":"Wang","given":"Jiangxin","non-dropping-particle":"","parse-names":false,"suffix":""},{"dropping-particle":"","family":"Zhang","given":"Xuezhi","non-dropping-particle":"","parse-names":false,"suffix":""},{"dropping-particle":"","family":"Chang","given":"Yung","non-dropping-particle":"","parse-names":false,"suffix":""},{"dropping-particle":"","family":"Chen","given":"Yongsheng","non-dropping-particle":"","parse-names":false,"suffix":""}],"container-title":"Nanotechnology","id":"ITEM-2","issued":{"date-parts":[["2009"]]},"title":"The impact of ZnO nanoparticle aggregates on the embryonic development of zebrafish (Danio rerio)","type":"article-journal"},"uris":["http://www.mendeley.com/documents/?uuid=7da5a5fe-254c-35c4-815b-e87aecd3f083"]}],"mendeley":{"formattedCitation":"[64,65]","plainTextFormattedCitation":"[64,65]","previouslyFormattedCitation":"[64,65]"},"properties":{"noteIndex":0},"schema":"https://github.com/citation-style-language/schema/raw/master/csl-citation.json"}</w:instrText>
      </w:r>
      <w:r w:rsidR="0050232C">
        <w:rPr>
          <w:lang w:val="en-US"/>
        </w:rPr>
        <w:fldChar w:fldCharType="separate"/>
      </w:r>
      <w:r w:rsidR="00B20EBB" w:rsidRPr="00B20EBB">
        <w:rPr>
          <w:noProof/>
          <w:lang w:val="en-US"/>
        </w:rPr>
        <w:t>[64,65]</w:t>
      </w:r>
      <w:r w:rsidR="0050232C">
        <w:rPr>
          <w:lang w:val="en-US"/>
        </w:rPr>
        <w:fldChar w:fldCharType="end"/>
      </w:r>
      <w:r>
        <w:rPr>
          <w:lang w:val="en-US"/>
        </w:rPr>
        <w:t>.</w:t>
      </w:r>
      <w:r>
        <w:rPr>
          <w:vertAlign w:val="superscript"/>
          <w:lang w:val="en-US"/>
        </w:rPr>
        <w:t xml:space="preserve">⁠ </w:t>
      </w:r>
      <w:r>
        <w:rPr>
          <w:lang w:val="en-US"/>
        </w:rPr>
        <w:t xml:space="preserve">For that reason, we propose that exactly oxidative stress is the major mechanism underlying the toxicity of non-calcined samples and TEAOH recorded within this study. Moreover, it is important to note that the TEA itself caused </w:t>
      </w:r>
      <w:r w:rsidR="000E37D6">
        <w:rPr>
          <w:lang w:val="en-US"/>
        </w:rPr>
        <w:t xml:space="preserve">a </w:t>
      </w:r>
      <w:r w:rsidR="000E48CC">
        <w:rPr>
          <w:lang w:val="en-US"/>
        </w:rPr>
        <w:t xml:space="preserve">significantly </w:t>
      </w:r>
      <w:r>
        <w:rPr>
          <w:lang w:val="en-US"/>
        </w:rPr>
        <w:t>lower increase of the mean green fluorescence intensity (oxidative stress) than the as-prepared zeolite samples</w:t>
      </w:r>
      <w:r w:rsidR="00AB72CD">
        <w:rPr>
          <w:lang w:val="en-US"/>
        </w:rPr>
        <w:t xml:space="preserve"> (p&lt;0.05; Fig. 6)</w:t>
      </w:r>
      <w:r>
        <w:rPr>
          <w:lang w:val="en-US"/>
        </w:rPr>
        <w:t xml:space="preserve">. Regarding conducted interference controls, we did not observe any fluorescence, proving that </w:t>
      </w:r>
      <w:proofErr w:type="spellStart"/>
      <w:r>
        <w:rPr>
          <w:lang w:val="en-US"/>
        </w:rPr>
        <w:t>nano</w:t>
      </w:r>
      <w:proofErr w:type="spellEnd"/>
      <w:r>
        <w:rPr>
          <w:lang w:val="en-US"/>
        </w:rPr>
        <w:t>-zeolite samples did not produce fluorescence that would lead to false-positive results.</w:t>
      </w:r>
    </w:p>
    <w:p w14:paraId="6E601072" w14:textId="5BBAFBE3" w:rsidR="00F02E89" w:rsidRDefault="00E01693">
      <w:pPr>
        <w:spacing w:line="360" w:lineRule="auto"/>
        <w:jc w:val="both"/>
        <w:rPr>
          <w:lang w:val="en-US"/>
        </w:rPr>
      </w:pPr>
      <w:r>
        <w:rPr>
          <w:lang w:val="en-US"/>
        </w:rPr>
        <w:t>In addition, microscopic pictures of the chorion (magnification 100x) were taken (Fig. S</w:t>
      </w:r>
      <w:r w:rsidR="00383B9C">
        <w:rPr>
          <w:lang w:val="en-US"/>
        </w:rPr>
        <w:t>2</w:t>
      </w:r>
      <w:r>
        <w:rPr>
          <w:lang w:val="en-US"/>
        </w:rPr>
        <w:t xml:space="preserve">). As can be seen, zeolite samples agglomerated at the surface of the zebrafish chorion. Considering that, if OSDA leaching occurred at the surface of the chorion, fish would be in direct and </w:t>
      </w:r>
      <w:r>
        <w:rPr>
          <w:lang w:val="en-US"/>
        </w:rPr>
        <w:lastRenderedPageBreak/>
        <w:t xml:space="preserve">constant exposure, thus displaying higher oxidative stress than recorded during exposure to TEAOH itself. </w:t>
      </w:r>
    </w:p>
    <w:p w14:paraId="7663CA0A" w14:textId="758E4DE5" w:rsidR="00F02E89" w:rsidRDefault="00E01693">
      <w:pPr>
        <w:spacing w:line="360" w:lineRule="auto"/>
        <w:jc w:val="both"/>
      </w:pPr>
      <w:r>
        <w:rPr>
          <w:lang w:val="en-US"/>
        </w:rPr>
        <w:t>Such observation of nanoparticle aggregation is not uncommon.</w:t>
      </w:r>
      <w:r w:rsidR="0050232C">
        <w:rPr>
          <w:lang w:val="en-US"/>
        </w:rPr>
        <w:t xml:space="preserve"> </w:t>
      </w:r>
      <w:proofErr w:type="spellStart"/>
      <w:r w:rsidR="0050232C">
        <w:rPr>
          <w:lang w:val="en-US"/>
        </w:rPr>
        <w:t>Kashiwada</w:t>
      </w:r>
      <w:proofErr w:type="spellEnd"/>
      <w:r>
        <w:rPr>
          <w:vertAlign w:val="superscript"/>
          <w:lang w:val="en-US"/>
        </w:rPr>
        <w:t>⁠</w:t>
      </w:r>
      <w:r w:rsidR="0050232C">
        <w:rPr>
          <w:vertAlign w:val="superscript"/>
          <w:lang w:val="en-US"/>
        </w:rPr>
        <w:t xml:space="preserve"> </w:t>
      </w:r>
      <w:r w:rsidR="0050232C">
        <w:rPr>
          <w:vertAlign w:val="superscript"/>
          <w:lang w:val="en-US"/>
        </w:rPr>
        <w:fldChar w:fldCharType="begin" w:fldLock="1"/>
      </w:r>
      <w:r w:rsidR="00B20EBB">
        <w:rPr>
          <w:vertAlign w:val="superscript"/>
          <w:lang w:val="en-US"/>
        </w:rPr>
        <w:instrText>ADDIN CSL_CITATION {"citationItems":[{"id":"ITEM-1","itemData":{"DOI":"10.1289/ehp.9209","ISSN":"00916765","abstract":"Objective: Because the environmental fate of manufactured nanoparticles is considered an emerging environmental concern, I used water-suspended fluorescent nanoparticles (solid latex solution) to investigate the distribution of nanoparticles in the eggs and bodies of see-through medaka (Oryzias latipes). Results: Particles 39.4 - 42,000 nm in diameter were adsorbed to the chorion of medaka eggs and accumulated in the oil droplets; 474-nm particles had the highest bioavailability to eggs. Particles 39.4 nm in diameter shifted into the yolk and gallbladder during embryonic development. Adult medaka accumulated 39.4-nm nanoparticles mainly in the gills and intestine when exposed to a 10-mg/L nanoparticle solution. Nanoparticles were also detected in the brain, testis, liver, and blood. Concentrations of nanoparticles in the blood of male and female medaka were 16.5 and 10.5 ng/mg blood protein, respectively. These results suggest that nanoparticles are capable of penetrating the blood-brain barrier and that they eventually reach the brain. Salinity-dependent acute toxicity was observed in medaka eggs exposed for 24 hr to nanoparticles. Conclusion: The bioavailability and toxicity of nanoparticles depend on environmental factors and multiple physicochemical properties. Further studies on the toxic effects of nanoparticles used in commercial products and their environmental relevance, are necessary to define the risks and benefit of nanomaterial applications.","author":[{"dropping-particle":"","family":"Kashiwada","given":"Shosaku","non-dropping-particle":"","parse-names":false,"suffix":""}],"container-title":"Environmental Health Perspectives","id":"ITEM-1","issued":{"date-parts":[["2006"]]},"title":"Distribution of nanoparticles in the see-through medaka (Oryzias latipes)","type":"article-journal"},"uris":["http://www.mendeley.com/documents/?uuid=4fee4888-724a-310b-a265-d2fd32df7ddc"]}],"mendeley":{"formattedCitation":"[66]","plainTextFormattedCitation":"[66]","previouslyFormattedCitation":"[66]"},"properties":{"noteIndex":0},"schema":"https://github.com/citation-style-language/schema/raw/master/csl-citation.json"}</w:instrText>
      </w:r>
      <w:r w:rsidR="0050232C">
        <w:rPr>
          <w:vertAlign w:val="superscript"/>
          <w:lang w:val="en-US"/>
        </w:rPr>
        <w:fldChar w:fldCharType="separate"/>
      </w:r>
      <w:r w:rsidR="00B20EBB" w:rsidRPr="00B20EBB">
        <w:rPr>
          <w:noProof/>
          <w:lang w:val="en-US"/>
        </w:rPr>
        <w:t>[66]</w:t>
      </w:r>
      <w:r w:rsidR="0050232C">
        <w:rPr>
          <w:vertAlign w:val="superscript"/>
          <w:lang w:val="en-US"/>
        </w:rPr>
        <w:fldChar w:fldCharType="end"/>
      </w:r>
      <w:r>
        <w:rPr>
          <w:lang w:val="en-US"/>
        </w:rPr>
        <w:t xml:space="preserve"> investigated the distribution of water-suspended fluorescent nanoparticles (solid latex solution) in the eggs and shown that nanoparticles in the range from 39.4 to 42.0 nm in diameter also aggregate and adsorb on the chorion of medaka eggs. Such aggregation at the surface of the chorion can negatively affect the nutrient absorption but also vitamin synthesis</w:t>
      </w:r>
      <w:bookmarkStart w:id="54" w:name="__Fieldmark__14797_1509016404"/>
      <w:bookmarkEnd w:id="54"/>
      <w:r w:rsidR="007F0660">
        <w:rPr>
          <w:lang w:val="en-US"/>
        </w:rPr>
        <w:t xml:space="preserve"> </w:t>
      </w:r>
      <w:r w:rsidR="0050232C">
        <w:rPr>
          <w:lang w:val="en-US"/>
        </w:rPr>
        <w:fldChar w:fldCharType="begin" w:fldLock="1"/>
      </w:r>
      <w:r w:rsidR="00B20EBB">
        <w:rPr>
          <w:lang w:val="en-US"/>
        </w:rPr>
        <w:instrText>ADDIN CSL_CITATION {"citationItems":[{"id":"ITEM-1","itemData":{"DOI":"10.1371/journal.pone.0074606","ISSN":"19326203","abstract":"Silica nanoparticles (SiNPs) have been widely used in biomedical and biotechnological applications. Environmental exposure to nanomaterials is inevitable as they become part of our daily life. Therefore, it is necessary to investigate the possible toxic effects of SiNPs exposure. In this study, zebrafish embryos were treated with SiNPs (25, 50, 100, 200 μg/mL) during 4-96 hours post fertilization (hpf). Mortality, hatching rate, malformation and whole-embryo cellular death were detected. We also measured the larval behavior to analyze whether SiNPs had adverse effects on larvae locomotor activity. The results showed that as the exposure dosages increasing, the hatching rate of zebrafish embryos was decreased while the mortality and cell death were increased. Exposure to SiNPs caused embryonic malformations, including pericardial edema, yolk sac edema, tail and head malformation. The larval behavior testing showed that the total swimming distance was decreased in a dose-dependent manner. The lower dose (25 and 50 μg/mL SiNPs) produced substantial hyperactivity while the higher doses (100 and 200 μg/mL SiNPs) elicited remarkably hypoactivity in dark periods. In summary, our data indicated that SiNPs caused embryonic developmental toxicity, resulted in persistent effects on larval behavior. © 2013 Duan et al.","author":[{"dropping-particle":"","family":"Duan","given":"Junchao","non-dropping-particle":"","parse-names":false,"suffix":""},{"dropping-particle":"","family":"Yu","given":"Yongbo","non-dropping-particle":"","parse-names":false,"suffix":""},{"dropping-particle":"","family":"Shi","given":"Huiqin","non-dropping-particle":"","parse-names":false,"suffix":""},{"dropping-particle":"","family":"Tian","given":"Linwei","non-dropping-particle":"","parse-names":false,"suffix":""},{"dropping-particle":"","family":"Guo","given":"Caixia","non-dropping-particle":"","parse-names":false,"suffix":""},{"dropping-particle":"","family":"Huang","given":"Peili","non-dropping-particle":"","parse-names":false,"suffix":""},{"dropping-particle":"","family":"Zhou","given":"Xianqing","non-dropping-particle":"","parse-names":false,"suffix":""},{"dropping-particle":"","family":"Peng","given":"Shuangqing","non-dropping-particle":"","parse-names":false,"suffix":""},{"dropping-particle":"","family":"Sun","given":"Zhiwei","non-dropping-particle":"","parse-names":false,"suffix":""}],"container-title":"PLoS ONE","id":"ITEM-1","issued":{"date-parts":[["2013"]]},"title":"Toxic Effects of Silica Nanoparticles on Zebrafish Embryos and Larvae","type":"article-journal"},"uris":["http://www.mendeley.com/documents/?uuid=2e755ee9-e6e3-32e7-a51e-99cd272e53dc"]}],"mendeley":{"formattedCitation":"[67]","plainTextFormattedCitation":"[67]","previouslyFormattedCitation":"[67]"},"properties":{"noteIndex":0},"schema":"https://github.com/citation-style-language/schema/raw/master/csl-citation.json"}</w:instrText>
      </w:r>
      <w:r w:rsidR="0050232C">
        <w:rPr>
          <w:lang w:val="en-US"/>
        </w:rPr>
        <w:fldChar w:fldCharType="separate"/>
      </w:r>
      <w:r w:rsidR="00B20EBB" w:rsidRPr="00B20EBB">
        <w:rPr>
          <w:noProof/>
          <w:lang w:val="en-US"/>
        </w:rPr>
        <w:t>[67]</w:t>
      </w:r>
      <w:r w:rsidR="0050232C">
        <w:rPr>
          <w:lang w:val="en-US"/>
        </w:rPr>
        <w:fldChar w:fldCharType="end"/>
      </w:r>
      <w:r>
        <w:rPr>
          <w:lang w:val="en-US"/>
        </w:rPr>
        <w:t xml:space="preserve">, impacting thus zebrafish embryonic development. Accordingly, limitations of chorion permeability for nanoparticles, as well as nanoparticle aggregation and adsorption on the chorion should be </w:t>
      </w:r>
      <w:proofErr w:type="gramStart"/>
      <w:r>
        <w:rPr>
          <w:lang w:val="en-US"/>
        </w:rPr>
        <w:t>taken into account</w:t>
      </w:r>
      <w:proofErr w:type="gramEnd"/>
      <w:r>
        <w:rPr>
          <w:lang w:val="en-US"/>
        </w:rPr>
        <w:t xml:space="preserve"> during the toxicity evaluation of nanoparticles on zebrafish embryos.</w:t>
      </w:r>
    </w:p>
    <w:p w14:paraId="0B5426E8" w14:textId="77777777" w:rsidR="00BE0A96" w:rsidRDefault="00BE0A96" w:rsidP="00BE0A96">
      <w:pPr>
        <w:spacing w:line="360" w:lineRule="auto"/>
        <w:rPr>
          <w:rFonts w:eastAsiaTheme="minorHAnsi"/>
          <w:lang w:val="en-US"/>
        </w:rPr>
      </w:pPr>
    </w:p>
    <w:p w14:paraId="366558F1" w14:textId="77777777" w:rsidR="00F02E89" w:rsidRDefault="00E01693">
      <w:pPr>
        <w:spacing w:line="360" w:lineRule="auto"/>
        <w:jc w:val="both"/>
        <w:rPr>
          <w:b/>
          <w:lang w:val="en-US"/>
        </w:rPr>
      </w:pPr>
      <w:r>
        <w:rPr>
          <w:b/>
          <w:lang w:val="en-US"/>
        </w:rPr>
        <w:t>3.4. TG analysis – interactions between zebrafish and zeolite nanoparticles</w:t>
      </w:r>
    </w:p>
    <w:p w14:paraId="6911D40A" w14:textId="6FA9AAA6" w:rsidR="00BE0A96" w:rsidRDefault="00E01693">
      <w:pPr>
        <w:spacing w:line="360" w:lineRule="auto"/>
        <w:jc w:val="both"/>
        <w:rPr>
          <w:lang w:val="en-US"/>
        </w:rPr>
      </w:pPr>
      <w:r>
        <w:rPr>
          <w:lang w:val="en-US"/>
        </w:rPr>
        <w:t>Many studies emphasize the fact that the chorion represents a barrier of limited permeability, highlighting thus their importance during embryonic development of zebrafish</w:t>
      </w:r>
      <w:bookmarkStart w:id="55" w:name="__Fieldmark__14807_1509016404"/>
      <w:bookmarkEnd w:id="55"/>
      <w:r w:rsidR="0053672E">
        <w:rPr>
          <w:lang w:val="en-US"/>
        </w:rPr>
        <w:t xml:space="preserve"> </w:t>
      </w:r>
      <w:r w:rsidR="00C33566">
        <w:rPr>
          <w:lang w:val="en-US"/>
        </w:rPr>
        <w:fldChar w:fldCharType="begin" w:fldLock="1"/>
      </w:r>
      <w:r w:rsidR="00B20EBB">
        <w:rPr>
          <w:lang w:val="en-US"/>
        </w:rPr>
        <w:instrText>ADDIN CSL_CITATION {"citationItems":[{"id":"ITEM-1","itemData":{"DOI":"10.3109/17435390.2013.778345","ISSN":"17435390","abstract":"Aquatic organisms are susceptible to waterborne nanoparticles (NP) and there is only limited understanding of the mechanisms by which these emerging contaminants may affect biological processes. This study used silicon (nSi), cadmium selenide (nCdSe), silver (nAg) and zinc NPs (nZnO) as well as single-walled carbon nanotubes (SWCNT) to assess NP effects on zebrafish (Danio rerio) hatch. Exposure of 10 mg/L nAg and nCdSe delayed zebrafish hatch and 100 mg/L of nCdSe as well as 10 and 100 mg/L of uncoated nZnO completely inhibited hatch and the embryos died within the chorion. Both the morphology and the movement of the embryos were not affected, and it was determined that the main mechanism of hatch inhibition by NPs is likely through the interaction of NPs with the zebrafish hatching enzyme. Furthermore, it was concluded that the observed effects arose from the NPs themselves and not their dissolved metal components. © 2014 Informa UK, Ltd.","author":[{"dropping-particle":"","family":"Ong","given":"Kimberly Jessica","non-dropping-particle":"","parse-names":false,"suffix":""},{"dropping-particle":"","family":"Zhao","given":"Xinxin","non-dropping-particle":"","parse-names":false,"suffix":""},{"dropping-particle":"","family":"Thistle","given":"Maria E.","non-dropping-particle":"","parse-names":false,"suffix":""},{"dropping-particle":"","family":"Maccormack","given":"Tyson J.","non-dropping-particle":"","parse-names":false,"suffix":""},{"dropping-particle":"","family":"Clark","given":"Rhett J.","non-dropping-particle":"","parse-names":false,"suffix":""},{"dropping-particle":"","family":"Ma","given":"Guibin","non-dropping-particle":"","parse-names":false,"suffix":""},{"dropping-particle":"","family":"Martinez-Rubi","given":"Yadienka","non-dropping-particle":"","parse-names":false,"suffix":""},{"dropping-particle":"","family":"Simard","given":"Benoit","non-dropping-particle":"","parse-names":false,"suffix":""},{"dropping-particle":"","family":"Loo","given":"Joachim Say Chye","non-dropping-particle":"","parse-names":false,"suffix":""},{"dropping-particle":"","family":"Veinot","given":"Jonathan G.C.","non-dropping-particle":"","parse-names":false,"suffix":""},{"dropping-particle":"","family":"Goss","given":"Greg G.","non-dropping-particle":"","parse-names":false,"suffix":""}],"container-title":"Nanotoxicology","id":"ITEM-1","issued":{"date-parts":[["2014"]]},"title":"Mechanistic insights into the effect of nanoparticles on zebrafish hatch","type":"article-journal"},"uris":["http://www.mendeley.com/documents/?uuid=7a3b8230-d922-3b2d-a6f2-511ff9fe25f1"]},{"id":"ITEM-2","itemData":{"DOI":"10.5620/eht.e2014021","ISSN":"2233-6567","abstract":"OBJECTIVES: This study was designed to investigate how the size- and surface coating-dependent toxicity of silver nanoparticles (AgNPs) is influenced by the presence and absence of the chorion in an embryonic zebrafish assay.\\n\\nMETHODS: Normal and dechorinated embryos were exposed to four different AgNPs, 20 or 110 nm in size, with polypyrrolidone (PVP) or citrate surface coatings in a standard zebrafish embryo medium (EM). This was then compared to a 62.5 μM calcium chloride (CaCl2) solution where agglomeration was controlled.\\n\\nRESULTS: Embryonic toxicity in the absence of the chorion was greater than in its presence. The smaller 20 nm AgNPs were more toxic than the larger 110 nm AgNPs, regardless of the chorion and test media. However, surface coating affected toxicity, since PVPcoated AgNPs were more toxic than citrate-coated AgNPs; this was strongly affected by the presence of the chorion in both EM and CaCl2.\\n\\nCONCLUSIONS: Our results demonstrate the permeability function of the chorion on the size- and surface coating-dependent toxicity of AgNPs. Thereafter, careful experiment should be conducted to assess nanoparticle toxicity in zebrafish embryos.","author":[{"dropping-particle":"","family":"Kim","given":"Ki-Tae","non-dropping-particle":"","parse-names":false,"suffix":""},{"dropping-particle":"","family":"Tanguay","given":"Robert L.","non-dropping-particle":"","parse-names":false,"suffix":""}],"container-title":"Environmental Health and Toxicology","id":"ITEM-2","issued":{"date-parts":[["2014"]]},"title":"The role of chorion on toxicity of silver nanoparticles in the embryonic zebrafish assay","type":"article-journal"},"uris":["http://www.mendeley.com/documents/?uuid=54535036-e7b5-3e84-b39a-b1b16e96ec9a"]}],"mendeley":{"formattedCitation":"[68,69]","plainTextFormattedCitation":"[68,69]","previouslyFormattedCitation":"[68,69]"},"properties":{"noteIndex":0},"schema":"https://github.com/citation-style-language/schema/raw/master/csl-citation.json"}</w:instrText>
      </w:r>
      <w:r w:rsidR="00C33566">
        <w:rPr>
          <w:lang w:val="en-US"/>
        </w:rPr>
        <w:fldChar w:fldCharType="separate"/>
      </w:r>
      <w:r w:rsidR="00B20EBB" w:rsidRPr="00B20EBB">
        <w:rPr>
          <w:noProof/>
          <w:lang w:val="en-US"/>
        </w:rPr>
        <w:t>[68,69]</w:t>
      </w:r>
      <w:r w:rsidR="00C33566">
        <w:rPr>
          <w:lang w:val="en-US"/>
        </w:rPr>
        <w:fldChar w:fldCharType="end"/>
      </w:r>
      <w:r>
        <w:rPr>
          <w:lang w:val="en-US"/>
        </w:rPr>
        <w:t>.</w:t>
      </w:r>
      <w:r>
        <w:rPr>
          <w:vertAlign w:val="superscript"/>
          <w:lang w:val="en-US"/>
        </w:rPr>
        <w:t>⁠</w:t>
      </w:r>
      <w:r>
        <w:rPr>
          <w:lang w:val="en-US"/>
        </w:rPr>
        <w:t xml:space="preserve"> The pore size of the chorion is estimated from 0.6 - 0.7 µm</w:t>
      </w:r>
      <w:bookmarkStart w:id="56" w:name="__Fieldmark__14821_1509016404"/>
      <w:bookmarkEnd w:id="56"/>
      <w:r w:rsidR="0053672E">
        <w:rPr>
          <w:lang w:val="en-US"/>
        </w:rPr>
        <w:t xml:space="preserve"> </w:t>
      </w:r>
      <w:r w:rsidR="00C33566">
        <w:rPr>
          <w:lang w:val="en-US"/>
        </w:rPr>
        <w:fldChar w:fldCharType="begin" w:fldLock="1"/>
      </w:r>
      <w:r w:rsidR="00B20EBB">
        <w:rPr>
          <w:lang w:val="en-US"/>
        </w:rPr>
        <w:instrText>ADDIN CSL_CITATION {"citationItems":[{"id":"ITEM-1","itemData":{"DOI":"10.5620/eht.e2014021","ISSN":"2233-6567","abstract":"OBJECTIVES: This study was designed to investigate how the size- and surface coating-dependent toxicity of silver nanoparticles (AgNPs) is influenced by the presence and absence of the chorion in an embryonic zebrafish assay.\\n\\nMETHODS: Normal and dechorinated embryos were exposed to four different AgNPs, 20 or 110 nm in size, with polypyrrolidone (PVP) or citrate surface coatings in a standard zebrafish embryo medium (EM). This was then compared to a 62.5 μM calcium chloride (CaCl2) solution where agglomeration was controlled.\\n\\nRESULTS: Embryonic toxicity in the absence of the chorion was greater than in its presence. The smaller 20 nm AgNPs were more toxic than the larger 110 nm AgNPs, regardless of the chorion and test media. However, surface coating affected toxicity, since PVPcoated AgNPs were more toxic than citrate-coated AgNPs; this was strongly affected by the presence of the chorion in both EM and CaCl2.\\n\\nCONCLUSIONS: Our results demonstrate the permeability function of the chorion on the size- and surface coating-dependent toxicity of AgNPs. Thereafter, careful experiment should be conducted to assess nanoparticle toxicity in zebrafish embryos.","author":[{"dropping-particle":"","family":"Kim","given":"Ki-Tae","non-dropping-particle":"","parse-names":false,"suffix":""},{"dropping-particle":"","family":"Tanguay","given":"Robert L.","non-dropping-particle":"","parse-names":false,"suffix":""}],"container-title":"Environmental Health and Toxicology","id":"ITEM-1","issued":{"date-parts":[["2014"]]},"title":"The role of chorion on toxicity of silver nanoparticles in the embryonic zebrafish assay","type":"article-journal"},"uris":["http://www.mendeley.com/documents/?uuid=54535036-e7b5-3e84-b39a-b1b16e96ec9a"]}],"mendeley":{"formattedCitation":"[69]","plainTextFormattedCitation":"[69]","previouslyFormattedCitation":"[69]"},"properties":{"noteIndex":0},"schema":"https://github.com/citation-style-language/schema/raw/master/csl-citation.json"}</w:instrText>
      </w:r>
      <w:r w:rsidR="00C33566">
        <w:rPr>
          <w:lang w:val="en-US"/>
        </w:rPr>
        <w:fldChar w:fldCharType="separate"/>
      </w:r>
      <w:r w:rsidR="00B20EBB" w:rsidRPr="00B20EBB">
        <w:rPr>
          <w:noProof/>
          <w:lang w:val="en-US"/>
        </w:rPr>
        <w:t>[69]</w:t>
      </w:r>
      <w:r w:rsidR="00C33566">
        <w:rPr>
          <w:lang w:val="en-US"/>
        </w:rPr>
        <w:fldChar w:fldCharType="end"/>
      </w:r>
      <w:r>
        <w:rPr>
          <w:lang w:val="en-US"/>
        </w:rPr>
        <w:t>,⁠ which is in theory larger than the size of zeolite nanoparticles used within this study. Despite nanoparticles are known to aggregate and form larger agglomerates which complicate their interaction with the model organism</w:t>
      </w:r>
      <w:r w:rsidR="00C33566">
        <w:rPr>
          <w:lang w:val="en-US"/>
        </w:rPr>
        <w:t xml:space="preserve"> Kim and </w:t>
      </w:r>
      <w:proofErr w:type="spellStart"/>
      <w:r w:rsidR="00C33566">
        <w:rPr>
          <w:lang w:val="en-US"/>
        </w:rPr>
        <w:t>Tanguay</w:t>
      </w:r>
      <w:proofErr w:type="spellEnd"/>
      <w:r>
        <w:rPr>
          <w:lang w:val="en-US"/>
        </w:rPr>
        <w:t xml:space="preserve"> </w:t>
      </w:r>
      <w:r w:rsidR="00C33566">
        <w:rPr>
          <w:lang w:val="en-US"/>
        </w:rPr>
        <w:fldChar w:fldCharType="begin" w:fldLock="1"/>
      </w:r>
      <w:r w:rsidR="00B20EBB">
        <w:rPr>
          <w:lang w:val="en-US"/>
        </w:rPr>
        <w:instrText>ADDIN CSL_CITATION {"citationItems":[{"id":"ITEM-1","itemData":{"DOI":"10.5620/eht.e2014021","ISSN":"2233-6567","abstract":"OBJECTIVES: This study was designed to investigate how the size- and surface coating-dependent toxicity of silver nanoparticles (AgNPs) is influenced by the presence and absence of the chorion in an embryonic zebrafish assay.\\n\\nMETHODS: Normal and dechorinated embryos were exposed to four different AgNPs, 20 or 110 nm in size, with polypyrrolidone (PVP) or citrate surface coatings in a standard zebrafish embryo medium (EM). This was then compared to a 62.5 μM calcium chloride (CaCl2) solution where agglomeration was controlled.\\n\\nRESULTS: Embryonic toxicity in the absence of the chorion was greater than in its presence. The smaller 20 nm AgNPs were more toxic than the larger 110 nm AgNPs, regardless of the chorion and test media. However, surface coating affected toxicity, since PVPcoated AgNPs were more toxic than citrate-coated AgNPs; this was strongly affected by the presence of the chorion in both EM and CaCl2.\\n\\nCONCLUSIONS: Our results demonstrate the permeability function of the chorion on the size- and surface coating-dependent toxicity of AgNPs. Thereafter, careful experiment should be conducted to assess nanoparticle toxicity in zebrafish embryos.","author":[{"dropping-particle":"","family":"Kim","given":"Ki-Tae","non-dropping-particle":"","parse-names":false,"suffix":""},{"dropping-particle":"","family":"Tanguay","given":"Robert L.","non-dropping-particle":"","parse-names":false,"suffix":""}],"container-title":"Environmental Health and Toxicology","id":"ITEM-1","issued":{"date-parts":[["2014"]]},"title":"The role of chorion on toxicity of silver nanoparticles in the embryonic zebrafish assay","type":"article-journal"},"uris":["http://www.mendeley.com/documents/?uuid=54535036-e7b5-3e84-b39a-b1b16e96ec9a"]}],"mendeley":{"formattedCitation":"[69]","plainTextFormattedCitation":"[69]","previouslyFormattedCitation":"[69]"},"properties":{"noteIndex":0},"schema":"https://github.com/citation-style-language/schema/raw/master/csl-citation.json"}</w:instrText>
      </w:r>
      <w:r w:rsidR="00C33566">
        <w:rPr>
          <w:lang w:val="en-US"/>
        </w:rPr>
        <w:fldChar w:fldCharType="separate"/>
      </w:r>
      <w:r w:rsidR="00B20EBB" w:rsidRPr="00B20EBB">
        <w:rPr>
          <w:noProof/>
          <w:lang w:val="en-US"/>
        </w:rPr>
        <w:t>[69]</w:t>
      </w:r>
      <w:r w:rsidR="00C33566">
        <w:rPr>
          <w:lang w:val="en-US"/>
        </w:rPr>
        <w:fldChar w:fldCharType="end"/>
      </w:r>
      <w:r w:rsidR="00C33566">
        <w:rPr>
          <w:lang w:val="en-US"/>
        </w:rPr>
        <w:t xml:space="preserve"> </w:t>
      </w:r>
      <w:r>
        <w:rPr>
          <w:lang w:val="en-US"/>
        </w:rPr>
        <w:t>and</w:t>
      </w:r>
      <w:r w:rsidR="00C33566">
        <w:t xml:space="preserve"> </w:t>
      </w:r>
      <w:proofErr w:type="spellStart"/>
      <w:r w:rsidR="00C33566">
        <w:t>Kashiwada</w:t>
      </w:r>
      <w:proofErr w:type="spellEnd"/>
      <w:r w:rsidR="00C33566">
        <w:t xml:space="preserve"> </w:t>
      </w:r>
      <w:r w:rsidR="00C33566">
        <w:fldChar w:fldCharType="begin" w:fldLock="1"/>
      </w:r>
      <w:r w:rsidR="00B20EBB">
        <w:instrText>ADDIN CSL_CITATION {"citationItems":[{"id":"ITEM-1","itemData":{"DOI":"10.1289/ehp.9209","ISSN":"00916765","abstract":"Objective: Because the environmental fate of manufactured nanoparticles is considered an emerging environmental concern, I used water-suspended fluorescent nanoparticles (solid latex solution) to investigate the distribution of nanoparticles in the eggs and bodies of see-through medaka (Oryzias latipes). Results: Particles 39.4 - 42,000 nm in diameter were adsorbed to the chorion of medaka eggs and accumulated in the oil droplets; 474-nm particles had the highest bioavailability to eggs. Particles 39.4 nm in diameter shifted into the yolk and gallbladder during embryonic development. Adult medaka accumulated 39.4-nm nanoparticles mainly in the gills and intestine when exposed to a 10-mg/L nanoparticle solution. Nanoparticles were also detected in the brain, testis, liver, and blood. Concentrations of nanoparticles in the blood of male and female medaka were 16.5 and 10.5 ng/mg blood protein, respectively. These results suggest that nanoparticles are capable of penetrating the blood-brain barrier and that they eventually reach the brain. Salinity-dependent acute toxicity was observed in medaka eggs exposed for 24 hr to nanoparticles. Conclusion: The bioavailability and toxicity of nanoparticles depend on environmental factors and multiple physicochemical properties. Further studies on the toxic effects of nanoparticles used in commercial products and their environmental relevance, are necessary to define the risks and benefit of nanomaterial applications.","author":[{"dropping-particle":"","family":"Kashiwada","given":"Shosaku","non-dropping-particle":"","parse-names":false,"suffix":""}],"container-title":"Environmental Health Perspectives","id":"ITEM-1","issued":{"date-parts":[["2006"]]},"title":"Distribution of nanoparticles in the see-through medaka (Oryzias latipes)","type":"article-journal"},"uris":["http://www.mendeley.com/documents/?uuid=4fee4888-724a-310b-a265-d2fd32df7ddc"]}],"mendeley":{"formattedCitation":"[66]","plainTextFormattedCitation":"[66]","previouslyFormattedCitation":"[66]"},"properties":{"noteIndex":0},"schema":"https://github.com/citation-style-language/schema/raw/master/csl-citation.json"}</w:instrText>
      </w:r>
      <w:r w:rsidR="00C33566">
        <w:fldChar w:fldCharType="separate"/>
      </w:r>
      <w:r w:rsidR="00B20EBB" w:rsidRPr="00B20EBB">
        <w:rPr>
          <w:noProof/>
        </w:rPr>
        <w:t>[66]</w:t>
      </w:r>
      <w:r w:rsidR="00C33566">
        <w:fldChar w:fldCharType="end"/>
      </w:r>
      <w:r>
        <w:rPr>
          <w:lang w:val="es-ES"/>
        </w:rPr>
        <w:t xml:space="preserve"> </w:t>
      </w:r>
      <w:proofErr w:type="spellStart"/>
      <w:r>
        <w:rPr>
          <w:lang w:val="es-ES"/>
        </w:rPr>
        <w:t>pointed</w:t>
      </w:r>
      <w:proofErr w:type="spellEnd"/>
      <w:r>
        <w:rPr>
          <w:lang w:val="es-ES"/>
        </w:rPr>
        <w:t xml:space="preserve"> </w:t>
      </w:r>
      <w:proofErr w:type="spellStart"/>
      <w:r>
        <w:rPr>
          <w:lang w:val="es-ES"/>
        </w:rPr>
        <w:t>out</w:t>
      </w:r>
      <w:proofErr w:type="spellEnd"/>
      <w:r>
        <w:rPr>
          <w:lang w:val="es-ES"/>
        </w:rPr>
        <w:t xml:space="preserve"> </w:t>
      </w:r>
      <w:proofErr w:type="spellStart"/>
      <w:r>
        <w:rPr>
          <w:lang w:val="es-ES"/>
        </w:rPr>
        <w:t>that</w:t>
      </w:r>
      <w:proofErr w:type="spellEnd"/>
      <w:r>
        <w:rPr>
          <w:lang w:val="es-ES"/>
        </w:rPr>
        <w:t xml:space="preserve"> </w:t>
      </w:r>
      <w:proofErr w:type="spellStart"/>
      <w:r>
        <w:rPr>
          <w:lang w:val="es-ES"/>
        </w:rPr>
        <w:t>such</w:t>
      </w:r>
      <w:proofErr w:type="spellEnd"/>
      <w:r>
        <w:rPr>
          <w:lang w:val="es-ES"/>
        </w:rPr>
        <w:t xml:space="preserve"> </w:t>
      </w:r>
      <w:proofErr w:type="spellStart"/>
      <w:r>
        <w:rPr>
          <w:lang w:val="es-ES"/>
        </w:rPr>
        <w:t>observation</w:t>
      </w:r>
      <w:proofErr w:type="spellEnd"/>
      <w:r>
        <w:rPr>
          <w:lang w:val="es-ES"/>
        </w:rPr>
        <w:t xml:space="preserve"> </w:t>
      </w:r>
      <w:proofErr w:type="spellStart"/>
      <w:r>
        <w:rPr>
          <w:lang w:val="es-ES"/>
        </w:rPr>
        <w:t>did</w:t>
      </w:r>
      <w:proofErr w:type="spellEnd"/>
      <w:r>
        <w:rPr>
          <w:lang w:val="es-ES"/>
        </w:rPr>
        <w:t xml:space="preserve"> </w:t>
      </w:r>
      <w:proofErr w:type="spellStart"/>
      <w:r>
        <w:rPr>
          <w:lang w:val="es-ES"/>
        </w:rPr>
        <w:t>not</w:t>
      </w:r>
      <w:proofErr w:type="spellEnd"/>
      <w:r>
        <w:rPr>
          <w:lang w:val="es-ES"/>
        </w:rPr>
        <w:t xml:space="preserve"> </w:t>
      </w:r>
      <w:proofErr w:type="spellStart"/>
      <w:r>
        <w:rPr>
          <w:lang w:val="es-ES"/>
        </w:rPr>
        <w:t>prevent</w:t>
      </w:r>
      <w:proofErr w:type="spellEnd"/>
      <w:r>
        <w:rPr>
          <w:lang w:val="es-ES"/>
        </w:rPr>
        <w:t xml:space="preserve"> </w:t>
      </w:r>
      <w:proofErr w:type="spellStart"/>
      <w:r>
        <w:rPr>
          <w:lang w:val="es-ES"/>
        </w:rPr>
        <w:t>their</w:t>
      </w:r>
      <w:proofErr w:type="spellEnd"/>
      <w:r>
        <w:rPr>
          <w:lang w:val="es-ES"/>
        </w:rPr>
        <w:t xml:space="preserve"> </w:t>
      </w:r>
      <w:proofErr w:type="spellStart"/>
      <w:r>
        <w:rPr>
          <w:lang w:val="es-ES"/>
        </w:rPr>
        <w:t>accumulation</w:t>
      </w:r>
      <w:proofErr w:type="spellEnd"/>
      <w:r>
        <w:rPr>
          <w:lang w:val="es-ES"/>
        </w:rPr>
        <w:t xml:space="preserve"> in </w:t>
      </w:r>
      <w:proofErr w:type="spellStart"/>
      <w:r>
        <w:rPr>
          <w:lang w:val="es-ES"/>
        </w:rPr>
        <w:t>medaka</w:t>
      </w:r>
      <w:proofErr w:type="spellEnd"/>
      <w:r>
        <w:rPr>
          <w:lang w:val="es-ES"/>
        </w:rPr>
        <w:t xml:space="preserve"> </w:t>
      </w:r>
      <w:proofErr w:type="spellStart"/>
      <w:r>
        <w:rPr>
          <w:lang w:val="es-ES"/>
        </w:rPr>
        <w:t>fish</w:t>
      </w:r>
      <w:proofErr w:type="spellEnd"/>
      <w:r>
        <w:rPr>
          <w:lang w:val="es-ES"/>
        </w:rPr>
        <w:t xml:space="preserve">. </w:t>
      </w:r>
      <w:r>
        <w:rPr>
          <w:lang w:val="en-US"/>
        </w:rPr>
        <w:t>In fact, 474-nm water-suspended fluorescent nanoparticles had the highest bioavailability to eggs, while particles of 39.4 nm in diameter shifted into the yolk and gallbladder along with embryonic development</w:t>
      </w:r>
      <w:bookmarkStart w:id="57" w:name="__Fieldmark__14873_1509016404"/>
      <w:bookmarkEnd w:id="57"/>
      <w:r w:rsidR="0053672E">
        <w:rPr>
          <w:lang w:val="en-US"/>
        </w:rPr>
        <w:t xml:space="preserve"> </w:t>
      </w:r>
      <w:r w:rsidR="00C33566">
        <w:rPr>
          <w:lang w:val="en-US"/>
        </w:rPr>
        <w:fldChar w:fldCharType="begin" w:fldLock="1"/>
      </w:r>
      <w:r w:rsidR="00B20EBB">
        <w:rPr>
          <w:lang w:val="en-US"/>
        </w:rPr>
        <w:instrText>ADDIN CSL_CITATION {"citationItems":[{"id":"ITEM-1","itemData":{"DOI":"10.1289/ehp.9209","ISSN":"00916765","abstract":"Objective: Because the environmental fate of manufactured nanoparticles is considered an emerging environmental concern, I used water-suspended fluorescent nanoparticles (solid latex solution) to investigate the distribution of nanoparticles in the eggs and bodies of see-through medaka (Oryzias latipes). Results: Particles 39.4 - 42,000 nm in diameter were adsorbed to the chorion of medaka eggs and accumulated in the oil droplets; 474-nm particles had the highest bioavailability to eggs. Particles 39.4 nm in diameter shifted into the yolk and gallbladder during embryonic development. Adult medaka accumulated 39.4-nm nanoparticles mainly in the gills and intestine when exposed to a 10-mg/L nanoparticle solution. Nanoparticles were also detected in the brain, testis, liver, and blood. Concentrations of nanoparticles in the blood of male and female medaka were 16.5 and 10.5 ng/mg blood protein, respectively. These results suggest that nanoparticles are capable of penetrating the blood-brain barrier and that they eventually reach the brain. Salinity-dependent acute toxicity was observed in medaka eggs exposed for 24 hr to nanoparticles. Conclusion: The bioavailability and toxicity of nanoparticles depend on environmental factors and multiple physicochemical properties. Further studies on the toxic effects of nanoparticles used in commercial products and their environmental relevance, are necessary to define the risks and benefit of nanomaterial applications.","author":[{"dropping-particle":"","family":"Kashiwada","given":"Shosaku","non-dropping-particle":"","parse-names":false,"suffix":""}],"container-title":"Environmental Health Perspectives","id":"ITEM-1","issued":{"date-parts":[["2006"]]},"title":"Distribution of nanoparticles in the see-through medaka (Oryzias latipes)","type":"article-journal"},"uris":["http://www.mendeley.com/documents/?uuid=4fee4888-724a-310b-a265-d2fd32df7ddc"]}],"mendeley":{"formattedCitation":"[66]","plainTextFormattedCitation":"[66]","previouslyFormattedCitation":"[66]"},"properties":{"noteIndex":0},"schema":"https://github.com/citation-style-language/schema/raw/master/csl-citation.json"}</w:instrText>
      </w:r>
      <w:r w:rsidR="00C33566">
        <w:rPr>
          <w:lang w:val="en-US"/>
        </w:rPr>
        <w:fldChar w:fldCharType="separate"/>
      </w:r>
      <w:r w:rsidR="00B20EBB" w:rsidRPr="00B20EBB">
        <w:rPr>
          <w:noProof/>
          <w:lang w:val="en-US"/>
        </w:rPr>
        <w:t>[66]</w:t>
      </w:r>
      <w:r w:rsidR="00C33566">
        <w:rPr>
          <w:lang w:val="en-US"/>
        </w:rPr>
        <w:fldChar w:fldCharType="end"/>
      </w:r>
      <w:r>
        <w:rPr>
          <w:lang w:val="en-US"/>
        </w:rPr>
        <w:t>.⁠ To date, it is entirely unknown whether zeolite beta nanoparticles can enter the embryos and whether they are biocompatible. Thus, TG analysis of the dried fish was performed in order to determine if tested zeolite samples interact with the chorion/fish (</w:t>
      </w:r>
      <w:proofErr w:type="spellStart"/>
      <w:r>
        <w:rPr>
          <w:lang w:val="en-US"/>
        </w:rPr>
        <w:t>Tbl</w:t>
      </w:r>
      <w:proofErr w:type="spellEnd"/>
      <w:r>
        <w:rPr>
          <w:lang w:val="en-US"/>
        </w:rPr>
        <w:t xml:space="preserve">. </w:t>
      </w:r>
      <w:r w:rsidR="00937F31">
        <w:rPr>
          <w:lang w:val="en-US"/>
        </w:rPr>
        <w:t>2</w:t>
      </w:r>
      <w:r>
        <w:rPr>
          <w:lang w:val="en-US"/>
        </w:rPr>
        <w:t xml:space="preserve">). The weight fraction of the solid residue for the control was 7.03 </w:t>
      </w:r>
      <w:proofErr w:type="spellStart"/>
      <w:r>
        <w:rPr>
          <w:lang w:val="en-US"/>
        </w:rPr>
        <w:t>wt</w:t>
      </w:r>
      <w:proofErr w:type="spellEnd"/>
      <w:r>
        <w:rPr>
          <w:lang w:val="en-US"/>
        </w:rPr>
        <w:t xml:space="preserve">% of the initial mass of the dried larvae. TG analysis confirmed that the larvae which were exposed to zeolite beta suspensions exhibit a higher quantity of the solid phase remaining after the analysis, but differences are observed according to the particle size. </w:t>
      </w:r>
    </w:p>
    <w:p w14:paraId="4B7FD44D" w14:textId="7740812C" w:rsidR="00F02E89" w:rsidRDefault="00E01693">
      <w:pPr>
        <w:spacing w:line="360" w:lineRule="auto"/>
        <w:jc w:val="both"/>
        <w:rPr>
          <w:lang w:val="en-US"/>
        </w:rPr>
      </w:pPr>
      <w:r>
        <w:rPr>
          <w:lang w:val="en-US"/>
        </w:rPr>
        <w:t xml:space="preserve">Considering the results of TG analysis and the fact that fish exposed to BEA-140-calc hatched normally, while specimens exposed to BEA-140 stayed within the chorion at 72 </w:t>
      </w:r>
      <w:proofErr w:type="spellStart"/>
      <w:r>
        <w:rPr>
          <w:lang w:val="en-US"/>
        </w:rPr>
        <w:t>hpf</w:t>
      </w:r>
      <w:proofErr w:type="spellEnd"/>
      <w:r>
        <w:rPr>
          <w:lang w:val="en-US"/>
        </w:rPr>
        <w:t xml:space="preserve"> (Fig. S</w:t>
      </w:r>
      <w:r w:rsidR="00383B9C">
        <w:rPr>
          <w:lang w:val="en-US"/>
        </w:rPr>
        <w:t>2</w:t>
      </w:r>
      <w:r>
        <w:rPr>
          <w:lang w:val="en-US"/>
        </w:rPr>
        <w:t xml:space="preserve">), we speculate that the crystals of BEA-140-calc and BEA-140 (particle size 140 nm) passed through the chorion and accumulated inside the model organism. The value of the difference obtained by TG analysis between the BEA-140-calc and BEA-140 represents the amount of the </w:t>
      </w:r>
      <w:r>
        <w:rPr>
          <w:lang w:val="en-US"/>
        </w:rPr>
        <w:lastRenderedPageBreak/>
        <w:t xml:space="preserve">zeolite beta sample that was bonded to/accumulated in larvae (+4.19 and +4.86 </w:t>
      </w:r>
      <w:proofErr w:type="spellStart"/>
      <w:r>
        <w:rPr>
          <w:lang w:val="en-US"/>
        </w:rPr>
        <w:t>wt</w:t>
      </w:r>
      <w:proofErr w:type="spellEnd"/>
      <w:r>
        <w:rPr>
          <w:lang w:val="en-US"/>
        </w:rPr>
        <w:t>%, respectively) (</w:t>
      </w:r>
      <w:proofErr w:type="spellStart"/>
      <w:r>
        <w:rPr>
          <w:lang w:val="en-US"/>
        </w:rPr>
        <w:t>Tbl</w:t>
      </w:r>
      <w:proofErr w:type="spellEnd"/>
      <w:r>
        <w:rPr>
          <w:lang w:val="en-US"/>
        </w:rPr>
        <w:t xml:space="preserve">. </w:t>
      </w:r>
      <w:r w:rsidR="00937F31">
        <w:rPr>
          <w:lang w:val="en-US"/>
        </w:rPr>
        <w:t>2</w:t>
      </w:r>
      <w:r>
        <w:rPr>
          <w:lang w:val="en-US"/>
        </w:rPr>
        <w:t xml:space="preserve">). Further research is needed to confirm this interaction and accumulation of nanosized zeolites in/on the hatched larvae. The increase of the mass of the solid residue after TG measurement for the samples BEA-600-calc and BEA-600 is lower than for the samples comprising smaller particles, +2.94 and + 3.38 </w:t>
      </w:r>
      <w:proofErr w:type="spellStart"/>
      <w:r>
        <w:rPr>
          <w:lang w:val="en-US"/>
        </w:rPr>
        <w:t>wt</w:t>
      </w:r>
      <w:proofErr w:type="spellEnd"/>
      <w:r>
        <w:rPr>
          <w:lang w:val="en-US"/>
        </w:rPr>
        <w:t>%, respectively (</w:t>
      </w:r>
      <w:proofErr w:type="spellStart"/>
      <w:r>
        <w:rPr>
          <w:lang w:val="en-US"/>
        </w:rPr>
        <w:t>Tbl</w:t>
      </w:r>
      <w:proofErr w:type="spellEnd"/>
      <w:r>
        <w:rPr>
          <w:lang w:val="en-US"/>
        </w:rPr>
        <w:t xml:space="preserve">. </w:t>
      </w:r>
      <w:r w:rsidR="00937F31">
        <w:rPr>
          <w:lang w:val="en-US"/>
        </w:rPr>
        <w:t>2</w:t>
      </w:r>
      <w:r>
        <w:rPr>
          <w:lang w:val="en-US"/>
        </w:rPr>
        <w:t xml:space="preserve">), yet still notable. The collected data strongly suggest not only that zeolite beta particles have strong interaction with the chorion and subsequently with the embryos, but also that they remained firmly bonded even after several cycles of ultrasonication. </w:t>
      </w:r>
    </w:p>
    <w:p w14:paraId="42F4F705" w14:textId="77777777" w:rsidR="001C2278" w:rsidRDefault="001C2278">
      <w:pPr>
        <w:spacing w:line="360" w:lineRule="auto"/>
        <w:jc w:val="both"/>
        <w:rPr>
          <w:lang w:val="en-US"/>
        </w:rPr>
      </w:pPr>
    </w:p>
    <w:p w14:paraId="2FA34F36" w14:textId="18A4F622" w:rsidR="00937F31" w:rsidRDefault="00937F31" w:rsidP="00937F31">
      <w:pPr>
        <w:spacing w:line="360" w:lineRule="auto"/>
        <w:jc w:val="both"/>
      </w:pPr>
      <w:r>
        <w:t xml:space="preserve">Table 2. TG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w:t>
      </w:r>
      <w:proofErr w:type="spellStart"/>
      <w:r>
        <w:t>washed</w:t>
      </w:r>
      <w:proofErr w:type="spellEnd"/>
      <w:r>
        <w:t xml:space="preserve"> </w:t>
      </w:r>
      <w:proofErr w:type="spellStart"/>
      <w:r>
        <w:t>and</w:t>
      </w:r>
      <w:proofErr w:type="spellEnd"/>
      <w:r>
        <w:t xml:space="preserve"> </w:t>
      </w:r>
      <w:proofErr w:type="spellStart"/>
      <w:r>
        <w:t>dried</w:t>
      </w:r>
      <w:proofErr w:type="spellEnd"/>
      <w:r>
        <w:t xml:space="preserve"> </w:t>
      </w:r>
      <w:r>
        <w:rPr>
          <w:i/>
        </w:rPr>
        <w:t xml:space="preserve">D. </w:t>
      </w:r>
      <w:proofErr w:type="spellStart"/>
      <w:r>
        <w:rPr>
          <w:i/>
        </w:rPr>
        <w:t>rerio</w:t>
      </w:r>
      <w:proofErr w:type="spellEnd"/>
      <w:r>
        <w:t xml:space="preserve"> </w:t>
      </w:r>
      <w:proofErr w:type="spellStart"/>
      <w:r>
        <w:t>larvae</w:t>
      </w:r>
      <w:proofErr w:type="spellEnd"/>
      <w:r>
        <w:t xml:space="preserve"> </w:t>
      </w:r>
      <w:proofErr w:type="spellStart"/>
      <w:r>
        <w:t>exposed</w:t>
      </w:r>
      <w:proofErr w:type="spellEnd"/>
      <w:r>
        <w:t xml:space="preserve"> to </w:t>
      </w:r>
      <w:proofErr w:type="spellStart"/>
      <w:r>
        <w:t>nanosized</w:t>
      </w:r>
      <w:proofErr w:type="spellEnd"/>
      <w:r>
        <w:t xml:space="preserve"> </w:t>
      </w:r>
      <w:proofErr w:type="spellStart"/>
      <w:r>
        <w:t>zeolite</w:t>
      </w:r>
      <w:proofErr w:type="spellEnd"/>
      <w:r>
        <w:t xml:space="preserve"> beta </w:t>
      </w:r>
      <w:proofErr w:type="spellStart"/>
      <w:r>
        <w:t>suspensions</w:t>
      </w:r>
      <w:proofErr w:type="spellEnd"/>
      <w:r>
        <w:t xml:space="preserve"> for 72 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42"/>
        <w:gridCol w:w="1418"/>
      </w:tblGrid>
      <w:tr w:rsidR="00937F31" w14:paraId="67871DA1" w14:textId="77777777" w:rsidTr="005E1565">
        <w:tc>
          <w:tcPr>
            <w:tcW w:w="1560" w:type="dxa"/>
            <w:tcBorders>
              <w:top w:val="single" w:sz="4" w:space="0" w:color="auto"/>
              <w:left w:val="nil"/>
              <w:bottom w:val="single" w:sz="4" w:space="0" w:color="auto"/>
              <w:right w:val="nil"/>
            </w:tcBorders>
            <w:vAlign w:val="center"/>
            <w:hideMark/>
          </w:tcPr>
          <w:p w14:paraId="272287E9" w14:textId="77777777" w:rsidR="00937F31" w:rsidRDefault="00937F31" w:rsidP="005E1565">
            <w:pPr>
              <w:spacing w:before="20" w:after="20"/>
              <w:rPr>
                <w:b/>
              </w:rPr>
            </w:pPr>
            <w:r>
              <w:rPr>
                <w:b/>
              </w:rPr>
              <w:t>Sample</w:t>
            </w:r>
          </w:p>
        </w:tc>
        <w:tc>
          <w:tcPr>
            <w:tcW w:w="1842" w:type="dxa"/>
            <w:tcBorders>
              <w:top w:val="single" w:sz="4" w:space="0" w:color="auto"/>
              <w:left w:val="nil"/>
              <w:bottom w:val="single" w:sz="4" w:space="0" w:color="auto"/>
              <w:right w:val="nil"/>
            </w:tcBorders>
            <w:vAlign w:val="center"/>
            <w:hideMark/>
          </w:tcPr>
          <w:p w14:paraId="72C4BF72" w14:textId="77777777" w:rsidR="00937F31" w:rsidRDefault="00937F31" w:rsidP="005E1565">
            <w:pPr>
              <w:spacing w:before="20" w:after="20"/>
              <w:jc w:val="center"/>
              <w:rPr>
                <w:b/>
              </w:rPr>
            </w:pPr>
            <w:r>
              <w:rPr>
                <w:b/>
              </w:rPr>
              <w:t xml:space="preserve">Fraction of the </w:t>
            </w:r>
          </w:p>
          <w:p w14:paraId="00F17566" w14:textId="77777777" w:rsidR="00937F31" w:rsidRDefault="00937F31" w:rsidP="005E1565">
            <w:pPr>
              <w:spacing w:before="20" w:after="20"/>
              <w:jc w:val="center"/>
              <w:rPr>
                <w:b/>
              </w:rPr>
            </w:pPr>
            <w:r>
              <w:rPr>
                <w:b/>
              </w:rPr>
              <w:t>solid residue</w:t>
            </w:r>
          </w:p>
        </w:tc>
        <w:tc>
          <w:tcPr>
            <w:tcW w:w="1418" w:type="dxa"/>
            <w:tcBorders>
              <w:top w:val="single" w:sz="4" w:space="0" w:color="auto"/>
              <w:left w:val="nil"/>
              <w:bottom w:val="single" w:sz="4" w:space="0" w:color="auto"/>
              <w:right w:val="nil"/>
            </w:tcBorders>
            <w:vAlign w:val="center"/>
            <w:hideMark/>
          </w:tcPr>
          <w:p w14:paraId="4A317CA2" w14:textId="77777777" w:rsidR="00937F31" w:rsidRDefault="00937F31" w:rsidP="005E1565">
            <w:pPr>
              <w:spacing w:before="20" w:after="20"/>
              <w:jc w:val="center"/>
              <w:rPr>
                <w:b/>
              </w:rPr>
            </w:pPr>
            <w:r>
              <w:rPr>
                <w:b/>
              </w:rPr>
              <w:t>Difference to control</w:t>
            </w:r>
          </w:p>
        </w:tc>
      </w:tr>
      <w:tr w:rsidR="00937F31" w14:paraId="539DD80E" w14:textId="77777777" w:rsidTr="005E1565">
        <w:tc>
          <w:tcPr>
            <w:tcW w:w="1560" w:type="dxa"/>
            <w:tcBorders>
              <w:top w:val="single" w:sz="4" w:space="0" w:color="auto"/>
              <w:left w:val="nil"/>
              <w:bottom w:val="nil"/>
              <w:right w:val="nil"/>
            </w:tcBorders>
            <w:vAlign w:val="center"/>
            <w:hideMark/>
          </w:tcPr>
          <w:p w14:paraId="4588996E" w14:textId="77777777" w:rsidR="00937F31" w:rsidRDefault="00937F31" w:rsidP="005E1565">
            <w:pPr>
              <w:spacing w:before="20" w:after="20"/>
            </w:pPr>
            <w:r>
              <w:t>Control</w:t>
            </w:r>
          </w:p>
        </w:tc>
        <w:tc>
          <w:tcPr>
            <w:tcW w:w="1842" w:type="dxa"/>
            <w:tcBorders>
              <w:top w:val="single" w:sz="4" w:space="0" w:color="auto"/>
              <w:left w:val="nil"/>
              <w:bottom w:val="nil"/>
              <w:right w:val="nil"/>
            </w:tcBorders>
            <w:vAlign w:val="center"/>
            <w:hideMark/>
          </w:tcPr>
          <w:p w14:paraId="2472F90A" w14:textId="77777777" w:rsidR="00937F31" w:rsidRDefault="00937F31" w:rsidP="005E1565">
            <w:pPr>
              <w:spacing w:before="20" w:after="20"/>
              <w:jc w:val="center"/>
            </w:pPr>
            <w:r>
              <w:t xml:space="preserve">7.03 </w:t>
            </w:r>
            <w:proofErr w:type="spellStart"/>
            <w:r>
              <w:t>wt</w:t>
            </w:r>
            <w:proofErr w:type="spellEnd"/>
            <w:r>
              <w:t>%</w:t>
            </w:r>
          </w:p>
        </w:tc>
        <w:tc>
          <w:tcPr>
            <w:tcW w:w="1418" w:type="dxa"/>
            <w:tcBorders>
              <w:top w:val="single" w:sz="4" w:space="0" w:color="auto"/>
              <w:left w:val="nil"/>
              <w:bottom w:val="nil"/>
              <w:right w:val="nil"/>
            </w:tcBorders>
            <w:vAlign w:val="center"/>
            <w:hideMark/>
          </w:tcPr>
          <w:p w14:paraId="69C8B392" w14:textId="77777777" w:rsidR="00937F31" w:rsidRDefault="00937F31" w:rsidP="005E1565">
            <w:pPr>
              <w:spacing w:before="20" w:after="20"/>
              <w:jc w:val="center"/>
            </w:pPr>
            <w:r>
              <w:t>-</w:t>
            </w:r>
          </w:p>
        </w:tc>
      </w:tr>
      <w:tr w:rsidR="00937F31" w14:paraId="4BBA239D" w14:textId="77777777" w:rsidTr="005E1565">
        <w:tc>
          <w:tcPr>
            <w:tcW w:w="1560" w:type="dxa"/>
            <w:vAlign w:val="center"/>
            <w:hideMark/>
          </w:tcPr>
          <w:p w14:paraId="69768021" w14:textId="77777777" w:rsidR="00937F31" w:rsidRDefault="00937F31" w:rsidP="005E1565">
            <w:pPr>
              <w:spacing w:before="20" w:after="20"/>
            </w:pPr>
            <w:r>
              <w:t>BEA-140</w:t>
            </w:r>
          </w:p>
        </w:tc>
        <w:tc>
          <w:tcPr>
            <w:tcW w:w="1842" w:type="dxa"/>
            <w:vAlign w:val="center"/>
            <w:hideMark/>
          </w:tcPr>
          <w:p w14:paraId="021E532D" w14:textId="77777777" w:rsidR="00937F31" w:rsidRDefault="00937F31" w:rsidP="005E1565">
            <w:pPr>
              <w:spacing w:before="20" w:after="20"/>
              <w:jc w:val="center"/>
            </w:pPr>
            <w:r>
              <w:t xml:space="preserve">11.89 </w:t>
            </w:r>
            <w:proofErr w:type="spellStart"/>
            <w:r>
              <w:t>wt</w:t>
            </w:r>
            <w:proofErr w:type="spellEnd"/>
            <w:r>
              <w:t>%</w:t>
            </w:r>
          </w:p>
        </w:tc>
        <w:tc>
          <w:tcPr>
            <w:tcW w:w="1418" w:type="dxa"/>
            <w:vAlign w:val="center"/>
            <w:hideMark/>
          </w:tcPr>
          <w:p w14:paraId="60698903" w14:textId="77777777" w:rsidR="00937F31" w:rsidRDefault="00937F31" w:rsidP="005E1565">
            <w:pPr>
              <w:spacing w:before="20" w:after="20"/>
              <w:jc w:val="center"/>
            </w:pPr>
            <w:r>
              <w:t xml:space="preserve">+4.86 </w:t>
            </w:r>
            <w:proofErr w:type="spellStart"/>
            <w:r>
              <w:t>wt</w:t>
            </w:r>
            <w:proofErr w:type="spellEnd"/>
            <w:r>
              <w:t>%</w:t>
            </w:r>
          </w:p>
        </w:tc>
      </w:tr>
      <w:tr w:rsidR="00937F31" w14:paraId="65FE6D55" w14:textId="77777777" w:rsidTr="005E1565">
        <w:tc>
          <w:tcPr>
            <w:tcW w:w="1560" w:type="dxa"/>
            <w:vAlign w:val="center"/>
            <w:hideMark/>
          </w:tcPr>
          <w:p w14:paraId="3EF5219E" w14:textId="77777777" w:rsidR="00937F31" w:rsidRDefault="00937F31" w:rsidP="005E1565">
            <w:pPr>
              <w:spacing w:before="20" w:after="20"/>
            </w:pPr>
            <w:r>
              <w:t>BEA-140calc</w:t>
            </w:r>
          </w:p>
        </w:tc>
        <w:tc>
          <w:tcPr>
            <w:tcW w:w="1842" w:type="dxa"/>
            <w:vAlign w:val="center"/>
            <w:hideMark/>
          </w:tcPr>
          <w:p w14:paraId="5D176D3C" w14:textId="77777777" w:rsidR="00937F31" w:rsidRDefault="00937F31" w:rsidP="005E1565">
            <w:pPr>
              <w:spacing w:before="20" w:after="20"/>
              <w:jc w:val="center"/>
            </w:pPr>
            <w:r>
              <w:t xml:space="preserve">11.22 </w:t>
            </w:r>
            <w:proofErr w:type="spellStart"/>
            <w:r>
              <w:t>wt</w:t>
            </w:r>
            <w:proofErr w:type="spellEnd"/>
            <w:r>
              <w:t>%</w:t>
            </w:r>
          </w:p>
        </w:tc>
        <w:tc>
          <w:tcPr>
            <w:tcW w:w="1418" w:type="dxa"/>
            <w:vAlign w:val="center"/>
            <w:hideMark/>
          </w:tcPr>
          <w:p w14:paraId="66C67188" w14:textId="77777777" w:rsidR="00937F31" w:rsidRDefault="00937F31" w:rsidP="005E1565">
            <w:pPr>
              <w:spacing w:before="20" w:after="20"/>
              <w:jc w:val="center"/>
            </w:pPr>
            <w:r>
              <w:t xml:space="preserve">+4.19 </w:t>
            </w:r>
            <w:proofErr w:type="spellStart"/>
            <w:r>
              <w:t>wt</w:t>
            </w:r>
            <w:proofErr w:type="spellEnd"/>
            <w:r>
              <w:t>%</w:t>
            </w:r>
          </w:p>
        </w:tc>
      </w:tr>
      <w:tr w:rsidR="00937F31" w14:paraId="145F12CA" w14:textId="77777777" w:rsidTr="005E1565">
        <w:tc>
          <w:tcPr>
            <w:tcW w:w="1560" w:type="dxa"/>
            <w:vAlign w:val="center"/>
            <w:hideMark/>
          </w:tcPr>
          <w:p w14:paraId="6CB54A8A" w14:textId="77777777" w:rsidR="00937F31" w:rsidRDefault="00937F31" w:rsidP="005E1565">
            <w:pPr>
              <w:spacing w:before="20" w:after="20"/>
            </w:pPr>
            <w:r>
              <w:t>BEA-600</w:t>
            </w:r>
          </w:p>
        </w:tc>
        <w:tc>
          <w:tcPr>
            <w:tcW w:w="1842" w:type="dxa"/>
            <w:vAlign w:val="center"/>
            <w:hideMark/>
          </w:tcPr>
          <w:p w14:paraId="01F98939" w14:textId="77777777" w:rsidR="00937F31" w:rsidRDefault="00937F31" w:rsidP="005E1565">
            <w:pPr>
              <w:spacing w:before="20" w:after="20"/>
              <w:jc w:val="center"/>
            </w:pPr>
            <w:r>
              <w:t xml:space="preserve">9.97 </w:t>
            </w:r>
            <w:proofErr w:type="spellStart"/>
            <w:r>
              <w:t>wt</w:t>
            </w:r>
            <w:proofErr w:type="spellEnd"/>
            <w:r>
              <w:t>%</w:t>
            </w:r>
          </w:p>
        </w:tc>
        <w:tc>
          <w:tcPr>
            <w:tcW w:w="1418" w:type="dxa"/>
            <w:vAlign w:val="center"/>
            <w:hideMark/>
          </w:tcPr>
          <w:p w14:paraId="5D11F133" w14:textId="77777777" w:rsidR="00937F31" w:rsidRDefault="00937F31" w:rsidP="005E1565">
            <w:pPr>
              <w:spacing w:before="20" w:after="20"/>
              <w:jc w:val="center"/>
            </w:pPr>
            <w:r>
              <w:t xml:space="preserve">+2.94 </w:t>
            </w:r>
            <w:proofErr w:type="spellStart"/>
            <w:r>
              <w:t>wt</w:t>
            </w:r>
            <w:proofErr w:type="spellEnd"/>
            <w:r>
              <w:t>%</w:t>
            </w:r>
          </w:p>
        </w:tc>
      </w:tr>
      <w:tr w:rsidR="00937F31" w14:paraId="6EF6E05E" w14:textId="77777777" w:rsidTr="005E1565">
        <w:tc>
          <w:tcPr>
            <w:tcW w:w="1560" w:type="dxa"/>
            <w:tcBorders>
              <w:top w:val="nil"/>
              <w:left w:val="nil"/>
              <w:bottom w:val="single" w:sz="4" w:space="0" w:color="auto"/>
              <w:right w:val="nil"/>
            </w:tcBorders>
            <w:vAlign w:val="center"/>
            <w:hideMark/>
          </w:tcPr>
          <w:p w14:paraId="1E609106" w14:textId="77777777" w:rsidR="00937F31" w:rsidRDefault="00937F31" w:rsidP="005E1565">
            <w:pPr>
              <w:spacing w:before="20" w:after="20"/>
            </w:pPr>
            <w:r>
              <w:t>BEA-600calc</w:t>
            </w:r>
          </w:p>
        </w:tc>
        <w:tc>
          <w:tcPr>
            <w:tcW w:w="1842" w:type="dxa"/>
            <w:tcBorders>
              <w:top w:val="nil"/>
              <w:left w:val="nil"/>
              <w:bottom w:val="single" w:sz="4" w:space="0" w:color="auto"/>
              <w:right w:val="nil"/>
            </w:tcBorders>
            <w:vAlign w:val="center"/>
            <w:hideMark/>
          </w:tcPr>
          <w:p w14:paraId="79A84B26" w14:textId="77777777" w:rsidR="00937F31" w:rsidRDefault="00937F31" w:rsidP="005E1565">
            <w:pPr>
              <w:spacing w:before="20" w:after="20"/>
              <w:jc w:val="center"/>
            </w:pPr>
            <w:r>
              <w:t xml:space="preserve">10.41 </w:t>
            </w:r>
            <w:proofErr w:type="spellStart"/>
            <w:r>
              <w:t>wt</w:t>
            </w:r>
            <w:proofErr w:type="spellEnd"/>
            <w:r>
              <w:t>%</w:t>
            </w:r>
          </w:p>
        </w:tc>
        <w:tc>
          <w:tcPr>
            <w:tcW w:w="1418" w:type="dxa"/>
            <w:tcBorders>
              <w:top w:val="nil"/>
              <w:left w:val="nil"/>
              <w:bottom w:val="single" w:sz="4" w:space="0" w:color="auto"/>
              <w:right w:val="nil"/>
            </w:tcBorders>
            <w:vAlign w:val="center"/>
            <w:hideMark/>
          </w:tcPr>
          <w:p w14:paraId="4857E4F2" w14:textId="77777777" w:rsidR="00937F31" w:rsidRDefault="00937F31" w:rsidP="005E1565">
            <w:pPr>
              <w:spacing w:before="20" w:after="20"/>
              <w:jc w:val="center"/>
            </w:pPr>
            <w:r>
              <w:t xml:space="preserve">+3.38 </w:t>
            </w:r>
            <w:proofErr w:type="spellStart"/>
            <w:r>
              <w:t>wt</w:t>
            </w:r>
            <w:proofErr w:type="spellEnd"/>
            <w:r>
              <w:t>%</w:t>
            </w:r>
          </w:p>
        </w:tc>
      </w:tr>
    </w:tbl>
    <w:p w14:paraId="449D6ADF" w14:textId="77777777" w:rsidR="00937F31" w:rsidRDefault="00937F31">
      <w:pPr>
        <w:spacing w:line="360" w:lineRule="auto"/>
        <w:jc w:val="both"/>
      </w:pPr>
    </w:p>
    <w:p w14:paraId="020074C7" w14:textId="77777777" w:rsidR="00F02E89" w:rsidRDefault="00F02E89">
      <w:pPr>
        <w:spacing w:line="360" w:lineRule="auto"/>
        <w:jc w:val="both"/>
        <w:rPr>
          <w:lang w:val="en-US"/>
        </w:rPr>
      </w:pPr>
    </w:p>
    <w:p w14:paraId="3E902E46" w14:textId="77777777" w:rsidR="00F02E89" w:rsidRDefault="00E01693">
      <w:pPr>
        <w:pStyle w:val="EndnoteText"/>
        <w:spacing w:line="360" w:lineRule="auto"/>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4. Conclusion</w:t>
      </w:r>
    </w:p>
    <w:p w14:paraId="3C4C0CBF" w14:textId="6C31BB56" w:rsidR="00F02E89" w:rsidRDefault="00E01693">
      <w:pPr>
        <w:pStyle w:val="EndnoteText"/>
        <w:spacing w:line="36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Stable suspensions of pristine and calcined zeolite beta nanoparticles (140 and 600 nm) in AW have been prepared and their potential toxicity towards zebrafish </w:t>
      </w:r>
      <w:r>
        <w:rPr>
          <w:rFonts w:ascii="Times New Roman" w:hAnsi="Times New Roman" w:cs="Times New Roman"/>
          <w:i/>
          <w:sz w:val="24"/>
          <w:szCs w:val="24"/>
          <w:lang w:val="en-US"/>
        </w:rPr>
        <w:t xml:space="preserve">Danio </w:t>
      </w:r>
      <w:proofErr w:type="spellStart"/>
      <w:r>
        <w:rPr>
          <w:rFonts w:ascii="Times New Roman" w:hAnsi="Times New Roman" w:cs="Times New Roman"/>
          <w:i/>
          <w:sz w:val="24"/>
          <w:szCs w:val="24"/>
          <w:lang w:val="en-US"/>
        </w:rPr>
        <w:t>rerio</w:t>
      </w:r>
      <w:proofErr w:type="spellEnd"/>
      <w:r>
        <w:rPr>
          <w:rFonts w:ascii="Times New Roman" w:hAnsi="Times New Roman" w:cs="Times New Roman"/>
          <w:sz w:val="24"/>
          <w:szCs w:val="24"/>
          <w:lang w:val="en-US"/>
        </w:rPr>
        <w:t xml:space="preserve"> embryos was evaluated. The results indicate that non-calcined beta zeolites containing TEA caused zebrafish hatching inhibition accompanied by oxidative stress. A similar effect was observed with TEAOH. The assumption that the observed effects are due to the TEA interactions with the zebrafish hatching enzyme ZHE1 has been validated by molecular docking and molecular dynamics simulations. However, the computational investigation points out that the TEA does not bind to the ZHE1 enzyme thus excluding the ZHE1 enzyme inhibition as a potential cause of the hatching reduction. Hence, the observed hatching delay of the non-calcined zeolite suspensions and TEAOH was, as detected using fluorescence microscopy, attributed to the oxidative stress. This is further supported by the finding that the zebrafish embryos developed normally in the presence of the calcined zeolite nanoparticles despite the strong interaction with the chorion and subsequently with the embryos. </w:t>
      </w:r>
      <w:r w:rsidR="00A02432" w:rsidRPr="00A215E5">
        <w:rPr>
          <w:rFonts w:ascii="Times New Roman" w:hAnsi="Times New Roman" w:cs="Times New Roman"/>
          <w:sz w:val="24"/>
          <w:szCs w:val="24"/>
          <w:highlight w:val="yellow"/>
          <w:lang w:val="en-US"/>
        </w:rPr>
        <w:t>In addition</w:t>
      </w:r>
      <w:r>
        <w:rPr>
          <w:rFonts w:ascii="Times New Roman" w:hAnsi="Times New Roman" w:cs="Times New Roman"/>
          <w:sz w:val="24"/>
          <w:szCs w:val="24"/>
          <w:lang w:val="en-US"/>
        </w:rPr>
        <w:t xml:space="preserve">, the necessity to decrease the quantity of the organic structure-directing agents in zeolite synthesis reaction mixtures was </w:t>
      </w:r>
      <w:r>
        <w:rPr>
          <w:rFonts w:ascii="Times New Roman" w:hAnsi="Times New Roman" w:cs="Times New Roman"/>
          <w:sz w:val="24"/>
          <w:szCs w:val="24"/>
          <w:lang w:val="en-US"/>
        </w:rPr>
        <w:lastRenderedPageBreak/>
        <w:t xml:space="preserve">shown. Finally, the obtained results have shown that selected model organisms could improve our ability to understand the mechanism of the toxicity of </w:t>
      </w:r>
      <w:proofErr w:type="spellStart"/>
      <w:r>
        <w:rPr>
          <w:rFonts w:ascii="Times New Roman" w:hAnsi="Times New Roman" w:cs="Times New Roman"/>
          <w:sz w:val="24"/>
          <w:szCs w:val="24"/>
          <w:lang w:val="en-US"/>
        </w:rPr>
        <w:t>alumosilicates</w:t>
      </w:r>
      <w:proofErr w:type="spellEnd"/>
      <w:r>
        <w:rPr>
          <w:rFonts w:ascii="Times New Roman" w:hAnsi="Times New Roman" w:cs="Times New Roman"/>
          <w:sz w:val="24"/>
          <w:szCs w:val="24"/>
          <w:lang w:val="en-US"/>
        </w:rPr>
        <w:t>, and should be incorporated in nanoparticle toxicity monitoring and risk assessment studies in materials science in general.</w:t>
      </w:r>
    </w:p>
    <w:p w14:paraId="4C91C2A5" w14:textId="77777777" w:rsidR="00F02E89" w:rsidRDefault="00F02E89">
      <w:pPr>
        <w:pStyle w:val="EndnoteText"/>
        <w:spacing w:line="360" w:lineRule="auto"/>
        <w:outlineLvl w:val="0"/>
        <w:rPr>
          <w:rFonts w:ascii="Times New Roman" w:hAnsi="Times New Roman" w:cs="Times New Roman"/>
          <w:b/>
          <w:sz w:val="24"/>
          <w:szCs w:val="24"/>
          <w:lang w:val="en-US"/>
        </w:rPr>
      </w:pPr>
    </w:p>
    <w:p w14:paraId="1BE75DC0" w14:textId="77777777" w:rsidR="009002E0" w:rsidRPr="009002E0" w:rsidRDefault="009002E0" w:rsidP="009002E0">
      <w:pPr>
        <w:spacing w:line="360" w:lineRule="auto"/>
        <w:jc w:val="both"/>
        <w:rPr>
          <w:b/>
          <w:shd w:val="clear" w:color="auto" w:fill="FFFFFF"/>
          <w:lang w:val="en-GB"/>
        </w:rPr>
      </w:pPr>
      <w:r w:rsidRPr="009002E0">
        <w:rPr>
          <w:b/>
          <w:shd w:val="clear" w:color="auto" w:fill="FFFFFF"/>
          <w:lang w:val="en-GB"/>
        </w:rPr>
        <w:t>Declaration of competing interest</w:t>
      </w:r>
    </w:p>
    <w:p w14:paraId="5C557DF6" w14:textId="062E1076" w:rsidR="009002E0" w:rsidRDefault="009002E0" w:rsidP="009002E0">
      <w:pPr>
        <w:spacing w:line="360" w:lineRule="auto"/>
        <w:jc w:val="both"/>
        <w:rPr>
          <w:shd w:val="clear" w:color="auto" w:fill="FFFFFF"/>
          <w:lang w:val="en-GB"/>
        </w:rPr>
      </w:pPr>
      <w:r w:rsidRPr="009002E0">
        <w:rPr>
          <w:shd w:val="clear" w:color="auto" w:fill="FFFFFF"/>
          <w:lang w:val="en-GB"/>
        </w:rPr>
        <w:t>All authors have no potential sources of conflict of interest.</w:t>
      </w:r>
    </w:p>
    <w:p w14:paraId="087C0373" w14:textId="77777777" w:rsidR="007A0B28" w:rsidRDefault="007A0B28">
      <w:pPr>
        <w:pStyle w:val="EndnoteText"/>
        <w:spacing w:line="360" w:lineRule="auto"/>
        <w:outlineLvl w:val="0"/>
        <w:rPr>
          <w:rFonts w:ascii="Times New Roman" w:hAnsi="Times New Roman" w:cs="Times New Roman"/>
          <w:b/>
          <w:sz w:val="24"/>
          <w:szCs w:val="24"/>
          <w:lang w:val="en-US"/>
        </w:rPr>
      </w:pPr>
    </w:p>
    <w:p w14:paraId="189D158B" w14:textId="77777777" w:rsidR="00F02E89" w:rsidRDefault="00E01693">
      <w:pPr>
        <w:spacing w:line="360" w:lineRule="auto"/>
        <w:contextualSpacing/>
        <w:jc w:val="both"/>
        <w:rPr>
          <w:b/>
          <w:lang w:val="en-GB"/>
        </w:rPr>
      </w:pPr>
      <w:r>
        <w:rPr>
          <w:b/>
          <w:lang w:val="en-GB"/>
        </w:rPr>
        <w:t xml:space="preserve">Acknowledgments </w:t>
      </w:r>
    </w:p>
    <w:p w14:paraId="5D5039E5" w14:textId="77777777" w:rsidR="00F02E89" w:rsidRDefault="00E01693">
      <w:pPr>
        <w:spacing w:line="360" w:lineRule="auto"/>
        <w:contextualSpacing/>
        <w:jc w:val="both"/>
        <w:rPr>
          <w:highlight w:val="white"/>
          <w:lang w:val="en-GB"/>
        </w:rPr>
      </w:pPr>
      <w:r>
        <w:rPr>
          <w:lang w:val="en-GB"/>
        </w:rPr>
        <w:t>The financial support from the Croatian Academy of Science and experiment.com platform is gratefully acknowledged. This study</w:t>
      </w:r>
      <w:r>
        <w:rPr>
          <w:bCs/>
          <w:lang w:val="en-GB"/>
        </w:rPr>
        <w:t xml:space="preserve"> was partially supported by the Scientific Centre of Excellence for Marine Bioprospecting – </w:t>
      </w:r>
      <w:proofErr w:type="spellStart"/>
      <w:r>
        <w:rPr>
          <w:bCs/>
          <w:lang w:val="en-GB"/>
        </w:rPr>
        <w:t>BioProCro</w:t>
      </w:r>
      <w:proofErr w:type="spellEnd"/>
      <w:r>
        <w:rPr>
          <w:bCs/>
          <w:lang w:val="en-GB"/>
        </w:rPr>
        <w:t>, a project co-financed by the Croatian Government and the European Union through the European Regional</w:t>
      </w:r>
      <w:r>
        <w:rPr>
          <w:shd w:val="clear" w:color="auto" w:fill="FFFFFF"/>
          <w:lang w:val="en-GB"/>
        </w:rPr>
        <w:t xml:space="preserve"> Development Fund - the Competitiveness and Cohesion Operational Programme (KK.01.1.1.01). A.M. would like to thank the Zagreb University Computing Centre (SRCE) for granting computational resources on the ISABELLA cluster.</w:t>
      </w:r>
    </w:p>
    <w:p w14:paraId="69C9F0ED" w14:textId="77777777" w:rsidR="00F02E89" w:rsidRDefault="00F02E89">
      <w:pPr>
        <w:spacing w:line="360" w:lineRule="auto"/>
        <w:contextualSpacing/>
        <w:jc w:val="both"/>
        <w:rPr>
          <w:shd w:val="clear" w:color="auto" w:fill="FFFFFF"/>
          <w:lang w:val="en-GB"/>
        </w:rPr>
      </w:pPr>
    </w:p>
    <w:p w14:paraId="711E69A6" w14:textId="0782DCA0" w:rsidR="00985CAD" w:rsidRDefault="00985CAD">
      <w:pPr>
        <w:spacing w:line="360" w:lineRule="auto"/>
        <w:contextualSpacing/>
        <w:jc w:val="both"/>
        <w:rPr>
          <w:shd w:val="clear" w:color="auto" w:fill="FFFFFF"/>
          <w:lang w:val="en-GB"/>
        </w:rPr>
      </w:pPr>
      <w:r>
        <w:rPr>
          <w:shd w:val="clear" w:color="auto" w:fill="FFFFFF"/>
          <w:lang w:val="en-GB"/>
        </w:rPr>
        <w:t>References</w:t>
      </w:r>
    </w:p>
    <w:p w14:paraId="18BF8CA2" w14:textId="5B645C4C" w:rsidR="00985CAD"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noProof/>
          <w:sz w:val="24"/>
          <w:szCs w:val="24"/>
          <w:highlight w:val="yellow"/>
        </w:rPr>
        <w:t>V. Valtchev, L. Tosheva, Chem. Rev. 113 (2013) 6734-6760. https://doi.org/10.1021/cr300439k</w:t>
      </w:r>
    </w:p>
    <w:p w14:paraId="32CC1573" w14:textId="39A43A3B"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noProof/>
          <w:sz w:val="24"/>
          <w:szCs w:val="24"/>
          <w:highlight w:val="yellow"/>
        </w:rPr>
        <w:t>http://www.hypotheticalzeolites.net (accessed January 31, 2020)</w:t>
      </w:r>
    </w:p>
    <w:p w14:paraId="6725FCA8" w14:textId="01D0C5B1"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noProof/>
          <w:sz w:val="24"/>
          <w:szCs w:val="24"/>
          <w:highlight w:val="yellow"/>
        </w:rPr>
        <w:t>http://www.iza-structure.org/databases (accessed January 31, 2020)</w:t>
      </w:r>
    </w:p>
    <w:p w14:paraId="413CBAD1" w14:textId="7118F19F"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G. </w:t>
      </w:r>
      <w:proofErr w:type="spellStart"/>
      <w:r w:rsidRPr="00210E93">
        <w:rPr>
          <w:rFonts w:ascii="Times New Roman" w:hAnsi="Times New Roman" w:cs="Times New Roman"/>
          <w:sz w:val="24"/>
          <w:szCs w:val="24"/>
          <w:highlight w:val="yellow"/>
          <w:shd w:val="clear" w:color="auto" w:fill="FFFFFF"/>
          <w:lang w:val="en-GB"/>
        </w:rPr>
        <w:t>Bellussi</w:t>
      </w:r>
      <w:proofErr w:type="spellEnd"/>
      <w:r w:rsidRPr="00210E93">
        <w:rPr>
          <w:rFonts w:ascii="Times New Roman" w:hAnsi="Times New Roman" w:cs="Times New Roman"/>
          <w:sz w:val="24"/>
          <w:szCs w:val="24"/>
          <w:highlight w:val="yellow"/>
          <w:shd w:val="clear" w:color="auto" w:fill="FFFFFF"/>
          <w:lang w:val="en-GB"/>
        </w:rPr>
        <w:t xml:space="preserve">, R. </w:t>
      </w:r>
      <w:proofErr w:type="spellStart"/>
      <w:r w:rsidRPr="00210E93">
        <w:rPr>
          <w:rFonts w:ascii="Times New Roman" w:hAnsi="Times New Roman" w:cs="Times New Roman"/>
          <w:sz w:val="24"/>
          <w:szCs w:val="24"/>
          <w:highlight w:val="yellow"/>
          <w:shd w:val="clear" w:color="auto" w:fill="FFFFFF"/>
          <w:lang w:val="en-GB"/>
        </w:rPr>
        <w:t>Millini</w:t>
      </w:r>
      <w:proofErr w:type="spellEnd"/>
      <w:r w:rsidRPr="00210E93">
        <w:rPr>
          <w:rFonts w:ascii="Times New Roman" w:hAnsi="Times New Roman" w:cs="Times New Roman"/>
          <w:sz w:val="24"/>
          <w:szCs w:val="24"/>
          <w:highlight w:val="yellow"/>
          <w:shd w:val="clear" w:color="auto" w:fill="FFFFFF"/>
          <w:lang w:val="en-GB"/>
        </w:rPr>
        <w:t xml:space="preserve">, P. </w:t>
      </w:r>
      <w:proofErr w:type="spellStart"/>
      <w:r w:rsidRPr="00210E93">
        <w:rPr>
          <w:rFonts w:ascii="Times New Roman" w:hAnsi="Times New Roman" w:cs="Times New Roman"/>
          <w:sz w:val="24"/>
          <w:szCs w:val="24"/>
          <w:highlight w:val="yellow"/>
          <w:shd w:val="clear" w:color="auto" w:fill="FFFFFF"/>
          <w:lang w:val="en-GB"/>
        </w:rPr>
        <w:t>Pollesel</w:t>
      </w:r>
      <w:proofErr w:type="spellEnd"/>
      <w:r w:rsidRPr="00210E93">
        <w:rPr>
          <w:rFonts w:ascii="Times New Roman" w:hAnsi="Times New Roman" w:cs="Times New Roman"/>
          <w:sz w:val="24"/>
          <w:szCs w:val="24"/>
          <w:highlight w:val="yellow"/>
          <w:shd w:val="clear" w:color="auto" w:fill="FFFFFF"/>
          <w:lang w:val="en-GB"/>
        </w:rPr>
        <w:t xml:space="preserve">, C. </w:t>
      </w:r>
      <w:proofErr w:type="spellStart"/>
      <w:r w:rsidRPr="00210E93">
        <w:rPr>
          <w:rFonts w:ascii="Times New Roman" w:hAnsi="Times New Roman" w:cs="Times New Roman"/>
          <w:sz w:val="24"/>
          <w:szCs w:val="24"/>
          <w:highlight w:val="yellow"/>
          <w:shd w:val="clear" w:color="auto" w:fill="FFFFFF"/>
          <w:lang w:val="en-GB"/>
        </w:rPr>
        <w:t>Perego</w:t>
      </w:r>
      <w:proofErr w:type="spellEnd"/>
      <w:r w:rsidRPr="00210E93">
        <w:rPr>
          <w:rFonts w:ascii="Times New Roman" w:hAnsi="Times New Roman" w:cs="Times New Roman"/>
          <w:sz w:val="24"/>
          <w:szCs w:val="24"/>
          <w:highlight w:val="yellow"/>
          <w:shd w:val="clear" w:color="auto" w:fill="FFFFFF"/>
          <w:lang w:val="en-GB"/>
        </w:rPr>
        <w:t>, New J. Chem. 40 (2016) 4061-4077. https://doi.org/10.1039/c5nj03498a</w:t>
      </w:r>
    </w:p>
    <w:p w14:paraId="4E955663" w14:textId="43A3316F"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S.E. Lehman, S.C. Larsen, Environ. Sci.: Nano 1 (2014) 200-213. https://doi.org/10.1039/c4en00031e</w:t>
      </w:r>
    </w:p>
    <w:p w14:paraId="52A14F69" w14:textId="06AE01DB"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S. </w:t>
      </w:r>
      <w:proofErr w:type="spellStart"/>
      <w:r w:rsidRPr="00210E93">
        <w:rPr>
          <w:rFonts w:ascii="Times New Roman" w:hAnsi="Times New Roman" w:cs="Times New Roman"/>
          <w:sz w:val="24"/>
          <w:szCs w:val="24"/>
          <w:highlight w:val="yellow"/>
          <w:shd w:val="clear" w:color="auto" w:fill="FFFFFF"/>
          <w:lang w:val="en-GB"/>
        </w:rPr>
        <w:t>Mintova</w:t>
      </w:r>
      <w:proofErr w:type="spellEnd"/>
      <w:r w:rsidRPr="00210E93">
        <w:rPr>
          <w:rFonts w:ascii="Times New Roman" w:hAnsi="Times New Roman" w:cs="Times New Roman"/>
          <w:sz w:val="24"/>
          <w:szCs w:val="24"/>
          <w:highlight w:val="yellow"/>
          <w:shd w:val="clear" w:color="auto" w:fill="FFFFFF"/>
          <w:lang w:val="en-GB"/>
        </w:rPr>
        <w:t xml:space="preserve">, M. </w:t>
      </w:r>
      <w:proofErr w:type="spellStart"/>
      <w:r w:rsidRPr="00210E93">
        <w:rPr>
          <w:rFonts w:ascii="Times New Roman" w:hAnsi="Times New Roman" w:cs="Times New Roman"/>
          <w:sz w:val="24"/>
          <w:szCs w:val="24"/>
          <w:highlight w:val="yellow"/>
          <w:shd w:val="clear" w:color="auto" w:fill="FFFFFF"/>
          <w:lang w:val="en-GB"/>
        </w:rPr>
        <w:t>Jaber</w:t>
      </w:r>
      <w:proofErr w:type="spellEnd"/>
      <w:r w:rsidRPr="00210E93">
        <w:rPr>
          <w:rFonts w:ascii="Times New Roman" w:hAnsi="Times New Roman" w:cs="Times New Roman"/>
          <w:sz w:val="24"/>
          <w:szCs w:val="24"/>
          <w:highlight w:val="yellow"/>
          <w:shd w:val="clear" w:color="auto" w:fill="FFFFFF"/>
          <w:lang w:val="en-GB"/>
        </w:rPr>
        <w:t xml:space="preserve">, V. </w:t>
      </w:r>
      <w:proofErr w:type="spellStart"/>
      <w:r w:rsidRPr="00210E93">
        <w:rPr>
          <w:rFonts w:ascii="Times New Roman" w:hAnsi="Times New Roman" w:cs="Times New Roman"/>
          <w:sz w:val="24"/>
          <w:szCs w:val="24"/>
          <w:highlight w:val="yellow"/>
          <w:shd w:val="clear" w:color="auto" w:fill="FFFFFF"/>
          <w:lang w:val="en-GB"/>
        </w:rPr>
        <w:t>Valtchev</w:t>
      </w:r>
      <w:proofErr w:type="spellEnd"/>
      <w:r w:rsidRPr="00210E93">
        <w:rPr>
          <w:rFonts w:ascii="Times New Roman" w:hAnsi="Times New Roman" w:cs="Times New Roman"/>
          <w:sz w:val="24"/>
          <w:szCs w:val="24"/>
          <w:highlight w:val="yellow"/>
          <w:shd w:val="clear" w:color="auto" w:fill="FFFFFF"/>
          <w:lang w:val="en-GB"/>
        </w:rPr>
        <w:t>, Chem. Soc. Rev. 44 (2015) 7207-7233. https://doi.org/10.1039/c5cs00210a</w:t>
      </w:r>
    </w:p>
    <w:p w14:paraId="5C89E122" w14:textId="06854F43"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V. Georgieva, C. </w:t>
      </w:r>
      <w:proofErr w:type="spellStart"/>
      <w:r w:rsidRPr="00210E93">
        <w:rPr>
          <w:rFonts w:ascii="Times New Roman" w:hAnsi="Times New Roman" w:cs="Times New Roman"/>
          <w:sz w:val="24"/>
          <w:szCs w:val="24"/>
          <w:highlight w:val="yellow"/>
          <w:shd w:val="clear" w:color="auto" w:fill="FFFFFF"/>
          <w:lang w:val="en-GB"/>
        </w:rPr>
        <w:t>Anfray</w:t>
      </w:r>
      <w:proofErr w:type="spellEnd"/>
      <w:r w:rsidRPr="00210E93">
        <w:rPr>
          <w:rFonts w:ascii="Times New Roman" w:hAnsi="Times New Roman" w:cs="Times New Roman"/>
          <w:sz w:val="24"/>
          <w:szCs w:val="24"/>
          <w:highlight w:val="yellow"/>
          <w:shd w:val="clear" w:color="auto" w:fill="FFFFFF"/>
          <w:lang w:val="en-GB"/>
        </w:rPr>
        <w:t xml:space="preserve">, R. </w:t>
      </w:r>
      <w:proofErr w:type="spellStart"/>
      <w:r w:rsidRPr="00210E93">
        <w:rPr>
          <w:rFonts w:ascii="Times New Roman" w:hAnsi="Times New Roman" w:cs="Times New Roman"/>
          <w:sz w:val="24"/>
          <w:szCs w:val="24"/>
          <w:highlight w:val="yellow"/>
          <w:shd w:val="clear" w:color="auto" w:fill="FFFFFF"/>
          <w:lang w:val="en-GB"/>
        </w:rPr>
        <w:t>Retoux</w:t>
      </w:r>
      <w:proofErr w:type="spellEnd"/>
      <w:r w:rsidRPr="00210E93">
        <w:rPr>
          <w:rFonts w:ascii="Times New Roman" w:hAnsi="Times New Roman" w:cs="Times New Roman"/>
          <w:sz w:val="24"/>
          <w:szCs w:val="24"/>
          <w:highlight w:val="yellow"/>
          <w:shd w:val="clear" w:color="auto" w:fill="FFFFFF"/>
          <w:lang w:val="en-GB"/>
        </w:rPr>
        <w:t xml:space="preserve">, V. </w:t>
      </w:r>
      <w:proofErr w:type="spellStart"/>
      <w:r w:rsidRPr="00210E93">
        <w:rPr>
          <w:rFonts w:ascii="Times New Roman" w:hAnsi="Times New Roman" w:cs="Times New Roman"/>
          <w:sz w:val="24"/>
          <w:szCs w:val="24"/>
          <w:highlight w:val="yellow"/>
          <w:shd w:val="clear" w:color="auto" w:fill="FFFFFF"/>
          <w:lang w:val="en-GB"/>
        </w:rPr>
        <w:t>Valtchev</w:t>
      </w:r>
      <w:proofErr w:type="spellEnd"/>
      <w:r w:rsidRPr="00210E93">
        <w:rPr>
          <w:rFonts w:ascii="Times New Roman" w:hAnsi="Times New Roman" w:cs="Times New Roman"/>
          <w:sz w:val="24"/>
          <w:szCs w:val="24"/>
          <w:highlight w:val="yellow"/>
          <w:shd w:val="clear" w:color="auto" w:fill="FFFFFF"/>
          <w:lang w:val="en-GB"/>
        </w:rPr>
        <w:t xml:space="preserve">, S. </w:t>
      </w:r>
      <w:proofErr w:type="spellStart"/>
      <w:r w:rsidRPr="00210E93">
        <w:rPr>
          <w:rFonts w:ascii="Times New Roman" w:hAnsi="Times New Roman" w:cs="Times New Roman"/>
          <w:sz w:val="24"/>
          <w:szCs w:val="24"/>
          <w:highlight w:val="yellow"/>
          <w:shd w:val="clear" w:color="auto" w:fill="FFFFFF"/>
          <w:lang w:val="en-GB"/>
        </w:rPr>
        <w:t>Valable</w:t>
      </w:r>
      <w:proofErr w:type="spellEnd"/>
      <w:r w:rsidRPr="00210E93">
        <w:rPr>
          <w:rFonts w:ascii="Times New Roman" w:hAnsi="Times New Roman" w:cs="Times New Roman"/>
          <w:sz w:val="24"/>
          <w:szCs w:val="24"/>
          <w:highlight w:val="yellow"/>
          <w:shd w:val="clear" w:color="auto" w:fill="FFFFFF"/>
          <w:lang w:val="en-GB"/>
        </w:rPr>
        <w:t xml:space="preserve">, S. </w:t>
      </w:r>
      <w:proofErr w:type="spellStart"/>
      <w:r w:rsidRPr="00210E93">
        <w:rPr>
          <w:rFonts w:ascii="Times New Roman" w:hAnsi="Times New Roman" w:cs="Times New Roman"/>
          <w:sz w:val="24"/>
          <w:szCs w:val="24"/>
          <w:highlight w:val="yellow"/>
          <w:shd w:val="clear" w:color="auto" w:fill="FFFFFF"/>
          <w:lang w:val="en-GB"/>
        </w:rPr>
        <w:t>Mintova</w:t>
      </w:r>
      <w:proofErr w:type="spellEnd"/>
      <w:r w:rsidRPr="00210E93">
        <w:rPr>
          <w:rFonts w:ascii="Times New Roman" w:hAnsi="Times New Roman" w:cs="Times New Roman"/>
          <w:sz w:val="24"/>
          <w:szCs w:val="24"/>
          <w:highlight w:val="yellow"/>
          <w:shd w:val="clear" w:color="auto" w:fill="FFFFFF"/>
          <w:lang w:val="en-GB"/>
        </w:rPr>
        <w:t xml:space="preserve">, </w:t>
      </w:r>
      <w:proofErr w:type="spellStart"/>
      <w:r w:rsidRPr="00210E93">
        <w:rPr>
          <w:rFonts w:ascii="Times New Roman" w:hAnsi="Times New Roman" w:cs="Times New Roman"/>
          <w:sz w:val="24"/>
          <w:szCs w:val="24"/>
          <w:highlight w:val="yellow"/>
          <w:shd w:val="clear" w:color="auto" w:fill="FFFFFF"/>
          <w:lang w:val="en-GB"/>
        </w:rPr>
        <w:t>Micropor</w:t>
      </w:r>
      <w:proofErr w:type="spellEnd"/>
      <w:r w:rsidRPr="00210E93">
        <w:rPr>
          <w:rFonts w:ascii="Times New Roman" w:hAnsi="Times New Roman" w:cs="Times New Roman"/>
          <w:sz w:val="24"/>
          <w:szCs w:val="24"/>
          <w:highlight w:val="yellow"/>
          <w:shd w:val="clear" w:color="auto" w:fill="FFFFFF"/>
          <w:lang w:val="en-GB"/>
        </w:rPr>
        <w:t xml:space="preserve">. </w:t>
      </w:r>
      <w:proofErr w:type="spellStart"/>
      <w:r w:rsidRPr="00210E93">
        <w:rPr>
          <w:rFonts w:ascii="Times New Roman" w:hAnsi="Times New Roman" w:cs="Times New Roman"/>
          <w:sz w:val="24"/>
          <w:szCs w:val="24"/>
          <w:highlight w:val="yellow"/>
          <w:shd w:val="clear" w:color="auto" w:fill="FFFFFF"/>
          <w:lang w:val="en-GB"/>
        </w:rPr>
        <w:t>Mesopor</w:t>
      </w:r>
      <w:proofErr w:type="spellEnd"/>
      <w:r w:rsidRPr="00210E93">
        <w:rPr>
          <w:rFonts w:ascii="Times New Roman" w:hAnsi="Times New Roman" w:cs="Times New Roman"/>
          <w:sz w:val="24"/>
          <w:szCs w:val="24"/>
          <w:highlight w:val="yellow"/>
          <w:shd w:val="clear" w:color="auto" w:fill="FFFFFF"/>
          <w:lang w:val="en-GB"/>
        </w:rPr>
        <w:t>. Mater. 232 (2016) 256-263. https://doi.org/10.1016/j.micromeso.2016.06.015</w:t>
      </w:r>
    </w:p>
    <w:p w14:paraId="433E7FCD" w14:textId="4A386A6A"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M. Koehle, R.F. Lobo, </w:t>
      </w:r>
      <w:r w:rsidRPr="00210E93">
        <w:rPr>
          <w:rFonts w:ascii="Times New Roman" w:hAnsi="Times New Roman" w:cs="Times New Roman"/>
          <w:sz w:val="24"/>
          <w:szCs w:val="24"/>
          <w:highlight w:val="yellow"/>
          <w:shd w:val="clear" w:color="auto" w:fill="FFFFFF"/>
          <w:lang w:val="en-GB"/>
        </w:rPr>
        <w:tab/>
      </w:r>
      <w:proofErr w:type="spellStart"/>
      <w:r w:rsidRPr="00210E93">
        <w:rPr>
          <w:rFonts w:ascii="Times New Roman" w:hAnsi="Times New Roman" w:cs="Times New Roman"/>
          <w:sz w:val="24"/>
          <w:szCs w:val="24"/>
          <w:highlight w:val="yellow"/>
          <w:shd w:val="clear" w:color="auto" w:fill="FFFFFF"/>
          <w:lang w:val="en-GB"/>
        </w:rPr>
        <w:t>Catal</w:t>
      </w:r>
      <w:proofErr w:type="spellEnd"/>
      <w:r w:rsidRPr="00210E93">
        <w:rPr>
          <w:rFonts w:ascii="Times New Roman" w:hAnsi="Times New Roman" w:cs="Times New Roman"/>
          <w:sz w:val="24"/>
          <w:szCs w:val="24"/>
          <w:highlight w:val="yellow"/>
          <w:shd w:val="clear" w:color="auto" w:fill="FFFFFF"/>
          <w:lang w:val="en-GB"/>
        </w:rPr>
        <w:t>. Sci. Technol. 6 (2016) 3018-3026. https://doi.org/10.1039/c5cy01501d</w:t>
      </w:r>
    </w:p>
    <w:p w14:paraId="661D59C2" w14:textId="3856AFA4"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W.J. Roth, P. </w:t>
      </w:r>
      <w:proofErr w:type="spellStart"/>
      <w:r w:rsidRPr="00210E93">
        <w:rPr>
          <w:rFonts w:ascii="Times New Roman" w:hAnsi="Times New Roman" w:cs="Times New Roman"/>
          <w:sz w:val="24"/>
          <w:szCs w:val="24"/>
          <w:highlight w:val="yellow"/>
          <w:shd w:val="clear" w:color="auto" w:fill="FFFFFF"/>
          <w:lang w:val="en-GB"/>
        </w:rPr>
        <w:t>Nachtigall</w:t>
      </w:r>
      <w:proofErr w:type="spellEnd"/>
      <w:r w:rsidRPr="00210E93">
        <w:rPr>
          <w:rFonts w:ascii="Times New Roman" w:hAnsi="Times New Roman" w:cs="Times New Roman"/>
          <w:sz w:val="24"/>
          <w:szCs w:val="24"/>
          <w:highlight w:val="yellow"/>
          <w:shd w:val="clear" w:color="auto" w:fill="FFFFFF"/>
          <w:lang w:val="en-GB"/>
        </w:rPr>
        <w:t xml:space="preserve">, R.E. Morris, J. </w:t>
      </w:r>
      <w:proofErr w:type="spellStart"/>
      <w:r w:rsidRPr="00210E93">
        <w:rPr>
          <w:rFonts w:ascii="Times New Roman" w:hAnsi="Times New Roman" w:cs="Times New Roman"/>
          <w:sz w:val="24"/>
          <w:szCs w:val="24"/>
          <w:highlight w:val="yellow"/>
          <w:shd w:val="clear" w:color="auto" w:fill="FFFFFF"/>
          <w:lang w:val="en-GB"/>
        </w:rPr>
        <w:t>Čejka</w:t>
      </w:r>
      <w:proofErr w:type="spellEnd"/>
      <w:r w:rsidRPr="00210E93">
        <w:rPr>
          <w:rFonts w:ascii="Times New Roman" w:hAnsi="Times New Roman" w:cs="Times New Roman"/>
          <w:sz w:val="24"/>
          <w:szCs w:val="24"/>
          <w:highlight w:val="yellow"/>
          <w:shd w:val="clear" w:color="auto" w:fill="FFFFFF"/>
          <w:lang w:val="en-GB"/>
        </w:rPr>
        <w:t>, Chem. Rev. 114 (2014) 4807-4837. https://doi.org/10.1021/cr400600f</w:t>
      </w:r>
    </w:p>
    <w:p w14:paraId="42075EDF" w14:textId="1D816D78"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lastRenderedPageBreak/>
        <w:t>H.Y. Luo, J.D. Lewis, Y. Román-</w:t>
      </w:r>
      <w:proofErr w:type="spellStart"/>
      <w:r w:rsidRPr="00210E93">
        <w:rPr>
          <w:rFonts w:ascii="Times New Roman" w:hAnsi="Times New Roman" w:cs="Times New Roman"/>
          <w:sz w:val="24"/>
          <w:szCs w:val="24"/>
          <w:highlight w:val="yellow"/>
          <w:shd w:val="clear" w:color="auto" w:fill="FFFFFF"/>
          <w:lang w:val="en-GB"/>
        </w:rPr>
        <w:t>Leshkov</w:t>
      </w:r>
      <w:proofErr w:type="spellEnd"/>
      <w:r w:rsidRPr="00210E93">
        <w:rPr>
          <w:rFonts w:ascii="Times New Roman" w:hAnsi="Times New Roman" w:cs="Times New Roman"/>
          <w:sz w:val="24"/>
          <w:szCs w:val="24"/>
          <w:highlight w:val="yellow"/>
          <w:shd w:val="clear" w:color="auto" w:fill="FFFFFF"/>
          <w:lang w:val="en-GB"/>
        </w:rPr>
        <w:t xml:space="preserve">, </w:t>
      </w:r>
      <w:proofErr w:type="spellStart"/>
      <w:r w:rsidRPr="00210E93">
        <w:rPr>
          <w:rFonts w:ascii="Times New Roman" w:hAnsi="Times New Roman" w:cs="Times New Roman"/>
          <w:sz w:val="24"/>
          <w:szCs w:val="24"/>
          <w:highlight w:val="yellow"/>
          <w:shd w:val="clear" w:color="auto" w:fill="FFFFFF"/>
          <w:lang w:val="en-GB"/>
        </w:rPr>
        <w:t>Annu</w:t>
      </w:r>
      <w:proofErr w:type="spellEnd"/>
      <w:r w:rsidRPr="00210E93">
        <w:rPr>
          <w:rFonts w:ascii="Times New Roman" w:hAnsi="Times New Roman" w:cs="Times New Roman"/>
          <w:sz w:val="24"/>
          <w:szCs w:val="24"/>
          <w:highlight w:val="yellow"/>
          <w:shd w:val="clear" w:color="auto" w:fill="FFFFFF"/>
          <w:lang w:val="en-GB"/>
        </w:rPr>
        <w:t xml:space="preserve">. Rev. Chem. </w:t>
      </w:r>
      <w:proofErr w:type="spellStart"/>
      <w:r w:rsidRPr="00210E93">
        <w:rPr>
          <w:rFonts w:ascii="Times New Roman" w:hAnsi="Times New Roman" w:cs="Times New Roman"/>
          <w:sz w:val="24"/>
          <w:szCs w:val="24"/>
          <w:highlight w:val="yellow"/>
          <w:shd w:val="clear" w:color="auto" w:fill="FFFFFF"/>
          <w:lang w:val="en-GB"/>
        </w:rPr>
        <w:t>Biomol</w:t>
      </w:r>
      <w:proofErr w:type="spellEnd"/>
      <w:r w:rsidRPr="00210E93">
        <w:rPr>
          <w:rFonts w:ascii="Times New Roman" w:hAnsi="Times New Roman" w:cs="Times New Roman"/>
          <w:sz w:val="24"/>
          <w:szCs w:val="24"/>
          <w:highlight w:val="yellow"/>
          <w:shd w:val="clear" w:color="auto" w:fill="FFFFFF"/>
          <w:lang w:val="en-GB"/>
        </w:rPr>
        <w:t>. Eng. 7 (2016) 663-92. https://doi.org/10.1146/annurev-chembioeng-080615-034551</w:t>
      </w:r>
    </w:p>
    <w:p w14:paraId="0951672B" w14:textId="45F8BC22" w:rsidR="00055EB6" w:rsidRPr="00210E93" w:rsidRDefault="00055EB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H. </w:t>
      </w:r>
      <w:proofErr w:type="spellStart"/>
      <w:r w:rsidRPr="00210E93">
        <w:rPr>
          <w:rFonts w:ascii="Times New Roman" w:hAnsi="Times New Roman" w:cs="Times New Roman"/>
          <w:sz w:val="24"/>
          <w:szCs w:val="24"/>
          <w:highlight w:val="yellow"/>
          <w:shd w:val="clear" w:color="auto" w:fill="FFFFFF"/>
          <w:lang w:val="en-GB"/>
        </w:rPr>
        <w:t>Awala</w:t>
      </w:r>
      <w:proofErr w:type="spellEnd"/>
      <w:r w:rsidRPr="00210E93">
        <w:rPr>
          <w:rFonts w:ascii="Times New Roman" w:hAnsi="Times New Roman" w:cs="Times New Roman"/>
          <w:sz w:val="24"/>
          <w:szCs w:val="24"/>
          <w:highlight w:val="yellow"/>
          <w:shd w:val="clear" w:color="auto" w:fill="FFFFFF"/>
          <w:lang w:val="en-GB"/>
        </w:rPr>
        <w:t xml:space="preserve">, J.P. Gilson, R. </w:t>
      </w:r>
      <w:proofErr w:type="spellStart"/>
      <w:r w:rsidRPr="00210E93">
        <w:rPr>
          <w:rFonts w:ascii="Times New Roman" w:hAnsi="Times New Roman" w:cs="Times New Roman"/>
          <w:sz w:val="24"/>
          <w:szCs w:val="24"/>
          <w:highlight w:val="yellow"/>
          <w:shd w:val="clear" w:color="auto" w:fill="FFFFFF"/>
          <w:lang w:val="en-GB"/>
        </w:rPr>
        <w:t>Retoux</w:t>
      </w:r>
      <w:proofErr w:type="spellEnd"/>
      <w:r w:rsidRPr="00210E93">
        <w:rPr>
          <w:rFonts w:ascii="Times New Roman" w:hAnsi="Times New Roman" w:cs="Times New Roman"/>
          <w:sz w:val="24"/>
          <w:szCs w:val="24"/>
          <w:highlight w:val="yellow"/>
          <w:shd w:val="clear" w:color="auto" w:fill="FFFFFF"/>
          <w:lang w:val="en-GB"/>
        </w:rPr>
        <w:t xml:space="preserve">, P. </w:t>
      </w:r>
      <w:proofErr w:type="spellStart"/>
      <w:r w:rsidRPr="00210E93">
        <w:rPr>
          <w:rFonts w:ascii="Times New Roman" w:hAnsi="Times New Roman" w:cs="Times New Roman"/>
          <w:sz w:val="24"/>
          <w:szCs w:val="24"/>
          <w:highlight w:val="yellow"/>
          <w:shd w:val="clear" w:color="auto" w:fill="FFFFFF"/>
          <w:lang w:val="en-GB"/>
        </w:rPr>
        <w:t>Boullay</w:t>
      </w:r>
      <w:proofErr w:type="spellEnd"/>
      <w:r w:rsidRPr="00210E93">
        <w:rPr>
          <w:rFonts w:ascii="Times New Roman" w:hAnsi="Times New Roman" w:cs="Times New Roman"/>
          <w:sz w:val="24"/>
          <w:szCs w:val="24"/>
          <w:highlight w:val="yellow"/>
          <w:shd w:val="clear" w:color="auto" w:fill="FFFFFF"/>
          <w:lang w:val="en-GB"/>
        </w:rPr>
        <w:t xml:space="preserve">, J.M. </w:t>
      </w:r>
      <w:proofErr w:type="spellStart"/>
      <w:r w:rsidRPr="00210E93">
        <w:rPr>
          <w:rFonts w:ascii="Times New Roman" w:hAnsi="Times New Roman" w:cs="Times New Roman"/>
          <w:sz w:val="24"/>
          <w:szCs w:val="24"/>
          <w:highlight w:val="yellow"/>
          <w:shd w:val="clear" w:color="auto" w:fill="FFFFFF"/>
          <w:lang w:val="en-GB"/>
        </w:rPr>
        <w:t>Goupil</w:t>
      </w:r>
      <w:proofErr w:type="spellEnd"/>
      <w:r w:rsidRPr="00210E93">
        <w:rPr>
          <w:rFonts w:ascii="Times New Roman" w:hAnsi="Times New Roman" w:cs="Times New Roman"/>
          <w:sz w:val="24"/>
          <w:szCs w:val="24"/>
          <w:highlight w:val="yellow"/>
          <w:shd w:val="clear" w:color="auto" w:fill="FFFFFF"/>
          <w:lang w:val="en-GB"/>
        </w:rPr>
        <w:t xml:space="preserve">, V. </w:t>
      </w:r>
      <w:proofErr w:type="spellStart"/>
      <w:r w:rsidRPr="00210E93">
        <w:rPr>
          <w:rFonts w:ascii="Times New Roman" w:hAnsi="Times New Roman" w:cs="Times New Roman"/>
          <w:sz w:val="24"/>
          <w:szCs w:val="24"/>
          <w:highlight w:val="yellow"/>
          <w:shd w:val="clear" w:color="auto" w:fill="FFFFFF"/>
          <w:lang w:val="en-GB"/>
        </w:rPr>
        <w:t>Valtchev</w:t>
      </w:r>
      <w:proofErr w:type="spellEnd"/>
      <w:r w:rsidRPr="00210E93">
        <w:rPr>
          <w:rFonts w:ascii="Times New Roman" w:hAnsi="Times New Roman" w:cs="Times New Roman"/>
          <w:sz w:val="24"/>
          <w:szCs w:val="24"/>
          <w:highlight w:val="yellow"/>
          <w:shd w:val="clear" w:color="auto" w:fill="FFFFFF"/>
          <w:lang w:val="en-GB"/>
        </w:rPr>
        <w:t xml:space="preserve">, S. </w:t>
      </w:r>
      <w:proofErr w:type="spellStart"/>
      <w:r w:rsidRPr="00210E93">
        <w:rPr>
          <w:rFonts w:ascii="Times New Roman" w:hAnsi="Times New Roman" w:cs="Times New Roman"/>
          <w:sz w:val="24"/>
          <w:szCs w:val="24"/>
          <w:highlight w:val="yellow"/>
          <w:shd w:val="clear" w:color="auto" w:fill="FFFFFF"/>
          <w:lang w:val="en-GB"/>
        </w:rPr>
        <w:t>Mintova</w:t>
      </w:r>
      <w:proofErr w:type="spellEnd"/>
      <w:r w:rsidRPr="00210E93">
        <w:rPr>
          <w:rFonts w:ascii="Times New Roman" w:hAnsi="Times New Roman" w:cs="Times New Roman"/>
          <w:sz w:val="24"/>
          <w:szCs w:val="24"/>
          <w:highlight w:val="yellow"/>
          <w:shd w:val="clear" w:color="auto" w:fill="FFFFFF"/>
          <w:lang w:val="en-GB"/>
        </w:rPr>
        <w:t xml:space="preserve">, </w:t>
      </w:r>
      <w:r w:rsidR="008E3804" w:rsidRPr="00210E93">
        <w:rPr>
          <w:rFonts w:ascii="Times New Roman" w:hAnsi="Times New Roman" w:cs="Times New Roman"/>
          <w:sz w:val="24"/>
          <w:szCs w:val="24"/>
          <w:highlight w:val="yellow"/>
          <w:shd w:val="clear" w:color="auto" w:fill="FFFFFF"/>
          <w:lang w:val="en-GB"/>
        </w:rPr>
        <w:t>Nature Mater. 14 (2015) 447-451</w:t>
      </w:r>
      <w:r w:rsidRPr="00210E93">
        <w:rPr>
          <w:rFonts w:ascii="Times New Roman" w:hAnsi="Times New Roman" w:cs="Times New Roman"/>
          <w:sz w:val="24"/>
          <w:szCs w:val="24"/>
          <w:highlight w:val="yellow"/>
          <w:shd w:val="clear" w:color="auto" w:fill="FFFFFF"/>
          <w:lang w:val="en-GB"/>
        </w:rPr>
        <w:t>. https://doi.org/10.1038/nmat4173</w:t>
      </w:r>
    </w:p>
    <w:p w14:paraId="725631C0" w14:textId="45A596FB" w:rsidR="008E3804" w:rsidRPr="00210E93" w:rsidRDefault="008E3804"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L. </w:t>
      </w:r>
      <w:proofErr w:type="spellStart"/>
      <w:r w:rsidRPr="00210E93">
        <w:rPr>
          <w:rFonts w:ascii="Times New Roman" w:hAnsi="Times New Roman" w:cs="Times New Roman"/>
          <w:sz w:val="24"/>
          <w:szCs w:val="24"/>
          <w:highlight w:val="yellow"/>
          <w:shd w:val="clear" w:color="auto" w:fill="FFFFFF"/>
          <w:lang w:val="en-GB"/>
        </w:rPr>
        <w:t>Kyu</w:t>
      </w:r>
      <w:proofErr w:type="spellEnd"/>
      <w:r w:rsidRPr="00210E93">
        <w:rPr>
          <w:rFonts w:ascii="Times New Roman" w:hAnsi="Times New Roman" w:cs="Times New Roman"/>
          <w:sz w:val="24"/>
          <w:szCs w:val="24"/>
          <w:highlight w:val="yellow"/>
          <w:shd w:val="clear" w:color="auto" w:fill="FFFFFF"/>
          <w:lang w:val="en-GB"/>
        </w:rPr>
        <w:t xml:space="preserve">, L.B., Huong, P.T., </w:t>
      </w:r>
      <w:proofErr w:type="spellStart"/>
      <w:r w:rsidRPr="00210E93">
        <w:rPr>
          <w:rFonts w:ascii="Times New Roman" w:hAnsi="Times New Roman" w:cs="Times New Roman"/>
          <w:sz w:val="24"/>
          <w:szCs w:val="24"/>
          <w:highlight w:val="yellow"/>
          <w:shd w:val="clear" w:color="auto" w:fill="FFFFFF"/>
          <w:lang w:val="en-GB"/>
        </w:rPr>
        <w:t>Geun</w:t>
      </w:r>
      <w:proofErr w:type="spellEnd"/>
      <w:r w:rsidRPr="00210E93">
        <w:rPr>
          <w:rFonts w:ascii="Times New Roman" w:hAnsi="Times New Roman" w:cs="Times New Roman"/>
          <w:sz w:val="24"/>
          <w:szCs w:val="24"/>
          <w:highlight w:val="yellow"/>
          <w:shd w:val="clear" w:color="auto" w:fill="FFFFFF"/>
          <w:lang w:val="en-GB"/>
        </w:rPr>
        <w:t xml:space="preserve"> LD. </w:t>
      </w:r>
      <w:proofErr w:type="spellStart"/>
      <w:r w:rsidRPr="00210E93">
        <w:rPr>
          <w:rFonts w:ascii="Times New Roman" w:hAnsi="Times New Roman" w:cs="Times New Roman"/>
          <w:sz w:val="24"/>
          <w:szCs w:val="24"/>
          <w:highlight w:val="yellow"/>
          <w:shd w:val="clear" w:color="auto" w:fill="FFFFFF"/>
          <w:lang w:val="en-GB"/>
        </w:rPr>
        <w:t>Kyu</w:t>
      </w:r>
      <w:proofErr w:type="spellEnd"/>
      <w:r w:rsidRPr="00210E93">
        <w:rPr>
          <w:rFonts w:ascii="Times New Roman" w:hAnsi="Times New Roman" w:cs="Times New Roman"/>
          <w:sz w:val="24"/>
          <w:szCs w:val="24"/>
          <w:highlight w:val="yellow"/>
          <w:shd w:val="clear" w:color="auto" w:fill="FFFFFF"/>
          <w:lang w:val="en-GB"/>
        </w:rPr>
        <w:t xml:space="preserve">, Method for Removing Carbon Dioxide Using Nano-Zeolite Supported with Fe Ion., </w:t>
      </w:r>
      <w:r w:rsidR="00C02615" w:rsidRPr="00210E93">
        <w:rPr>
          <w:rFonts w:ascii="Times New Roman" w:hAnsi="Times New Roman" w:cs="Times New Roman"/>
          <w:sz w:val="24"/>
          <w:szCs w:val="24"/>
          <w:highlight w:val="yellow"/>
          <w:shd w:val="clear" w:color="auto" w:fill="FFFFFF"/>
          <w:lang w:val="en-GB"/>
        </w:rPr>
        <w:t xml:space="preserve">(2016) </w:t>
      </w:r>
      <w:r w:rsidRPr="00210E93">
        <w:rPr>
          <w:rFonts w:ascii="Times New Roman" w:hAnsi="Times New Roman" w:cs="Times New Roman"/>
          <w:sz w:val="24"/>
          <w:szCs w:val="24"/>
          <w:highlight w:val="yellow"/>
          <w:shd w:val="clear" w:color="auto" w:fill="FFFFFF"/>
          <w:lang w:val="en-GB"/>
        </w:rPr>
        <w:t>Pat. KR20170142691</w:t>
      </w:r>
      <w:r w:rsidR="00C02615" w:rsidRPr="00210E93">
        <w:rPr>
          <w:rFonts w:ascii="Times New Roman" w:hAnsi="Times New Roman" w:cs="Times New Roman"/>
          <w:sz w:val="24"/>
          <w:szCs w:val="24"/>
          <w:highlight w:val="yellow"/>
          <w:shd w:val="clear" w:color="auto" w:fill="FFFFFF"/>
          <w:lang w:val="en-GB"/>
        </w:rPr>
        <w:t>.</w:t>
      </w:r>
      <w:r w:rsidRPr="00210E93">
        <w:rPr>
          <w:rFonts w:ascii="Times New Roman" w:hAnsi="Times New Roman" w:cs="Times New Roman"/>
          <w:sz w:val="24"/>
          <w:szCs w:val="24"/>
          <w:highlight w:val="yellow"/>
          <w:shd w:val="clear" w:color="auto" w:fill="FFFFFF"/>
          <w:lang w:val="en-GB"/>
        </w:rPr>
        <w:t xml:space="preserve"> </w:t>
      </w:r>
    </w:p>
    <w:p w14:paraId="7C9DF5FE" w14:textId="7ACC8ED2" w:rsidR="00C02615" w:rsidRPr="00210E93" w:rsidRDefault="00C02615"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M. Nishihara, Y. </w:t>
      </w:r>
      <w:proofErr w:type="spellStart"/>
      <w:r w:rsidRPr="00210E93">
        <w:rPr>
          <w:rFonts w:ascii="Times New Roman" w:hAnsi="Times New Roman" w:cs="Times New Roman"/>
          <w:sz w:val="24"/>
          <w:szCs w:val="24"/>
          <w:highlight w:val="yellow"/>
          <w:shd w:val="clear" w:color="auto" w:fill="FFFFFF"/>
          <w:lang w:val="en-GB"/>
        </w:rPr>
        <w:t>Terayama</w:t>
      </w:r>
      <w:proofErr w:type="spellEnd"/>
      <w:r w:rsidRPr="00210E93">
        <w:rPr>
          <w:rFonts w:ascii="Times New Roman" w:hAnsi="Times New Roman" w:cs="Times New Roman"/>
          <w:sz w:val="24"/>
          <w:szCs w:val="24"/>
          <w:highlight w:val="yellow"/>
          <w:shd w:val="clear" w:color="auto" w:fill="FFFFFF"/>
          <w:lang w:val="en-GB"/>
        </w:rPr>
        <w:t xml:space="preserve">, T. Haji, S.M. </w:t>
      </w:r>
      <w:proofErr w:type="spellStart"/>
      <w:r w:rsidRPr="00210E93">
        <w:rPr>
          <w:rFonts w:ascii="Times New Roman" w:hAnsi="Times New Roman" w:cs="Times New Roman"/>
          <w:sz w:val="24"/>
          <w:szCs w:val="24"/>
          <w:highlight w:val="yellow"/>
          <w:shd w:val="clear" w:color="auto" w:fill="FFFFFF"/>
          <w:lang w:val="en-GB"/>
        </w:rPr>
        <w:t>Lyth</w:t>
      </w:r>
      <w:proofErr w:type="spellEnd"/>
      <w:r w:rsidRPr="00210E93">
        <w:rPr>
          <w:rFonts w:ascii="Times New Roman" w:hAnsi="Times New Roman" w:cs="Times New Roman"/>
          <w:sz w:val="24"/>
          <w:szCs w:val="24"/>
          <w:highlight w:val="yellow"/>
          <w:shd w:val="clear" w:color="auto" w:fill="FFFFFF"/>
          <w:lang w:val="en-GB"/>
        </w:rPr>
        <w:t xml:space="preserve">, S. </w:t>
      </w:r>
      <w:proofErr w:type="spellStart"/>
      <w:r w:rsidRPr="00210E93">
        <w:rPr>
          <w:rFonts w:ascii="Times New Roman" w:hAnsi="Times New Roman" w:cs="Times New Roman"/>
          <w:sz w:val="24"/>
          <w:szCs w:val="24"/>
          <w:highlight w:val="yellow"/>
          <w:shd w:val="clear" w:color="auto" w:fill="FFFFFF"/>
          <w:lang w:val="en-GB"/>
        </w:rPr>
        <w:t>Satokawa</w:t>
      </w:r>
      <w:proofErr w:type="spellEnd"/>
      <w:r w:rsidRPr="00210E93">
        <w:rPr>
          <w:rFonts w:ascii="Times New Roman" w:hAnsi="Times New Roman" w:cs="Times New Roman"/>
          <w:sz w:val="24"/>
          <w:szCs w:val="24"/>
          <w:highlight w:val="yellow"/>
          <w:shd w:val="clear" w:color="auto" w:fill="FFFFFF"/>
          <w:lang w:val="en-GB"/>
        </w:rPr>
        <w:t xml:space="preserve">, H. Matsumoto, </w:t>
      </w:r>
      <w:proofErr w:type="spellStart"/>
      <w:r w:rsidRPr="00210E93">
        <w:rPr>
          <w:rFonts w:ascii="Times New Roman" w:hAnsi="Times New Roman" w:cs="Times New Roman"/>
          <w:sz w:val="24"/>
          <w:szCs w:val="24"/>
          <w:highlight w:val="yellow"/>
          <w:shd w:val="clear" w:color="auto" w:fill="FFFFFF"/>
          <w:lang w:val="en-GB"/>
        </w:rPr>
        <w:t>eXPRESS</w:t>
      </w:r>
      <w:proofErr w:type="spellEnd"/>
      <w:r w:rsidRPr="00210E93">
        <w:rPr>
          <w:rFonts w:ascii="Times New Roman" w:hAnsi="Times New Roman" w:cs="Times New Roman"/>
          <w:sz w:val="24"/>
          <w:szCs w:val="24"/>
          <w:highlight w:val="yellow"/>
          <w:shd w:val="clear" w:color="auto" w:fill="FFFFFF"/>
          <w:lang w:val="en-GB"/>
        </w:rPr>
        <w:t xml:space="preserve"> Polymer Lett. 12, (2018) 256-264. https://doi.org/10.3144/expresspolymlett.2018.23</w:t>
      </w:r>
    </w:p>
    <w:p w14:paraId="148FF7CB" w14:textId="0D75C2D3" w:rsidR="00C02615" w:rsidRPr="00210E93" w:rsidRDefault="00C02615"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Q. Li, G. Liao, S. Zhang, L. Pang, H. Tong, W. Zhao, Z. Xu, Appl. Surf. Sci. 427 (2018) 437-450. https://doi.org/10.1016/j.apsusc.2017.08.024</w:t>
      </w:r>
    </w:p>
    <w:p w14:paraId="79BFDA23" w14:textId="0FE59838" w:rsidR="00C02615" w:rsidRPr="00210E93" w:rsidRDefault="00C02615"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G.S. Wang J, Zhang J, Triethylamine Fluorescence Sensor for Detecting e.g. Triethylamine Gas, Comprises Nano-L-Type Zeolite and Rare-Earth Beta-Diketone Complex Obtained by Reacting Rare-Earth Ion and β-Diketone Ligand., (2017) Pat. CN107089905-A.</w:t>
      </w:r>
    </w:p>
    <w:p w14:paraId="760D5835" w14:textId="61BADAAD" w:rsidR="00C02615" w:rsidRPr="00210E93" w:rsidRDefault="00C02615"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C.R. Thomas, S. George, A.M. Horst, Z. Ji, R.J. Miller, J.R. Peralta-</w:t>
      </w:r>
      <w:proofErr w:type="spellStart"/>
      <w:r w:rsidRPr="00210E93">
        <w:rPr>
          <w:rFonts w:ascii="Times New Roman" w:hAnsi="Times New Roman" w:cs="Times New Roman"/>
          <w:sz w:val="24"/>
          <w:szCs w:val="24"/>
          <w:highlight w:val="yellow"/>
          <w:shd w:val="clear" w:color="auto" w:fill="FFFFFF"/>
          <w:lang w:val="en-GB"/>
        </w:rPr>
        <w:t>Videa</w:t>
      </w:r>
      <w:proofErr w:type="spellEnd"/>
      <w:r w:rsidRPr="00210E93">
        <w:rPr>
          <w:rFonts w:ascii="Times New Roman" w:hAnsi="Times New Roman" w:cs="Times New Roman"/>
          <w:sz w:val="24"/>
          <w:szCs w:val="24"/>
          <w:highlight w:val="yellow"/>
          <w:shd w:val="clear" w:color="auto" w:fill="FFFFFF"/>
          <w:lang w:val="en-GB"/>
        </w:rPr>
        <w:t xml:space="preserve">, T. Xia, S. </w:t>
      </w:r>
      <w:proofErr w:type="spellStart"/>
      <w:r w:rsidRPr="00210E93">
        <w:rPr>
          <w:rFonts w:ascii="Times New Roman" w:hAnsi="Times New Roman" w:cs="Times New Roman"/>
          <w:sz w:val="24"/>
          <w:szCs w:val="24"/>
          <w:highlight w:val="yellow"/>
          <w:shd w:val="clear" w:color="auto" w:fill="FFFFFF"/>
          <w:lang w:val="en-GB"/>
        </w:rPr>
        <w:t>Pokhrel</w:t>
      </w:r>
      <w:proofErr w:type="spellEnd"/>
      <w:r w:rsidRPr="00210E93">
        <w:rPr>
          <w:rFonts w:ascii="Times New Roman" w:hAnsi="Times New Roman" w:cs="Times New Roman"/>
          <w:sz w:val="24"/>
          <w:szCs w:val="24"/>
          <w:highlight w:val="yellow"/>
          <w:shd w:val="clear" w:color="auto" w:fill="FFFFFF"/>
          <w:lang w:val="en-GB"/>
        </w:rPr>
        <w:t xml:space="preserve">, L. </w:t>
      </w:r>
      <w:proofErr w:type="spellStart"/>
      <w:r w:rsidRPr="00210E93">
        <w:rPr>
          <w:rFonts w:ascii="Times New Roman" w:hAnsi="Times New Roman" w:cs="Times New Roman"/>
          <w:sz w:val="24"/>
          <w:szCs w:val="24"/>
          <w:highlight w:val="yellow"/>
          <w:shd w:val="clear" w:color="auto" w:fill="FFFFFF"/>
          <w:lang w:val="en-GB"/>
        </w:rPr>
        <w:t>Mädler</w:t>
      </w:r>
      <w:proofErr w:type="spellEnd"/>
      <w:r w:rsidRPr="00210E93">
        <w:rPr>
          <w:rFonts w:ascii="Times New Roman" w:hAnsi="Times New Roman" w:cs="Times New Roman"/>
          <w:sz w:val="24"/>
          <w:szCs w:val="24"/>
          <w:highlight w:val="yellow"/>
          <w:shd w:val="clear" w:color="auto" w:fill="FFFFFF"/>
          <w:lang w:val="en-GB"/>
        </w:rPr>
        <w:t xml:space="preserve">, J.L. </w:t>
      </w:r>
      <w:proofErr w:type="spellStart"/>
      <w:r w:rsidRPr="00210E93">
        <w:rPr>
          <w:rFonts w:ascii="Times New Roman" w:hAnsi="Times New Roman" w:cs="Times New Roman"/>
          <w:sz w:val="24"/>
          <w:szCs w:val="24"/>
          <w:highlight w:val="yellow"/>
          <w:shd w:val="clear" w:color="auto" w:fill="FFFFFF"/>
          <w:lang w:val="en-GB"/>
        </w:rPr>
        <w:t>Gardea-Torresdey</w:t>
      </w:r>
      <w:proofErr w:type="spellEnd"/>
      <w:r w:rsidRPr="00210E93">
        <w:rPr>
          <w:rFonts w:ascii="Times New Roman" w:hAnsi="Times New Roman" w:cs="Times New Roman"/>
          <w:sz w:val="24"/>
          <w:szCs w:val="24"/>
          <w:highlight w:val="yellow"/>
          <w:shd w:val="clear" w:color="auto" w:fill="FFFFFF"/>
          <w:lang w:val="en-GB"/>
        </w:rPr>
        <w:t xml:space="preserve">, P.A. Holden, A.A. Keller, H.S. </w:t>
      </w:r>
      <w:proofErr w:type="spellStart"/>
      <w:r w:rsidRPr="00210E93">
        <w:rPr>
          <w:rFonts w:ascii="Times New Roman" w:hAnsi="Times New Roman" w:cs="Times New Roman"/>
          <w:sz w:val="24"/>
          <w:szCs w:val="24"/>
          <w:highlight w:val="yellow"/>
          <w:shd w:val="clear" w:color="auto" w:fill="FFFFFF"/>
          <w:lang w:val="en-GB"/>
        </w:rPr>
        <w:t>Lenihan</w:t>
      </w:r>
      <w:proofErr w:type="spellEnd"/>
      <w:r w:rsidRPr="00210E93">
        <w:rPr>
          <w:rFonts w:ascii="Times New Roman" w:hAnsi="Times New Roman" w:cs="Times New Roman"/>
          <w:sz w:val="24"/>
          <w:szCs w:val="24"/>
          <w:highlight w:val="yellow"/>
          <w:shd w:val="clear" w:color="auto" w:fill="FFFFFF"/>
          <w:lang w:val="en-GB"/>
        </w:rPr>
        <w:t xml:space="preserve">, A.E. </w:t>
      </w:r>
      <w:proofErr w:type="spellStart"/>
      <w:r w:rsidRPr="00210E93">
        <w:rPr>
          <w:rFonts w:ascii="Times New Roman" w:hAnsi="Times New Roman" w:cs="Times New Roman"/>
          <w:sz w:val="24"/>
          <w:szCs w:val="24"/>
          <w:highlight w:val="yellow"/>
          <w:shd w:val="clear" w:color="auto" w:fill="FFFFFF"/>
          <w:lang w:val="en-GB"/>
        </w:rPr>
        <w:t>Nel</w:t>
      </w:r>
      <w:proofErr w:type="spellEnd"/>
      <w:r w:rsidRPr="00210E93">
        <w:rPr>
          <w:rFonts w:ascii="Times New Roman" w:hAnsi="Times New Roman" w:cs="Times New Roman"/>
          <w:sz w:val="24"/>
          <w:szCs w:val="24"/>
          <w:highlight w:val="yellow"/>
          <w:shd w:val="clear" w:color="auto" w:fill="FFFFFF"/>
          <w:lang w:val="en-GB"/>
        </w:rPr>
        <w:t>, J.I. Zink, ACS Nano 5 (2011) 13-20. https://doi.org/10.1021/nn1034857</w:t>
      </w:r>
    </w:p>
    <w:p w14:paraId="5863FB88" w14:textId="5316316F" w:rsidR="00C02615" w:rsidRPr="00210E93" w:rsidRDefault="00C02615"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S. Laurent, E.P. Ng, C. </w:t>
      </w:r>
      <w:proofErr w:type="spellStart"/>
      <w:r w:rsidRPr="00210E93">
        <w:rPr>
          <w:rFonts w:ascii="Times New Roman" w:hAnsi="Times New Roman" w:cs="Times New Roman"/>
          <w:sz w:val="24"/>
          <w:szCs w:val="24"/>
          <w:highlight w:val="yellow"/>
          <w:shd w:val="clear" w:color="auto" w:fill="FFFFFF"/>
          <w:lang w:val="en-GB"/>
        </w:rPr>
        <w:t>Thirifays</w:t>
      </w:r>
      <w:proofErr w:type="spellEnd"/>
      <w:r w:rsidRPr="00210E93">
        <w:rPr>
          <w:rFonts w:ascii="Times New Roman" w:hAnsi="Times New Roman" w:cs="Times New Roman"/>
          <w:sz w:val="24"/>
          <w:szCs w:val="24"/>
          <w:highlight w:val="yellow"/>
          <w:shd w:val="clear" w:color="auto" w:fill="FFFFFF"/>
          <w:lang w:val="en-GB"/>
        </w:rPr>
        <w:t xml:space="preserve">, L. </w:t>
      </w:r>
      <w:proofErr w:type="spellStart"/>
      <w:r w:rsidRPr="00210E93">
        <w:rPr>
          <w:rFonts w:ascii="Times New Roman" w:hAnsi="Times New Roman" w:cs="Times New Roman"/>
          <w:sz w:val="24"/>
          <w:szCs w:val="24"/>
          <w:highlight w:val="yellow"/>
          <w:shd w:val="clear" w:color="auto" w:fill="FFFFFF"/>
          <w:lang w:val="en-GB"/>
        </w:rPr>
        <w:t>Lakiss</w:t>
      </w:r>
      <w:proofErr w:type="spellEnd"/>
      <w:r w:rsidRPr="00210E93">
        <w:rPr>
          <w:rFonts w:ascii="Times New Roman" w:hAnsi="Times New Roman" w:cs="Times New Roman"/>
          <w:sz w:val="24"/>
          <w:szCs w:val="24"/>
          <w:highlight w:val="yellow"/>
          <w:shd w:val="clear" w:color="auto" w:fill="FFFFFF"/>
          <w:lang w:val="en-GB"/>
        </w:rPr>
        <w:t xml:space="preserve">, G.M. </w:t>
      </w:r>
      <w:proofErr w:type="spellStart"/>
      <w:r w:rsidRPr="00210E93">
        <w:rPr>
          <w:rFonts w:ascii="Times New Roman" w:hAnsi="Times New Roman" w:cs="Times New Roman"/>
          <w:sz w:val="24"/>
          <w:szCs w:val="24"/>
          <w:highlight w:val="yellow"/>
          <w:shd w:val="clear" w:color="auto" w:fill="FFFFFF"/>
          <w:lang w:val="en-GB"/>
        </w:rPr>
        <w:t>Goupil</w:t>
      </w:r>
      <w:proofErr w:type="spellEnd"/>
      <w:r w:rsidRPr="00210E93">
        <w:rPr>
          <w:rFonts w:ascii="Times New Roman" w:hAnsi="Times New Roman" w:cs="Times New Roman"/>
          <w:sz w:val="24"/>
          <w:szCs w:val="24"/>
          <w:highlight w:val="yellow"/>
          <w:shd w:val="clear" w:color="auto" w:fill="FFFFFF"/>
          <w:lang w:val="en-GB"/>
        </w:rPr>
        <w:t xml:space="preserve">, S. </w:t>
      </w:r>
      <w:proofErr w:type="spellStart"/>
      <w:r w:rsidRPr="00210E93">
        <w:rPr>
          <w:rFonts w:ascii="Times New Roman" w:hAnsi="Times New Roman" w:cs="Times New Roman"/>
          <w:sz w:val="24"/>
          <w:szCs w:val="24"/>
          <w:highlight w:val="yellow"/>
          <w:shd w:val="clear" w:color="auto" w:fill="FFFFFF"/>
          <w:lang w:val="en-GB"/>
        </w:rPr>
        <w:t>Mintova</w:t>
      </w:r>
      <w:proofErr w:type="spellEnd"/>
      <w:r w:rsidRPr="00210E93">
        <w:rPr>
          <w:rFonts w:ascii="Times New Roman" w:hAnsi="Times New Roman" w:cs="Times New Roman"/>
          <w:sz w:val="24"/>
          <w:szCs w:val="24"/>
          <w:highlight w:val="yellow"/>
          <w:shd w:val="clear" w:color="auto" w:fill="FFFFFF"/>
          <w:lang w:val="en-GB"/>
        </w:rPr>
        <w:t xml:space="preserve">, C. </w:t>
      </w:r>
      <w:proofErr w:type="spellStart"/>
      <w:r w:rsidRPr="00210E93">
        <w:rPr>
          <w:rFonts w:ascii="Times New Roman" w:hAnsi="Times New Roman" w:cs="Times New Roman"/>
          <w:sz w:val="24"/>
          <w:szCs w:val="24"/>
          <w:highlight w:val="yellow"/>
          <w:shd w:val="clear" w:color="auto" w:fill="FFFFFF"/>
          <w:lang w:val="en-GB"/>
        </w:rPr>
        <w:t>Burtea</w:t>
      </w:r>
      <w:proofErr w:type="spellEnd"/>
      <w:r w:rsidRPr="00210E93">
        <w:rPr>
          <w:rFonts w:ascii="Times New Roman" w:hAnsi="Times New Roman" w:cs="Times New Roman"/>
          <w:sz w:val="24"/>
          <w:szCs w:val="24"/>
          <w:highlight w:val="yellow"/>
          <w:shd w:val="clear" w:color="auto" w:fill="FFFFFF"/>
          <w:lang w:val="en-GB"/>
        </w:rPr>
        <w:t xml:space="preserve">, E. </w:t>
      </w:r>
      <w:proofErr w:type="spellStart"/>
      <w:r w:rsidRPr="00210E93">
        <w:rPr>
          <w:rFonts w:ascii="Times New Roman" w:hAnsi="Times New Roman" w:cs="Times New Roman"/>
          <w:sz w:val="24"/>
          <w:szCs w:val="24"/>
          <w:highlight w:val="yellow"/>
          <w:shd w:val="clear" w:color="auto" w:fill="FFFFFF"/>
          <w:lang w:val="en-GB"/>
        </w:rPr>
        <w:t>Oveisi</w:t>
      </w:r>
      <w:proofErr w:type="spellEnd"/>
      <w:r w:rsidRPr="00210E93">
        <w:rPr>
          <w:rFonts w:ascii="Times New Roman" w:hAnsi="Times New Roman" w:cs="Times New Roman"/>
          <w:sz w:val="24"/>
          <w:szCs w:val="24"/>
          <w:highlight w:val="yellow"/>
          <w:shd w:val="clear" w:color="auto" w:fill="FFFFFF"/>
          <w:lang w:val="en-GB"/>
        </w:rPr>
        <w:t xml:space="preserve">, C. Hébert, M. De Vries, M.M. </w:t>
      </w:r>
      <w:proofErr w:type="spellStart"/>
      <w:r w:rsidRPr="00210E93">
        <w:rPr>
          <w:rFonts w:ascii="Times New Roman" w:hAnsi="Times New Roman" w:cs="Times New Roman"/>
          <w:sz w:val="24"/>
          <w:szCs w:val="24"/>
          <w:highlight w:val="yellow"/>
          <w:shd w:val="clear" w:color="auto" w:fill="FFFFFF"/>
          <w:lang w:val="en-GB"/>
        </w:rPr>
        <w:t>Motazacker</w:t>
      </w:r>
      <w:proofErr w:type="spellEnd"/>
      <w:r w:rsidRPr="00210E93">
        <w:rPr>
          <w:rFonts w:ascii="Times New Roman" w:hAnsi="Times New Roman" w:cs="Times New Roman"/>
          <w:sz w:val="24"/>
          <w:szCs w:val="24"/>
          <w:highlight w:val="yellow"/>
          <w:shd w:val="clear" w:color="auto" w:fill="FFFFFF"/>
          <w:lang w:val="en-GB"/>
        </w:rPr>
        <w:t xml:space="preserve">, F. </w:t>
      </w:r>
      <w:proofErr w:type="spellStart"/>
      <w:r w:rsidRPr="00210E93">
        <w:rPr>
          <w:rFonts w:ascii="Times New Roman" w:hAnsi="Times New Roman" w:cs="Times New Roman"/>
          <w:sz w:val="24"/>
          <w:szCs w:val="24"/>
          <w:highlight w:val="yellow"/>
          <w:shd w:val="clear" w:color="auto" w:fill="FFFFFF"/>
          <w:lang w:val="en-GB"/>
        </w:rPr>
        <w:t>Rezaee</w:t>
      </w:r>
      <w:proofErr w:type="spellEnd"/>
      <w:r w:rsidRPr="00210E93">
        <w:rPr>
          <w:rFonts w:ascii="Times New Roman" w:hAnsi="Times New Roman" w:cs="Times New Roman"/>
          <w:sz w:val="24"/>
          <w:szCs w:val="24"/>
          <w:highlight w:val="yellow"/>
          <w:shd w:val="clear" w:color="auto" w:fill="FFFFFF"/>
          <w:lang w:val="en-GB"/>
        </w:rPr>
        <w:t xml:space="preserve">, M. </w:t>
      </w:r>
      <w:proofErr w:type="spellStart"/>
      <w:r w:rsidRPr="00210E93">
        <w:rPr>
          <w:rFonts w:ascii="Times New Roman" w:hAnsi="Times New Roman" w:cs="Times New Roman"/>
          <w:sz w:val="24"/>
          <w:szCs w:val="24"/>
          <w:highlight w:val="yellow"/>
          <w:shd w:val="clear" w:color="auto" w:fill="FFFFFF"/>
          <w:lang w:val="en-GB"/>
        </w:rPr>
        <w:t>Mahmoudi</w:t>
      </w:r>
      <w:proofErr w:type="spellEnd"/>
      <w:r w:rsidRPr="00210E93">
        <w:rPr>
          <w:rFonts w:ascii="Times New Roman" w:hAnsi="Times New Roman" w:cs="Times New Roman"/>
          <w:sz w:val="24"/>
          <w:szCs w:val="24"/>
          <w:highlight w:val="yellow"/>
          <w:shd w:val="clear" w:color="auto" w:fill="FFFFFF"/>
          <w:lang w:val="en-GB"/>
        </w:rPr>
        <w:t xml:space="preserve">, </w:t>
      </w:r>
      <w:proofErr w:type="spellStart"/>
      <w:r w:rsidRPr="00210E93">
        <w:rPr>
          <w:rFonts w:ascii="Times New Roman" w:hAnsi="Times New Roman" w:cs="Times New Roman"/>
          <w:sz w:val="24"/>
          <w:szCs w:val="24"/>
          <w:highlight w:val="yellow"/>
          <w:shd w:val="clear" w:color="auto" w:fill="FFFFFF"/>
          <w:lang w:val="en-GB"/>
        </w:rPr>
        <w:t>Toxicol</w:t>
      </w:r>
      <w:proofErr w:type="spellEnd"/>
      <w:r w:rsidRPr="00210E93">
        <w:rPr>
          <w:rFonts w:ascii="Times New Roman" w:hAnsi="Times New Roman" w:cs="Times New Roman"/>
          <w:sz w:val="24"/>
          <w:szCs w:val="24"/>
          <w:highlight w:val="yellow"/>
          <w:shd w:val="clear" w:color="auto" w:fill="FFFFFF"/>
          <w:lang w:val="en-GB"/>
        </w:rPr>
        <w:t>. Res. 2 (2013) 270-279. https://doi.org/10.1039/c3tx50023c</w:t>
      </w:r>
    </w:p>
    <w:p w14:paraId="15734C9D" w14:textId="018F3A65" w:rsidR="00C02615" w:rsidRPr="00210E93" w:rsidRDefault="00C02615"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L.C.J. </w:t>
      </w:r>
      <w:proofErr w:type="spellStart"/>
      <w:r w:rsidRPr="00210E93">
        <w:rPr>
          <w:rFonts w:ascii="Times New Roman" w:hAnsi="Times New Roman" w:cs="Times New Roman"/>
          <w:sz w:val="24"/>
          <w:szCs w:val="24"/>
          <w:highlight w:val="yellow"/>
          <w:shd w:val="clear" w:color="auto" w:fill="FFFFFF"/>
          <w:lang w:val="en-GB"/>
        </w:rPr>
        <w:t>Thomassen</w:t>
      </w:r>
      <w:proofErr w:type="spellEnd"/>
      <w:r w:rsidRPr="00210E93">
        <w:rPr>
          <w:rFonts w:ascii="Times New Roman" w:hAnsi="Times New Roman" w:cs="Times New Roman"/>
          <w:sz w:val="24"/>
          <w:szCs w:val="24"/>
          <w:highlight w:val="yellow"/>
          <w:shd w:val="clear" w:color="auto" w:fill="FFFFFF"/>
          <w:lang w:val="en-GB"/>
        </w:rPr>
        <w:t xml:space="preserve">, D. </w:t>
      </w:r>
      <w:proofErr w:type="spellStart"/>
      <w:r w:rsidRPr="00210E93">
        <w:rPr>
          <w:rFonts w:ascii="Times New Roman" w:hAnsi="Times New Roman" w:cs="Times New Roman"/>
          <w:sz w:val="24"/>
          <w:szCs w:val="24"/>
          <w:highlight w:val="yellow"/>
          <w:shd w:val="clear" w:color="auto" w:fill="FFFFFF"/>
          <w:lang w:val="en-GB"/>
        </w:rPr>
        <w:t>Napierska</w:t>
      </w:r>
      <w:proofErr w:type="spellEnd"/>
      <w:r w:rsidRPr="00210E93">
        <w:rPr>
          <w:rFonts w:ascii="Times New Roman" w:hAnsi="Times New Roman" w:cs="Times New Roman"/>
          <w:sz w:val="24"/>
          <w:szCs w:val="24"/>
          <w:highlight w:val="yellow"/>
          <w:shd w:val="clear" w:color="auto" w:fill="FFFFFF"/>
          <w:lang w:val="en-GB"/>
        </w:rPr>
        <w:t xml:space="preserve">, D. Dinsdale, N. </w:t>
      </w:r>
      <w:proofErr w:type="spellStart"/>
      <w:r w:rsidRPr="00210E93">
        <w:rPr>
          <w:rFonts w:ascii="Times New Roman" w:hAnsi="Times New Roman" w:cs="Times New Roman"/>
          <w:sz w:val="24"/>
          <w:szCs w:val="24"/>
          <w:highlight w:val="yellow"/>
          <w:shd w:val="clear" w:color="auto" w:fill="FFFFFF"/>
          <w:lang w:val="en-GB"/>
        </w:rPr>
        <w:t>Lievens</w:t>
      </w:r>
      <w:proofErr w:type="spellEnd"/>
      <w:r w:rsidRPr="00210E93">
        <w:rPr>
          <w:rFonts w:ascii="Times New Roman" w:hAnsi="Times New Roman" w:cs="Times New Roman"/>
          <w:sz w:val="24"/>
          <w:szCs w:val="24"/>
          <w:highlight w:val="yellow"/>
          <w:shd w:val="clear" w:color="auto" w:fill="FFFFFF"/>
          <w:lang w:val="en-GB"/>
        </w:rPr>
        <w:t xml:space="preserve">, J. </w:t>
      </w:r>
      <w:proofErr w:type="spellStart"/>
      <w:r w:rsidRPr="00210E93">
        <w:rPr>
          <w:rFonts w:ascii="Times New Roman" w:hAnsi="Times New Roman" w:cs="Times New Roman"/>
          <w:sz w:val="24"/>
          <w:szCs w:val="24"/>
          <w:highlight w:val="yellow"/>
          <w:shd w:val="clear" w:color="auto" w:fill="FFFFFF"/>
          <w:lang w:val="en-GB"/>
        </w:rPr>
        <w:t>Jammaer</w:t>
      </w:r>
      <w:proofErr w:type="spellEnd"/>
      <w:r w:rsidRPr="00210E93">
        <w:rPr>
          <w:rFonts w:ascii="Times New Roman" w:hAnsi="Times New Roman" w:cs="Times New Roman"/>
          <w:sz w:val="24"/>
          <w:szCs w:val="24"/>
          <w:highlight w:val="yellow"/>
          <w:shd w:val="clear" w:color="auto" w:fill="FFFFFF"/>
          <w:lang w:val="en-GB"/>
        </w:rPr>
        <w:t xml:space="preserve">, D. </w:t>
      </w:r>
      <w:proofErr w:type="spellStart"/>
      <w:r w:rsidRPr="00210E93">
        <w:rPr>
          <w:rFonts w:ascii="Times New Roman" w:hAnsi="Times New Roman" w:cs="Times New Roman"/>
          <w:sz w:val="24"/>
          <w:szCs w:val="24"/>
          <w:highlight w:val="yellow"/>
          <w:shd w:val="clear" w:color="auto" w:fill="FFFFFF"/>
          <w:lang w:val="en-GB"/>
        </w:rPr>
        <w:t>Lison</w:t>
      </w:r>
      <w:proofErr w:type="spellEnd"/>
      <w:r w:rsidRPr="00210E93">
        <w:rPr>
          <w:rFonts w:ascii="Times New Roman" w:hAnsi="Times New Roman" w:cs="Times New Roman"/>
          <w:sz w:val="24"/>
          <w:szCs w:val="24"/>
          <w:highlight w:val="yellow"/>
          <w:shd w:val="clear" w:color="auto" w:fill="FFFFFF"/>
          <w:lang w:val="en-GB"/>
        </w:rPr>
        <w:t xml:space="preserve">, C.E.A. </w:t>
      </w:r>
      <w:proofErr w:type="spellStart"/>
      <w:r w:rsidRPr="00210E93">
        <w:rPr>
          <w:rFonts w:ascii="Times New Roman" w:hAnsi="Times New Roman" w:cs="Times New Roman"/>
          <w:sz w:val="24"/>
          <w:szCs w:val="24"/>
          <w:highlight w:val="yellow"/>
          <w:shd w:val="clear" w:color="auto" w:fill="FFFFFF"/>
          <w:lang w:val="en-GB"/>
        </w:rPr>
        <w:t>Kirschhock</w:t>
      </w:r>
      <w:proofErr w:type="spellEnd"/>
      <w:r w:rsidRPr="00210E93">
        <w:rPr>
          <w:rFonts w:ascii="Times New Roman" w:hAnsi="Times New Roman" w:cs="Times New Roman"/>
          <w:sz w:val="24"/>
          <w:szCs w:val="24"/>
          <w:highlight w:val="yellow"/>
          <w:shd w:val="clear" w:color="auto" w:fill="FFFFFF"/>
          <w:lang w:val="en-GB"/>
        </w:rPr>
        <w:t xml:space="preserve">, P.H. </w:t>
      </w:r>
      <w:proofErr w:type="spellStart"/>
      <w:r w:rsidRPr="00210E93">
        <w:rPr>
          <w:rFonts w:ascii="Times New Roman" w:hAnsi="Times New Roman" w:cs="Times New Roman"/>
          <w:sz w:val="24"/>
          <w:szCs w:val="24"/>
          <w:highlight w:val="yellow"/>
          <w:shd w:val="clear" w:color="auto" w:fill="FFFFFF"/>
          <w:lang w:val="en-GB"/>
        </w:rPr>
        <w:t>Hoet</w:t>
      </w:r>
      <w:proofErr w:type="spellEnd"/>
      <w:r w:rsidRPr="00210E93">
        <w:rPr>
          <w:rFonts w:ascii="Times New Roman" w:hAnsi="Times New Roman" w:cs="Times New Roman"/>
          <w:sz w:val="24"/>
          <w:szCs w:val="24"/>
          <w:highlight w:val="yellow"/>
          <w:shd w:val="clear" w:color="auto" w:fill="FFFFFF"/>
          <w:lang w:val="en-GB"/>
        </w:rPr>
        <w:t>, J.A. Martens, Nanotoxicology</w:t>
      </w:r>
      <w:r w:rsidR="00327ECD" w:rsidRPr="00210E93">
        <w:rPr>
          <w:rFonts w:ascii="Times New Roman" w:hAnsi="Times New Roman" w:cs="Times New Roman"/>
          <w:sz w:val="24"/>
          <w:szCs w:val="24"/>
          <w:highlight w:val="yellow"/>
          <w:shd w:val="clear" w:color="auto" w:fill="FFFFFF"/>
          <w:lang w:val="en-GB"/>
        </w:rPr>
        <w:t xml:space="preserve"> 6</w:t>
      </w:r>
      <w:r w:rsidRPr="00210E93">
        <w:rPr>
          <w:rFonts w:ascii="Times New Roman" w:hAnsi="Times New Roman" w:cs="Times New Roman"/>
          <w:sz w:val="24"/>
          <w:szCs w:val="24"/>
          <w:highlight w:val="yellow"/>
          <w:shd w:val="clear" w:color="auto" w:fill="FFFFFF"/>
          <w:lang w:val="en-GB"/>
        </w:rPr>
        <w:t xml:space="preserve"> (2012)</w:t>
      </w:r>
      <w:r w:rsidR="00327ECD" w:rsidRPr="00210E93">
        <w:rPr>
          <w:rFonts w:ascii="Times New Roman" w:hAnsi="Times New Roman" w:cs="Times New Roman"/>
          <w:sz w:val="24"/>
          <w:szCs w:val="24"/>
          <w:highlight w:val="yellow"/>
          <w:shd w:val="clear" w:color="auto" w:fill="FFFFFF"/>
          <w:lang w:val="en-GB"/>
        </w:rPr>
        <w:t xml:space="preserve"> 472-485</w:t>
      </w:r>
      <w:r w:rsidRPr="00210E93">
        <w:rPr>
          <w:rFonts w:ascii="Times New Roman" w:hAnsi="Times New Roman" w:cs="Times New Roman"/>
          <w:sz w:val="24"/>
          <w:szCs w:val="24"/>
          <w:highlight w:val="yellow"/>
          <w:shd w:val="clear" w:color="auto" w:fill="FFFFFF"/>
          <w:lang w:val="en-GB"/>
        </w:rPr>
        <w:t>. https://doi.org/10.3109/17435390.2011.587901</w:t>
      </w:r>
    </w:p>
    <w:p w14:paraId="6EBFF5CD" w14:textId="062E9A02" w:rsidR="00327ECD" w:rsidRPr="00210E93" w:rsidRDefault="00327ECD"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P.D. Noyes, G.R. Garcia, R.L. </w:t>
      </w:r>
      <w:proofErr w:type="spellStart"/>
      <w:r w:rsidRPr="00210E93">
        <w:rPr>
          <w:rFonts w:ascii="Times New Roman" w:hAnsi="Times New Roman" w:cs="Times New Roman"/>
          <w:sz w:val="24"/>
          <w:szCs w:val="24"/>
          <w:highlight w:val="yellow"/>
          <w:shd w:val="clear" w:color="auto" w:fill="FFFFFF"/>
          <w:lang w:val="en-GB"/>
        </w:rPr>
        <w:t>Tanguay</w:t>
      </w:r>
      <w:proofErr w:type="spellEnd"/>
      <w:r w:rsidRPr="00210E93">
        <w:rPr>
          <w:rFonts w:ascii="Times New Roman" w:hAnsi="Times New Roman" w:cs="Times New Roman"/>
          <w:sz w:val="24"/>
          <w:szCs w:val="24"/>
          <w:highlight w:val="yellow"/>
          <w:shd w:val="clear" w:color="auto" w:fill="FFFFFF"/>
          <w:lang w:val="en-GB"/>
        </w:rPr>
        <w:t>, Green Chem. 18 (2016) 6410-6430. https://doi.org/10.1039/c6gc02061e</w:t>
      </w:r>
    </w:p>
    <w:p w14:paraId="44D6F9FF" w14:textId="3F6C07FA" w:rsidR="00327ECD" w:rsidRPr="00210E93" w:rsidRDefault="00327ECD"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D.H. Pham, B. De </w:t>
      </w:r>
      <w:proofErr w:type="spellStart"/>
      <w:r w:rsidRPr="00210E93">
        <w:rPr>
          <w:rFonts w:ascii="Times New Roman" w:hAnsi="Times New Roman" w:cs="Times New Roman"/>
          <w:sz w:val="24"/>
          <w:szCs w:val="24"/>
          <w:highlight w:val="yellow"/>
          <w:shd w:val="clear" w:color="auto" w:fill="FFFFFF"/>
          <w:lang w:val="en-GB"/>
        </w:rPr>
        <w:t>Roo</w:t>
      </w:r>
      <w:proofErr w:type="spellEnd"/>
      <w:r w:rsidRPr="00210E93">
        <w:rPr>
          <w:rFonts w:ascii="Times New Roman" w:hAnsi="Times New Roman" w:cs="Times New Roman"/>
          <w:sz w:val="24"/>
          <w:szCs w:val="24"/>
          <w:highlight w:val="yellow"/>
          <w:shd w:val="clear" w:color="auto" w:fill="FFFFFF"/>
          <w:lang w:val="en-GB"/>
        </w:rPr>
        <w:t xml:space="preserve">, X.B. Nguyen, M. </w:t>
      </w:r>
      <w:proofErr w:type="spellStart"/>
      <w:r w:rsidRPr="00210E93">
        <w:rPr>
          <w:rFonts w:ascii="Times New Roman" w:hAnsi="Times New Roman" w:cs="Times New Roman"/>
          <w:sz w:val="24"/>
          <w:szCs w:val="24"/>
          <w:highlight w:val="yellow"/>
          <w:shd w:val="clear" w:color="auto" w:fill="FFFFFF"/>
          <w:lang w:val="en-GB"/>
        </w:rPr>
        <w:t>Vervaele</w:t>
      </w:r>
      <w:proofErr w:type="spellEnd"/>
      <w:r w:rsidRPr="00210E93">
        <w:rPr>
          <w:rFonts w:ascii="Times New Roman" w:hAnsi="Times New Roman" w:cs="Times New Roman"/>
          <w:sz w:val="24"/>
          <w:szCs w:val="24"/>
          <w:highlight w:val="yellow"/>
          <w:shd w:val="clear" w:color="auto" w:fill="FFFFFF"/>
          <w:lang w:val="en-GB"/>
        </w:rPr>
        <w:t xml:space="preserve">, A. </w:t>
      </w:r>
      <w:proofErr w:type="spellStart"/>
      <w:r w:rsidRPr="00210E93">
        <w:rPr>
          <w:rFonts w:ascii="Times New Roman" w:hAnsi="Times New Roman" w:cs="Times New Roman"/>
          <w:sz w:val="24"/>
          <w:szCs w:val="24"/>
          <w:highlight w:val="yellow"/>
          <w:shd w:val="clear" w:color="auto" w:fill="FFFFFF"/>
          <w:lang w:val="en-GB"/>
        </w:rPr>
        <w:t>Kecskés</w:t>
      </w:r>
      <w:proofErr w:type="spellEnd"/>
      <w:r w:rsidRPr="00210E93">
        <w:rPr>
          <w:rFonts w:ascii="Times New Roman" w:hAnsi="Times New Roman" w:cs="Times New Roman"/>
          <w:sz w:val="24"/>
          <w:szCs w:val="24"/>
          <w:highlight w:val="yellow"/>
          <w:shd w:val="clear" w:color="auto" w:fill="FFFFFF"/>
          <w:lang w:val="en-GB"/>
        </w:rPr>
        <w:t xml:space="preserve">, A. Ny, D. </w:t>
      </w:r>
      <w:proofErr w:type="spellStart"/>
      <w:r w:rsidRPr="00210E93">
        <w:rPr>
          <w:rFonts w:ascii="Times New Roman" w:hAnsi="Times New Roman" w:cs="Times New Roman"/>
          <w:sz w:val="24"/>
          <w:szCs w:val="24"/>
          <w:highlight w:val="yellow"/>
          <w:shd w:val="clear" w:color="auto" w:fill="FFFFFF"/>
          <w:lang w:val="en-GB"/>
        </w:rPr>
        <w:t>Copmans</w:t>
      </w:r>
      <w:proofErr w:type="spellEnd"/>
      <w:r w:rsidRPr="00210E93">
        <w:rPr>
          <w:rFonts w:ascii="Times New Roman" w:hAnsi="Times New Roman" w:cs="Times New Roman"/>
          <w:sz w:val="24"/>
          <w:szCs w:val="24"/>
          <w:highlight w:val="yellow"/>
          <w:shd w:val="clear" w:color="auto" w:fill="FFFFFF"/>
          <w:lang w:val="en-GB"/>
        </w:rPr>
        <w:t xml:space="preserve">, H. </w:t>
      </w:r>
      <w:proofErr w:type="spellStart"/>
      <w:r w:rsidRPr="00210E93">
        <w:rPr>
          <w:rFonts w:ascii="Times New Roman" w:hAnsi="Times New Roman" w:cs="Times New Roman"/>
          <w:sz w:val="24"/>
          <w:szCs w:val="24"/>
          <w:highlight w:val="yellow"/>
          <w:shd w:val="clear" w:color="auto" w:fill="FFFFFF"/>
          <w:lang w:val="en-GB"/>
        </w:rPr>
        <w:t>Vriens</w:t>
      </w:r>
      <w:proofErr w:type="spellEnd"/>
      <w:r w:rsidRPr="00210E93">
        <w:rPr>
          <w:rFonts w:ascii="Times New Roman" w:hAnsi="Times New Roman" w:cs="Times New Roman"/>
          <w:sz w:val="24"/>
          <w:szCs w:val="24"/>
          <w:highlight w:val="yellow"/>
          <w:shd w:val="clear" w:color="auto" w:fill="FFFFFF"/>
          <w:lang w:val="en-GB"/>
        </w:rPr>
        <w:t xml:space="preserve">, J.P. </w:t>
      </w:r>
      <w:proofErr w:type="spellStart"/>
      <w:r w:rsidRPr="00210E93">
        <w:rPr>
          <w:rFonts w:ascii="Times New Roman" w:hAnsi="Times New Roman" w:cs="Times New Roman"/>
          <w:sz w:val="24"/>
          <w:szCs w:val="24"/>
          <w:highlight w:val="yellow"/>
          <w:shd w:val="clear" w:color="auto" w:fill="FFFFFF"/>
          <w:lang w:val="en-GB"/>
        </w:rPr>
        <w:t>Locquet</w:t>
      </w:r>
      <w:proofErr w:type="spellEnd"/>
      <w:r w:rsidRPr="00210E93">
        <w:rPr>
          <w:rFonts w:ascii="Times New Roman" w:hAnsi="Times New Roman" w:cs="Times New Roman"/>
          <w:sz w:val="24"/>
          <w:szCs w:val="24"/>
          <w:highlight w:val="yellow"/>
          <w:shd w:val="clear" w:color="auto" w:fill="FFFFFF"/>
          <w:lang w:val="en-GB"/>
        </w:rPr>
        <w:t xml:space="preserve">, P. </w:t>
      </w:r>
      <w:proofErr w:type="spellStart"/>
      <w:r w:rsidRPr="00210E93">
        <w:rPr>
          <w:rFonts w:ascii="Times New Roman" w:hAnsi="Times New Roman" w:cs="Times New Roman"/>
          <w:sz w:val="24"/>
          <w:szCs w:val="24"/>
          <w:highlight w:val="yellow"/>
          <w:shd w:val="clear" w:color="auto" w:fill="FFFFFF"/>
          <w:lang w:val="en-GB"/>
        </w:rPr>
        <w:t>Hoet</w:t>
      </w:r>
      <w:proofErr w:type="spellEnd"/>
      <w:r w:rsidRPr="00210E93">
        <w:rPr>
          <w:rFonts w:ascii="Times New Roman" w:hAnsi="Times New Roman" w:cs="Times New Roman"/>
          <w:sz w:val="24"/>
          <w:szCs w:val="24"/>
          <w:highlight w:val="yellow"/>
          <w:shd w:val="clear" w:color="auto" w:fill="FFFFFF"/>
          <w:lang w:val="en-GB"/>
        </w:rPr>
        <w:t>, P.A.M. De Witte, Sci. Rep. 6 (2016) 37145. https://doi.org/10.1038/srep37145</w:t>
      </w:r>
    </w:p>
    <w:p w14:paraId="2E7AE148" w14:textId="16BC2B5F" w:rsidR="00327ECD" w:rsidRPr="00210E93" w:rsidRDefault="00327ECD"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A.P. </w:t>
      </w:r>
      <w:proofErr w:type="spellStart"/>
      <w:r w:rsidRPr="00210E93">
        <w:rPr>
          <w:rFonts w:ascii="Times New Roman" w:hAnsi="Times New Roman" w:cs="Times New Roman"/>
          <w:sz w:val="24"/>
          <w:szCs w:val="24"/>
          <w:highlight w:val="yellow"/>
          <w:shd w:val="clear" w:color="auto" w:fill="FFFFFF"/>
          <w:lang w:val="en-GB"/>
        </w:rPr>
        <w:t>Deveau</w:t>
      </w:r>
      <w:proofErr w:type="spellEnd"/>
      <w:r w:rsidRPr="00210E93">
        <w:rPr>
          <w:rFonts w:ascii="Times New Roman" w:hAnsi="Times New Roman" w:cs="Times New Roman"/>
          <w:sz w:val="24"/>
          <w:szCs w:val="24"/>
          <w:highlight w:val="yellow"/>
          <w:shd w:val="clear" w:color="auto" w:fill="FFFFFF"/>
          <w:lang w:val="en-GB"/>
        </w:rPr>
        <w:t>, V.L. Bentley, J.N. Berman, 45, (2017) 1-9. https://doi.org/10.1016/j.exphem.2016.09.012</w:t>
      </w:r>
    </w:p>
    <w:p w14:paraId="4BD89E7F" w14:textId="2945B3DE" w:rsidR="00D30C96" w:rsidRPr="00210E93" w:rsidRDefault="00D30C9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D.D. </w:t>
      </w:r>
      <w:proofErr w:type="spellStart"/>
      <w:r w:rsidRPr="00210E93">
        <w:rPr>
          <w:rFonts w:ascii="Times New Roman" w:hAnsi="Times New Roman" w:cs="Times New Roman"/>
          <w:sz w:val="24"/>
          <w:szCs w:val="24"/>
          <w:highlight w:val="yellow"/>
          <w:shd w:val="clear" w:color="auto" w:fill="FFFFFF"/>
          <w:lang w:val="en-GB"/>
        </w:rPr>
        <w:t>Nabinger</w:t>
      </w:r>
      <w:proofErr w:type="spellEnd"/>
      <w:r w:rsidRPr="00210E93">
        <w:rPr>
          <w:rFonts w:ascii="Times New Roman" w:hAnsi="Times New Roman" w:cs="Times New Roman"/>
          <w:sz w:val="24"/>
          <w:szCs w:val="24"/>
          <w:highlight w:val="yellow"/>
          <w:shd w:val="clear" w:color="auto" w:fill="FFFFFF"/>
          <w:lang w:val="en-GB"/>
        </w:rPr>
        <w:t xml:space="preserve">, S. </w:t>
      </w:r>
      <w:proofErr w:type="spellStart"/>
      <w:r w:rsidRPr="00210E93">
        <w:rPr>
          <w:rFonts w:ascii="Times New Roman" w:hAnsi="Times New Roman" w:cs="Times New Roman"/>
          <w:sz w:val="24"/>
          <w:szCs w:val="24"/>
          <w:highlight w:val="yellow"/>
          <w:shd w:val="clear" w:color="auto" w:fill="FFFFFF"/>
          <w:lang w:val="en-GB"/>
        </w:rPr>
        <w:t>Altenhofen</w:t>
      </w:r>
      <w:proofErr w:type="spellEnd"/>
      <w:r w:rsidRPr="00210E93">
        <w:rPr>
          <w:rFonts w:ascii="Times New Roman" w:hAnsi="Times New Roman" w:cs="Times New Roman"/>
          <w:sz w:val="24"/>
          <w:szCs w:val="24"/>
          <w:highlight w:val="yellow"/>
          <w:shd w:val="clear" w:color="auto" w:fill="FFFFFF"/>
          <w:lang w:val="en-GB"/>
        </w:rPr>
        <w:t xml:space="preserve">, P.E.R. </w:t>
      </w:r>
      <w:proofErr w:type="spellStart"/>
      <w:r w:rsidRPr="00210E93">
        <w:rPr>
          <w:rFonts w:ascii="Times New Roman" w:hAnsi="Times New Roman" w:cs="Times New Roman"/>
          <w:sz w:val="24"/>
          <w:szCs w:val="24"/>
          <w:highlight w:val="yellow"/>
          <w:shd w:val="clear" w:color="auto" w:fill="FFFFFF"/>
          <w:lang w:val="en-GB"/>
        </w:rPr>
        <w:t>Bitencourt</w:t>
      </w:r>
      <w:proofErr w:type="spellEnd"/>
      <w:r w:rsidRPr="00210E93">
        <w:rPr>
          <w:rFonts w:ascii="Times New Roman" w:hAnsi="Times New Roman" w:cs="Times New Roman"/>
          <w:sz w:val="24"/>
          <w:szCs w:val="24"/>
          <w:highlight w:val="yellow"/>
          <w:shd w:val="clear" w:color="auto" w:fill="FFFFFF"/>
          <w:lang w:val="en-GB"/>
        </w:rPr>
        <w:t xml:space="preserve">, L.R. Nery, C.E. </w:t>
      </w:r>
      <w:proofErr w:type="spellStart"/>
      <w:r w:rsidRPr="00210E93">
        <w:rPr>
          <w:rFonts w:ascii="Times New Roman" w:hAnsi="Times New Roman" w:cs="Times New Roman"/>
          <w:sz w:val="24"/>
          <w:szCs w:val="24"/>
          <w:highlight w:val="yellow"/>
          <w:shd w:val="clear" w:color="auto" w:fill="FFFFFF"/>
          <w:lang w:val="en-GB"/>
        </w:rPr>
        <w:t>Leite</w:t>
      </w:r>
      <w:proofErr w:type="spellEnd"/>
      <w:r w:rsidRPr="00210E93">
        <w:rPr>
          <w:rFonts w:ascii="Times New Roman" w:hAnsi="Times New Roman" w:cs="Times New Roman"/>
          <w:sz w:val="24"/>
          <w:szCs w:val="24"/>
          <w:highlight w:val="yellow"/>
          <w:shd w:val="clear" w:color="auto" w:fill="FFFFFF"/>
          <w:lang w:val="en-GB"/>
        </w:rPr>
        <w:t xml:space="preserve">, M.R.M.R. </w:t>
      </w:r>
      <w:proofErr w:type="spellStart"/>
      <w:r w:rsidRPr="00210E93">
        <w:rPr>
          <w:rFonts w:ascii="Times New Roman" w:hAnsi="Times New Roman" w:cs="Times New Roman"/>
          <w:sz w:val="24"/>
          <w:szCs w:val="24"/>
          <w:highlight w:val="yellow"/>
          <w:shd w:val="clear" w:color="auto" w:fill="FFFFFF"/>
          <w:lang w:val="en-GB"/>
        </w:rPr>
        <w:t>Vianna</w:t>
      </w:r>
      <w:proofErr w:type="spellEnd"/>
      <w:r w:rsidRPr="00210E93">
        <w:rPr>
          <w:rFonts w:ascii="Times New Roman" w:hAnsi="Times New Roman" w:cs="Times New Roman"/>
          <w:sz w:val="24"/>
          <w:szCs w:val="24"/>
          <w:highlight w:val="yellow"/>
          <w:shd w:val="clear" w:color="auto" w:fill="FFFFFF"/>
          <w:lang w:val="en-GB"/>
        </w:rPr>
        <w:t xml:space="preserve">, C.D. </w:t>
      </w:r>
      <w:proofErr w:type="spellStart"/>
      <w:r w:rsidRPr="00210E93">
        <w:rPr>
          <w:rFonts w:ascii="Times New Roman" w:hAnsi="Times New Roman" w:cs="Times New Roman"/>
          <w:sz w:val="24"/>
          <w:szCs w:val="24"/>
          <w:highlight w:val="yellow"/>
          <w:shd w:val="clear" w:color="auto" w:fill="FFFFFF"/>
          <w:lang w:val="en-GB"/>
        </w:rPr>
        <w:t>Bonan</w:t>
      </w:r>
      <w:proofErr w:type="spellEnd"/>
      <w:r w:rsidRPr="00210E93">
        <w:rPr>
          <w:rFonts w:ascii="Times New Roman" w:hAnsi="Times New Roman" w:cs="Times New Roman"/>
          <w:sz w:val="24"/>
          <w:szCs w:val="24"/>
          <w:highlight w:val="yellow"/>
          <w:shd w:val="clear" w:color="auto" w:fill="FFFFFF"/>
          <w:lang w:val="en-GB"/>
        </w:rPr>
        <w:t>, Sci Total Environ. 624 (2018) 1623-1633. https://doi.org/10.1016/j.scitotenv.2017.10.057</w:t>
      </w:r>
    </w:p>
    <w:p w14:paraId="721221BD" w14:textId="0D7E2A28" w:rsidR="00D30C96" w:rsidRPr="00210E93" w:rsidRDefault="006125BA"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lastRenderedPageBreak/>
        <w:t xml:space="preserve">D. </w:t>
      </w:r>
      <w:proofErr w:type="spellStart"/>
      <w:r w:rsidRPr="00210E93">
        <w:rPr>
          <w:rFonts w:ascii="Times New Roman" w:hAnsi="Times New Roman" w:cs="Times New Roman"/>
          <w:sz w:val="24"/>
          <w:szCs w:val="24"/>
          <w:highlight w:val="yellow"/>
          <w:shd w:val="clear" w:color="auto" w:fill="FFFFFF"/>
          <w:lang w:val="en-GB"/>
        </w:rPr>
        <w:t>Bridi</w:t>
      </w:r>
      <w:proofErr w:type="spellEnd"/>
      <w:r w:rsidRPr="00210E93">
        <w:rPr>
          <w:rFonts w:ascii="Times New Roman" w:hAnsi="Times New Roman" w:cs="Times New Roman"/>
          <w:sz w:val="24"/>
          <w:szCs w:val="24"/>
          <w:highlight w:val="yellow"/>
          <w:shd w:val="clear" w:color="auto" w:fill="FFFFFF"/>
          <w:lang w:val="en-GB"/>
        </w:rPr>
        <w:t xml:space="preserve">, S. </w:t>
      </w:r>
      <w:proofErr w:type="spellStart"/>
      <w:r w:rsidRPr="00210E93">
        <w:rPr>
          <w:rFonts w:ascii="Times New Roman" w:hAnsi="Times New Roman" w:cs="Times New Roman"/>
          <w:sz w:val="24"/>
          <w:szCs w:val="24"/>
          <w:highlight w:val="yellow"/>
          <w:shd w:val="clear" w:color="auto" w:fill="FFFFFF"/>
          <w:lang w:val="en-GB"/>
        </w:rPr>
        <w:t>Altenhofen</w:t>
      </w:r>
      <w:proofErr w:type="spellEnd"/>
      <w:r w:rsidRPr="00210E93">
        <w:rPr>
          <w:rFonts w:ascii="Times New Roman" w:hAnsi="Times New Roman" w:cs="Times New Roman"/>
          <w:sz w:val="24"/>
          <w:szCs w:val="24"/>
          <w:highlight w:val="yellow"/>
          <w:shd w:val="clear" w:color="auto" w:fill="FFFFFF"/>
          <w:lang w:val="en-GB"/>
        </w:rPr>
        <w:t xml:space="preserve">, J.B. Gonzalez, G.K. </w:t>
      </w:r>
      <w:proofErr w:type="spellStart"/>
      <w:r w:rsidRPr="00210E93">
        <w:rPr>
          <w:rFonts w:ascii="Times New Roman" w:hAnsi="Times New Roman" w:cs="Times New Roman"/>
          <w:sz w:val="24"/>
          <w:szCs w:val="24"/>
          <w:highlight w:val="yellow"/>
          <w:shd w:val="clear" w:color="auto" w:fill="FFFFFF"/>
          <w:lang w:val="en-GB"/>
        </w:rPr>
        <w:t>Reolon</w:t>
      </w:r>
      <w:proofErr w:type="spellEnd"/>
      <w:r w:rsidRPr="00210E93">
        <w:rPr>
          <w:rFonts w:ascii="Times New Roman" w:hAnsi="Times New Roman" w:cs="Times New Roman"/>
          <w:sz w:val="24"/>
          <w:szCs w:val="24"/>
          <w:highlight w:val="yellow"/>
          <w:shd w:val="clear" w:color="auto" w:fill="FFFFFF"/>
          <w:lang w:val="en-GB"/>
        </w:rPr>
        <w:t xml:space="preserve">, C.D. </w:t>
      </w:r>
      <w:proofErr w:type="spellStart"/>
      <w:r w:rsidRPr="00210E93">
        <w:rPr>
          <w:rFonts w:ascii="Times New Roman" w:hAnsi="Times New Roman" w:cs="Times New Roman"/>
          <w:sz w:val="24"/>
          <w:szCs w:val="24"/>
          <w:highlight w:val="yellow"/>
          <w:shd w:val="clear" w:color="auto" w:fill="FFFFFF"/>
          <w:lang w:val="en-GB"/>
        </w:rPr>
        <w:t>Bonan</w:t>
      </w:r>
      <w:proofErr w:type="spellEnd"/>
      <w:r w:rsidRPr="00210E93">
        <w:rPr>
          <w:rFonts w:ascii="Times New Roman" w:hAnsi="Times New Roman" w:cs="Times New Roman"/>
          <w:sz w:val="24"/>
          <w:szCs w:val="24"/>
          <w:highlight w:val="yellow"/>
          <w:shd w:val="clear" w:color="auto" w:fill="FFFFFF"/>
          <w:lang w:val="en-GB"/>
        </w:rPr>
        <w:t>, Toxicology. 392 (2017) 32-39. https://doi.org/10.1016/j.tox.2017.10.007</w:t>
      </w:r>
    </w:p>
    <w:p w14:paraId="3C23E82B" w14:textId="39C7386D" w:rsidR="00710A7C" w:rsidRPr="00210E93" w:rsidRDefault="00710A7C"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H.C Liu, T.Y. Chu, L.L. Chen, W.J. </w:t>
      </w:r>
      <w:proofErr w:type="spellStart"/>
      <w:r w:rsidRPr="00210E93">
        <w:rPr>
          <w:rFonts w:ascii="Times New Roman" w:hAnsi="Times New Roman" w:cs="Times New Roman"/>
          <w:sz w:val="24"/>
          <w:szCs w:val="24"/>
          <w:highlight w:val="yellow"/>
          <w:shd w:val="clear" w:color="auto" w:fill="FFFFFF"/>
          <w:lang w:val="en-GB"/>
        </w:rPr>
        <w:t>Gui</w:t>
      </w:r>
      <w:proofErr w:type="spellEnd"/>
      <w:r w:rsidRPr="00210E93">
        <w:rPr>
          <w:rFonts w:ascii="Times New Roman" w:hAnsi="Times New Roman" w:cs="Times New Roman"/>
          <w:sz w:val="24"/>
          <w:szCs w:val="24"/>
          <w:highlight w:val="yellow"/>
          <w:shd w:val="clear" w:color="auto" w:fill="FFFFFF"/>
          <w:lang w:val="en-GB"/>
        </w:rPr>
        <w:t xml:space="preserve">, G.N. Zhu, Environ. </w:t>
      </w:r>
      <w:proofErr w:type="spellStart"/>
      <w:r w:rsidRPr="00210E93">
        <w:rPr>
          <w:rFonts w:ascii="Times New Roman" w:hAnsi="Times New Roman" w:cs="Times New Roman"/>
          <w:sz w:val="24"/>
          <w:szCs w:val="24"/>
          <w:highlight w:val="yellow"/>
          <w:shd w:val="clear" w:color="auto" w:fill="FFFFFF"/>
          <w:lang w:val="en-GB"/>
        </w:rPr>
        <w:t>Pollut</w:t>
      </w:r>
      <w:proofErr w:type="spellEnd"/>
      <w:r w:rsidRPr="00210E93">
        <w:rPr>
          <w:rFonts w:ascii="Times New Roman" w:hAnsi="Times New Roman" w:cs="Times New Roman"/>
          <w:sz w:val="24"/>
          <w:szCs w:val="24"/>
          <w:highlight w:val="yellow"/>
          <w:shd w:val="clear" w:color="auto" w:fill="FFFFFF"/>
          <w:lang w:val="en-GB"/>
        </w:rPr>
        <w:t>. 231 (2017) 1093-1103. https://doi.org/10.1016/j.envpol.2017.05.072</w:t>
      </w:r>
    </w:p>
    <w:p w14:paraId="2ACC78C1" w14:textId="10D1A178" w:rsidR="00710A7C" w:rsidRPr="00210E93" w:rsidRDefault="00710A7C"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G. </w:t>
      </w:r>
      <w:proofErr w:type="spellStart"/>
      <w:r w:rsidRPr="00210E93">
        <w:rPr>
          <w:rFonts w:ascii="Times New Roman" w:hAnsi="Times New Roman" w:cs="Times New Roman"/>
          <w:sz w:val="24"/>
          <w:szCs w:val="24"/>
          <w:highlight w:val="yellow"/>
          <w:shd w:val="clear" w:color="auto" w:fill="FFFFFF"/>
          <w:lang w:val="en-GB"/>
        </w:rPr>
        <w:t>Malafaia</w:t>
      </w:r>
      <w:proofErr w:type="spellEnd"/>
      <w:r w:rsidRPr="00210E93">
        <w:rPr>
          <w:rFonts w:ascii="Times New Roman" w:hAnsi="Times New Roman" w:cs="Times New Roman"/>
          <w:sz w:val="24"/>
          <w:szCs w:val="24"/>
          <w:highlight w:val="yellow"/>
          <w:shd w:val="clear" w:color="auto" w:fill="FFFFFF"/>
          <w:lang w:val="en-GB"/>
        </w:rPr>
        <w:t>, A.M. de Souza, A.C. Pereira, S. Gonçalves, A.P. da Costa Araújo, R.X. Ribeiro, T.L. Rocha, Sci. Total Environ. 700 (2020) 1348673. https://doi.org/10.1016/j.scitotenv.2019.134867</w:t>
      </w:r>
    </w:p>
    <w:p w14:paraId="552C21F4" w14:textId="7A048815" w:rsidR="00B65705" w:rsidRPr="00210E93" w:rsidRDefault="00B65705"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L. </w:t>
      </w:r>
      <w:proofErr w:type="spellStart"/>
      <w:r w:rsidRPr="00210E93">
        <w:rPr>
          <w:rFonts w:ascii="Times New Roman" w:hAnsi="Times New Roman" w:cs="Times New Roman"/>
          <w:sz w:val="24"/>
          <w:szCs w:val="24"/>
          <w:highlight w:val="yellow"/>
          <w:shd w:val="clear" w:color="auto" w:fill="FFFFFF"/>
          <w:lang w:val="en-GB"/>
        </w:rPr>
        <w:t>Qiang</w:t>
      </w:r>
      <w:proofErr w:type="spellEnd"/>
      <w:r w:rsidRPr="00210E93">
        <w:rPr>
          <w:rFonts w:ascii="Times New Roman" w:hAnsi="Times New Roman" w:cs="Times New Roman"/>
          <w:sz w:val="24"/>
          <w:szCs w:val="24"/>
          <w:highlight w:val="yellow"/>
          <w:shd w:val="clear" w:color="auto" w:fill="FFFFFF"/>
          <w:lang w:val="en-GB"/>
        </w:rPr>
        <w:t xml:space="preserve">, J. Cheng, </w:t>
      </w:r>
      <w:proofErr w:type="spellStart"/>
      <w:r w:rsidRPr="00210E93">
        <w:rPr>
          <w:rFonts w:ascii="Times New Roman" w:hAnsi="Times New Roman" w:cs="Times New Roman"/>
          <w:sz w:val="24"/>
          <w:szCs w:val="24"/>
          <w:highlight w:val="yellow"/>
          <w:shd w:val="clear" w:color="auto" w:fill="FFFFFF"/>
          <w:lang w:val="en-GB"/>
        </w:rPr>
        <w:t>Ecotoxicol</w:t>
      </w:r>
      <w:proofErr w:type="spellEnd"/>
      <w:r w:rsidRPr="00210E93">
        <w:rPr>
          <w:rFonts w:ascii="Times New Roman" w:hAnsi="Times New Roman" w:cs="Times New Roman"/>
          <w:sz w:val="24"/>
          <w:szCs w:val="24"/>
          <w:highlight w:val="yellow"/>
          <w:shd w:val="clear" w:color="auto" w:fill="FFFFFF"/>
          <w:lang w:val="en-GB"/>
        </w:rPr>
        <w:t>. Environ. Safety 176 (2019) 226-233. https://doi.org/10.1016/j.ecoenv.2019.03.088</w:t>
      </w:r>
    </w:p>
    <w:p w14:paraId="37A6B8F0" w14:textId="512D28E3" w:rsidR="006D47CE" w:rsidRPr="00210E93" w:rsidRDefault="006D47CE"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S. Babić, J. </w:t>
      </w:r>
      <w:proofErr w:type="spellStart"/>
      <w:r w:rsidRPr="00210E93">
        <w:rPr>
          <w:rFonts w:ascii="Times New Roman" w:hAnsi="Times New Roman" w:cs="Times New Roman"/>
          <w:sz w:val="24"/>
          <w:szCs w:val="24"/>
          <w:highlight w:val="yellow"/>
          <w:shd w:val="clear" w:color="auto" w:fill="FFFFFF"/>
          <w:lang w:val="en-GB"/>
        </w:rPr>
        <w:t>Barišić</w:t>
      </w:r>
      <w:proofErr w:type="spellEnd"/>
      <w:r w:rsidRPr="00210E93">
        <w:rPr>
          <w:rFonts w:ascii="Times New Roman" w:hAnsi="Times New Roman" w:cs="Times New Roman"/>
          <w:sz w:val="24"/>
          <w:szCs w:val="24"/>
          <w:highlight w:val="yellow"/>
          <w:shd w:val="clear" w:color="auto" w:fill="FFFFFF"/>
          <w:lang w:val="en-GB"/>
        </w:rPr>
        <w:t xml:space="preserve">, H. </w:t>
      </w:r>
      <w:proofErr w:type="spellStart"/>
      <w:r w:rsidRPr="00210E93">
        <w:rPr>
          <w:rFonts w:ascii="Times New Roman" w:hAnsi="Times New Roman" w:cs="Times New Roman"/>
          <w:sz w:val="24"/>
          <w:szCs w:val="24"/>
          <w:highlight w:val="yellow"/>
          <w:shd w:val="clear" w:color="auto" w:fill="FFFFFF"/>
          <w:lang w:val="en-GB"/>
        </w:rPr>
        <w:t>Višić</w:t>
      </w:r>
      <w:proofErr w:type="spellEnd"/>
      <w:r w:rsidRPr="00210E93">
        <w:rPr>
          <w:rFonts w:ascii="Times New Roman" w:hAnsi="Times New Roman" w:cs="Times New Roman"/>
          <w:sz w:val="24"/>
          <w:szCs w:val="24"/>
          <w:highlight w:val="yellow"/>
          <w:shd w:val="clear" w:color="auto" w:fill="FFFFFF"/>
          <w:lang w:val="en-GB"/>
        </w:rPr>
        <w:t xml:space="preserve">, R. </w:t>
      </w:r>
      <w:proofErr w:type="spellStart"/>
      <w:r w:rsidRPr="00210E93">
        <w:rPr>
          <w:rFonts w:ascii="Times New Roman" w:hAnsi="Times New Roman" w:cs="Times New Roman"/>
          <w:sz w:val="24"/>
          <w:szCs w:val="24"/>
          <w:highlight w:val="yellow"/>
          <w:shd w:val="clear" w:color="auto" w:fill="FFFFFF"/>
          <w:lang w:val="en-GB"/>
        </w:rPr>
        <w:t>Sauerborn</w:t>
      </w:r>
      <w:proofErr w:type="spellEnd"/>
      <w:r w:rsidRPr="00210E93">
        <w:rPr>
          <w:rFonts w:ascii="Times New Roman" w:hAnsi="Times New Roman" w:cs="Times New Roman"/>
          <w:sz w:val="24"/>
          <w:szCs w:val="24"/>
          <w:highlight w:val="yellow"/>
          <w:shd w:val="clear" w:color="auto" w:fill="FFFFFF"/>
          <w:lang w:val="en-GB"/>
        </w:rPr>
        <w:t xml:space="preserve"> </w:t>
      </w:r>
      <w:proofErr w:type="spellStart"/>
      <w:r w:rsidRPr="00210E93">
        <w:rPr>
          <w:rFonts w:ascii="Times New Roman" w:hAnsi="Times New Roman" w:cs="Times New Roman"/>
          <w:sz w:val="24"/>
          <w:szCs w:val="24"/>
          <w:highlight w:val="yellow"/>
          <w:shd w:val="clear" w:color="auto" w:fill="FFFFFF"/>
          <w:lang w:val="en-GB"/>
        </w:rPr>
        <w:t>Klobučar</w:t>
      </w:r>
      <w:proofErr w:type="spellEnd"/>
      <w:r w:rsidRPr="00210E93">
        <w:rPr>
          <w:rFonts w:ascii="Times New Roman" w:hAnsi="Times New Roman" w:cs="Times New Roman"/>
          <w:sz w:val="24"/>
          <w:szCs w:val="24"/>
          <w:highlight w:val="yellow"/>
          <w:shd w:val="clear" w:color="auto" w:fill="FFFFFF"/>
          <w:lang w:val="en-GB"/>
        </w:rPr>
        <w:t xml:space="preserve">, N. </w:t>
      </w:r>
      <w:proofErr w:type="spellStart"/>
      <w:r w:rsidRPr="00210E93">
        <w:rPr>
          <w:rFonts w:ascii="Times New Roman" w:hAnsi="Times New Roman" w:cs="Times New Roman"/>
          <w:sz w:val="24"/>
          <w:szCs w:val="24"/>
          <w:highlight w:val="yellow"/>
          <w:shd w:val="clear" w:color="auto" w:fill="FFFFFF"/>
          <w:lang w:val="en-GB"/>
        </w:rPr>
        <w:t>Topić</w:t>
      </w:r>
      <w:proofErr w:type="spellEnd"/>
      <w:r w:rsidRPr="00210E93">
        <w:rPr>
          <w:rFonts w:ascii="Times New Roman" w:hAnsi="Times New Roman" w:cs="Times New Roman"/>
          <w:sz w:val="24"/>
          <w:szCs w:val="24"/>
          <w:highlight w:val="yellow"/>
          <w:shd w:val="clear" w:color="auto" w:fill="FFFFFF"/>
          <w:lang w:val="en-GB"/>
        </w:rPr>
        <w:t xml:space="preserve"> </w:t>
      </w:r>
      <w:proofErr w:type="spellStart"/>
      <w:r w:rsidRPr="00210E93">
        <w:rPr>
          <w:rFonts w:ascii="Times New Roman" w:hAnsi="Times New Roman" w:cs="Times New Roman"/>
          <w:sz w:val="24"/>
          <w:szCs w:val="24"/>
          <w:highlight w:val="yellow"/>
          <w:shd w:val="clear" w:color="auto" w:fill="FFFFFF"/>
          <w:lang w:val="en-GB"/>
        </w:rPr>
        <w:t>Popović</w:t>
      </w:r>
      <w:proofErr w:type="spellEnd"/>
      <w:r w:rsidRPr="00210E93">
        <w:rPr>
          <w:rFonts w:ascii="Times New Roman" w:hAnsi="Times New Roman" w:cs="Times New Roman"/>
          <w:sz w:val="24"/>
          <w:szCs w:val="24"/>
          <w:highlight w:val="yellow"/>
          <w:shd w:val="clear" w:color="auto" w:fill="FFFFFF"/>
          <w:lang w:val="en-GB"/>
        </w:rPr>
        <w:t xml:space="preserve">, I. </w:t>
      </w:r>
      <w:proofErr w:type="spellStart"/>
      <w:r w:rsidRPr="00210E93">
        <w:rPr>
          <w:rFonts w:ascii="Times New Roman" w:hAnsi="Times New Roman" w:cs="Times New Roman"/>
          <w:sz w:val="24"/>
          <w:szCs w:val="24"/>
          <w:highlight w:val="yellow"/>
          <w:shd w:val="clear" w:color="auto" w:fill="FFFFFF"/>
          <w:lang w:val="en-GB"/>
        </w:rPr>
        <w:t>Strunjak-Perović</w:t>
      </w:r>
      <w:proofErr w:type="spellEnd"/>
      <w:r w:rsidRPr="00210E93">
        <w:rPr>
          <w:rFonts w:ascii="Times New Roman" w:hAnsi="Times New Roman" w:cs="Times New Roman"/>
          <w:sz w:val="24"/>
          <w:szCs w:val="24"/>
          <w:highlight w:val="yellow"/>
          <w:shd w:val="clear" w:color="auto" w:fill="FFFFFF"/>
          <w:lang w:val="en-GB"/>
        </w:rPr>
        <w:t xml:space="preserve">, R. </w:t>
      </w:r>
      <w:proofErr w:type="spellStart"/>
      <w:r w:rsidRPr="00210E93">
        <w:rPr>
          <w:rFonts w:ascii="Times New Roman" w:hAnsi="Times New Roman" w:cs="Times New Roman"/>
          <w:sz w:val="24"/>
          <w:szCs w:val="24"/>
          <w:highlight w:val="yellow"/>
          <w:shd w:val="clear" w:color="auto" w:fill="FFFFFF"/>
          <w:lang w:val="en-GB"/>
        </w:rPr>
        <w:t>Čož-Rakovac</w:t>
      </w:r>
      <w:proofErr w:type="spellEnd"/>
      <w:r w:rsidRPr="00210E93">
        <w:rPr>
          <w:rFonts w:ascii="Times New Roman" w:hAnsi="Times New Roman" w:cs="Times New Roman"/>
          <w:sz w:val="24"/>
          <w:szCs w:val="24"/>
          <w:highlight w:val="yellow"/>
          <w:shd w:val="clear" w:color="auto" w:fill="FFFFFF"/>
          <w:lang w:val="en-GB"/>
        </w:rPr>
        <w:t xml:space="preserve">, G. </w:t>
      </w:r>
      <w:proofErr w:type="spellStart"/>
      <w:r w:rsidRPr="00210E93">
        <w:rPr>
          <w:rFonts w:ascii="Times New Roman" w:hAnsi="Times New Roman" w:cs="Times New Roman"/>
          <w:sz w:val="24"/>
          <w:szCs w:val="24"/>
          <w:highlight w:val="yellow"/>
          <w:shd w:val="clear" w:color="auto" w:fill="FFFFFF"/>
          <w:lang w:val="en-GB"/>
        </w:rPr>
        <w:t>Klobučar</w:t>
      </w:r>
      <w:proofErr w:type="spellEnd"/>
      <w:r w:rsidRPr="00210E93">
        <w:rPr>
          <w:rFonts w:ascii="Times New Roman" w:hAnsi="Times New Roman" w:cs="Times New Roman"/>
          <w:sz w:val="24"/>
          <w:szCs w:val="24"/>
          <w:highlight w:val="yellow"/>
          <w:shd w:val="clear" w:color="auto" w:fill="FFFFFF"/>
          <w:lang w:val="en-GB"/>
        </w:rPr>
        <w:t>, Water Research 115 (2017) 9-21. https://doi.org/10.1016/j.watres.2017.02.049</w:t>
      </w:r>
    </w:p>
    <w:p w14:paraId="4C866B40" w14:textId="3141FC9E" w:rsidR="006D47CE" w:rsidRPr="00210E93" w:rsidRDefault="00F2224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M.A.G. Barbosa, R. </w:t>
      </w:r>
      <w:proofErr w:type="spellStart"/>
      <w:r w:rsidRPr="00210E93">
        <w:rPr>
          <w:rFonts w:ascii="Times New Roman" w:hAnsi="Times New Roman" w:cs="Times New Roman"/>
          <w:sz w:val="24"/>
          <w:szCs w:val="24"/>
          <w:highlight w:val="yellow"/>
          <w:shd w:val="clear" w:color="auto" w:fill="FFFFFF"/>
          <w:lang w:val="en-GB"/>
        </w:rPr>
        <w:t>Capela</w:t>
      </w:r>
      <w:proofErr w:type="spellEnd"/>
      <w:r w:rsidRPr="00210E93">
        <w:rPr>
          <w:rFonts w:ascii="Times New Roman" w:hAnsi="Times New Roman" w:cs="Times New Roman"/>
          <w:sz w:val="24"/>
          <w:szCs w:val="24"/>
          <w:highlight w:val="yellow"/>
          <w:shd w:val="clear" w:color="auto" w:fill="FFFFFF"/>
          <w:lang w:val="en-GB"/>
        </w:rPr>
        <w:t xml:space="preserve">, J. Rodolfo, E. Fonseca, R. Montes, A. André, A. </w:t>
      </w:r>
      <w:proofErr w:type="spellStart"/>
      <w:r w:rsidRPr="00210E93">
        <w:rPr>
          <w:rFonts w:ascii="Times New Roman" w:hAnsi="Times New Roman" w:cs="Times New Roman"/>
          <w:sz w:val="24"/>
          <w:szCs w:val="24"/>
          <w:highlight w:val="yellow"/>
          <w:shd w:val="clear" w:color="auto" w:fill="FFFFFF"/>
          <w:lang w:val="en-GB"/>
        </w:rPr>
        <w:t>Capitão</w:t>
      </w:r>
      <w:proofErr w:type="spellEnd"/>
      <w:r w:rsidRPr="00210E93">
        <w:rPr>
          <w:rFonts w:ascii="Times New Roman" w:hAnsi="Times New Roman" w:cs="Times New Roman"/>
          <w:sz w:val="24"/>
          <w:szCs w:val="24"/>
          <w:highlight w:val="yellow"/>
          <w:shd w:val="clear" w:color="auto" w:fill="FFFFFF"/>
          <w:lang w:val="en-GB"/>
        </w:rPr>
        <w:t xml:space="preserve">, A.P. Carvalho, J.B. Quintana, L.F.C. Castro, M.M. Santos, </w:t>
      </w:r>
      <w:proofErr w:type="spellStart"/>
      <w:r w:rsidRPr="00210E93">
        <w:rPr>
          <w:rFonts w:ascii="Times New Roman" w:hAnsi="Times New Roman" w:cs="Times New Roman"/>
          <w:sz w:val="24"/>
          <w:szCs w:val="24"/>
          <w:highlight w:val="yellow"/>
          <w:shd w:val="clear" w:color="auto" w:fill="FFFFFF"/>
          <w:lang w:val="en-GB"/>
        </w:rPr>
        <w:t>Ecotoxicol</w:t>
      </w:r>
      <w:proofErr w:type="spellEnd"/>
      <w:r w:rsidRPr="00210E93">
        <w:rPr>
          <w:rFonts w:ascii="Times New Roman" w:hAnsi="Times New Roman" w:cs="Times New Roman"/>
          <w:sz w:val="24"/>
          <w:szCs w:val="24"/>
          <w:highlight w:val="yellow"/>
          <w:shd w:val="clear" w:color="auto" w:fill="FFFFFF"/>
          <w:lang w:val="en-GB"/>
        </w:rPr>
        <w:t>. Environ. Safety 182 (2019) 1094062. https://doi.org/10.1016/j.ecoenv.2019.109406</w:t>
      </w:r>
    </w:p>
    <w:p w14:paraId="4B8504A0" w14:textId="035B6152" w:rsidR="00A9364A" w:rsidRPr="00210E93" w:rsidRDefault="00A9364A"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L. Wu, Y. Jiang, L. Zhang, L. Chen, H. Zhang, Environ Sci </w:t>
      </w:r>
      <w:proofErr w:type="spellStart"/>
      <w:r w:rsidRPr="00210E93">
        <w:rPr>
          <w:rFonts w:ascii="Times New Roman" w:hAnsi="Times New Roman" w:cs="Times New Roman"/>
          <w:sz w:val="24"/>
          <w:szCs w:val="24"/>
          <w:highlight w:val="yellow"/>
          <w:shd w:val="clear" w:color="auto" w:fill="FFFFFF"/>
          <w:lang w:val="en-GB"/>
        </w:rPr>
        <w:t>Pollut</w:t>
      </w:r>
      <w:proofErr w:type="spellEnd"/>
      <w:r w:rsidRPr="00210E93">
        <w:rPr>
          <w:rFonts w:ascii="Times New Roman" w:hAnsi="Times New Roman" w:cs="Times New Roman"/>
          <w:sz w:val="24"/>
          <w:szCs w:val="24"/>
          <w:highlight w:val="yellow"/>
          <w:shd w:val="clear" w:color="auto" w:fill="FFFFFF"/>
          <w:lang w:val="en-GB"/>
        </w:rPr>
        <w:t xml:space="preserve"> Res Int. 21 (2014) 2663-2676. https://doi.org/10.1007/s11356-013-2193-9</w:t>
      </w:r>
    </w:p>
    <w:p w14:paraId="63B12BE0" w14:textId="4B193548" w:rsidR="00A9364A" w:rsidRPr="00210E93" w:rsidRDefault="00EE30B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N.B. </w:t>
      </w:r>
      <w:proofErr w:type="spellStart"/>
      <w:r w:rsidRPr="00210E93">
        <w:rPr>
          <w:rFonts w:ascii="Times New Roman" w:hAnsi="Times New Roman" w:cs="Times New Roman"/>
          <w:sz w:val="24"/>
          <w:szCs w:val="24"/>
          <w:highlight w:val="yellow"/>
          <w:shd w:val="clear" w:color="auto" w:fill="FFFFFF"/>
          <w:lang w:val="en-GB"/>
        </w:rPr>
        <w:t>Abramenko</w:t>
      </w:r>
      <w:proofErr w:type="spellEnd"/>
      <w:r w:rsidRPr="00210E93">
        <w:rPr>
          <w:rFonts w:ascii="Times New Roman" w:hAnsi="Times New Roman" w:cs="Times New Roman"/>
          <w:sz w:val="24"/>
          <w:szCs w:val="24"/>
          <w:highlight w:val="yellow"/>
          <w:shd w:val="clear" w:color="auto" w:fill="FFFFFF"/>
          <w:lang w:val="en-GB"/>
        </w:rPr>
        <w:t xml:space="preserve">, T.B. </w:t>
      </w:r>
      <w:proofErr w:type="spellStart"/>
      <w:r w:rsidRPr="00210E93">
        <w:rPr>
          <w:rFonts w:ascii="Times New Roman" w:hAnsi="Times New Roman" w:cs="Times New Roman"/>
          <w:sz w:val="24"/>
          <w:szCs w:val="24"/>
          <w:highlight w:val="yellow"/>
          <w:shd w:val="clear" w:color="auto" w:fill="FFFFFF"/>
          <w:lang w:val="en-GB"/>
        </w:rPr>
        <w:t>Demidova</w:t>
      </w:r>
      <w:proofErr w:type="spellEnd"/>
      <w:r w:rsidRPr="00210E93">
        <w:rPr>
          <w:rFonts w:ascii="Times New Roman" w:hAnsi="Times New Roman" w:cs="Times New Roman"/>
          <w:sz w:val="24"/>
          <w:szCs w:val="24"/>
          <w:highlight w:val="yellow"/>
          <w:shd w:val="clear" w:color="auto" w:fill="FFFFFF"/>
          <w:lang w:val="en-GB"/>
        </w:rPr>
        <w:t xml:space="preserve">, Е. V. </w:t>
      </w:r>
      <w:proofErr w:type="spellStart"/>
      <w:r w:rsidRPr="00210E93">
        <w:rPr>
          <w:rFonts w:ascii="Times New Roman" w:hAnsi="Times New Roman" w:cs="Times New Roman"/>
          <w:sz w:val="24"/>
          <w:szCs w:val="24"/>
          <w:highlight w:val="yellow"/>
          <w:shd w:val="clear" w:color="auto" w:fill="FFFFFF"/>
          <w:lang w:val="en-GB"/>
        </w:rPr>
        <w:t>Abkhalimov</w:t>
      </w:r>
      <w:proofErr w:type="spellEnd"/>
      <w:r w:rsidRPr="00210E93">
        <w:rPr>
          <w:rFonts w:ascii="Times New Roman" w:hAnsi="Times New Roman" w:cs="Times New Roman"/>
          <w:sz w:val="24"/>
          <w:szCs w:val="24"/>
          <w:highlight w:val="yellow"/>
          <w:shd w:val="clear" w:color="auto" w:fill="FFFFFF"/>
          <w:lang w:val="en-GB"/>
        </w:rPr>
        <w:t xml:space="preserve">, B.G. </w:t>
      </w:r>
      <w:proofErr w:type="spellStart"/>
      <w:r w:rsidRPr="00210E93">
        <w:rPr>
          <w:rFonts w:ascii="Times New Roman" w:hAnsi="Times New Roman" w:cs="Times New Roman"/>
          <w:sz w:val="24"/>
          <w:szCs w:val="24"/>
          <w:highlight w:val="yellow"/>
          <w:shd w:val="clear" w:color="auto" w:fill="FFFFFF"/>
          <w:lang w:val="en-GB"/>
        </w:rPr>
        <w:t>Ershov</w:t>
      </w:r>
      <w:proofErr w:type="spellEnd"/>
      <w:r w:rsidRPr="00210E93">
        <w:rPr>
          <w:rFonts w:ascii="Times New Roman" w:hAnsi="Times New Roman" w:cs="Times New Roman"/>
          <w:sz w:val="24"/>
          <w:szCs w:val="24"/>
          <w:highlight w:val="yellow"/>
          <w:shd w:val="clear" w:color="auto" w:fill="FFFFFF"/>
          <w:lang w:val="en-GB"/>
        </w:rPr>
        <w:t xml:space="preserve">, E.Y. </w:t>
      </w:r>
      <w:proofErr w:type="spellStart"/>
      <w:r w:rsidRPr="00210E93">
        <w:rPr>
          <w:rFonts w:ascii="Times New Roman" w:hAnsi="Times New Roman" w:cs="Times New Roman"/>
          <w:sz w:val="24"/>
          <w:szCs w:val="24"/>
          <w:highlight w:val="yellow"/>
          <w:shd w:val="clear" w:color="auto" w:fill="FFFFFF"/>
          <w:lang w:val="en-GB"/>
        </w:rPr>
        <w:t>Krysanov</w:t>
      </w:r>
      <w:proofErr w:type="spellEnd"/>
      <w:r w:rsidRPr="00210E93">
        <w:rPr>
          <w:rFonts w:ascii="Times New Roman" w:hAnsi="Times New Roman" w:cs="Times New Roman"/>
          <w:sz w:val="24"/>
          <w:szCs w:val="24"/>
          <w:highlight w:val="yellow"/>
          <w:shd w:val="clear" w:color="auto" w:fill="FFFFFF"/>
          <w:lang w:val="en-GB"/>
        </w:rPr>
        <w:t xml:space="preserve">, L.M. </w:t>
      </w:r>
      <w:proofErr w:type="spellStart"/>
      <w:r w:rsidRPr="00210E93">
        <w:rPr>
          <w:rFonts w:ascii="Times New Roman" w:hAnsi="Times New Roman" w:cs="Times New Roman"/>
          <w:sz w:val="24"/>
          <w:szCs w:val="24"/>
          <w:highlight w:val="yellow"/>
          <w:shd w:val="clear" w:color="auto" w:fill="FFFFFF"/>
          <w:lang w:val="en-GB"/>
        </w:rPr>
        <w:t>Kustov</w:t>
      </w:r>
      <w:proofErr w:type="spellEnd"/>
      <w:r w:rsidRPr="00210E93">
        <w:rPr>
          <w:rFonts w:ascii="Times New Roman" w:hAnsi="Times New Roman" w:cs="Times New Roman"/>
          <w:sz w:val="24"/>
          <w:szCs w:val="24"/>
          <w:highlight w:val="yellow"/>
          <w:shd w:val="clear" w:color="auto" w:fill="FFFFFF"/>
          <w:lang w:val="en-GB"/>
        </w:rPr>
        <w:t>, J. Hazard. Mater. 347 (2018) 89-94. https://doi.org/10.1016/j.jhazmat.2017.12.060</w:t>
      </w:r>
    </w:p>
    <w:p w14:paraId="211DECF1" w14:textId="6A2052C9" w:rsidR="00EE30B8" w:rsidRPr="00210E93" w:rsidRDefault="00EE30B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J. </w:t>
      </w:r>
      <w:proofErr w:type="spellStart"/>
      <w:r w:rsidRPr="00210E93">
        <w:rPr>
          <w:rFonts w:ascii="Times New Roman" w:hAnsi="Times New Roman" w:cs="Times New Roman"/>
          <w:sz w:val="24"/>
          <w:szCs w:val="24"/>
          <w:highlight w:val="yellow"/>
          <w:shd w:val="clear" w:color="auto" w:fill="FFFFFF"/>
          <w:lang w:val="en-GB"/>
        </w:rPr>
        <w:t>Duan</w:t>
      </w:r>
      <w:proofErr w:type="spellEnd"/>
      <w:r w:rsidRPr="00210E93">
        <w:rPr>
          <w:rFonts w:ascii="Times New Roman" w:hAnsi="Times New Roman" w:cs="Times New Roman"/>
          <w:sz w:val="24"/>
          <w:szCs w:val="24"/>
          <w:highlight w:val="yellow"/>
          <w:shd w:val="clear" w:color="auto" w:fill="FFFFFF"/>
          <w:lang w:val="en-GB"/>
        </w:rPr>
        <w:t>, Y. Yu, Y. Li, Y. Li, H. Liu, L. Jing, M. Yang, J. Wang, C. Li, Z. Sun, Nanotoxicology 10 (2016) 575-585. https://doi.org/10.3109/17435390.2015.1102981</w:t>
      </w:r>
    </w:p>
    <w:p w14:paraId="7514DC55" w14:textId="0DBE6355" w:rsidR="00EE30B8" w:rsidRPr="00210E93" w:rsidRDefault="00EE30B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M. </w:t>
      </w:r>
      <w:proofErr w:type="spellStart"/>
      <w:r w:rsidRPr="00210E93">
        <w:rPr>
          <w:rFonts w:ascii="Times New Roman" w:hAnsi="Times New Roman" w:cs="Times New Roman"/>
          <w:sz w:val="24"/>
          <w:szCs w:val="24"/>
          <w:highlight w:val="yellow"/>
          <w:shd w:val="clear" w:color="auto" w:fill="FFFFFF"/>
          <w:lang w:val="en-GB"/>
        </w:rPr>
        <w:t>Ghobadian</w:t>
      </w:r>
      <w:proofErr w:type="spellEnd"/>
      <w:r w:rsidRPr="00210E93">
        <w:rPr>
          <w:rFonts w:ascii="Times New Roman" w:hAnsi="Times New Roman" w:cs="Times New Roman"/>
          <w:sz w:val="24"/>
          <w:szCs w:val="24"/>
          <w:highlight w:val="yellow"/>
          <w:shd w:val="clear" w:color="auto" w:fill="FFFFFF"/>
          <w:lang w:val="en-GB"/>
        </w:rPr>
        <w:t xml:space="preserve">, M. </w:t>
      </w:r>
      <w:proofErr w:type="spellStart"/>
      <w:r w:rsidRPr="00210E93">
        <w:rPr>
          <w:rFonts w:ascii="Times New Roman" w:hAnsi="Times New Roman" w:cs="Times New Roman"/>
          <w:sz w:val="24"/>
          <w:szCs w:val="24"/>
          <w:highlight w:val="yellow"/>
          <w:shd w:val="clear" w:color="auto" w:fill="FFFFFF"/>
          <w:lang w:val="en-GB"/>
        </w:rPr>
        <w:t>Nabiuni</w:t>
      </w:r>
      <w:proofErr w:type="spellEnd"/>
      <w:r w:rsidRPr="00210E93">
        <w:rPr>
          <w:rFonts w:ascii="Times New Roman" w:hAnsi="Times New Roman" w:cs="Times New Roman"/>
          <w:sz w:val="24"/>
          <w:szCs w:val="24"/>
          <w:highlight w:val="yellow"/>
          <w:shd w:val="clear" w:color="auto" w:fill="FFFFFF"/>
          <w:lang w:val="en-GB"/>
        </w:rPr>
        <w:t xml:space="preserve">, K. </w:t>
      </w:r>
      <w:proofErr w:type="spellStart"/>
      <w:r w:rsidRPr="00210E93">
        <w:rPr>
          <w:rFonts w:ascii="Times New Roman" w:hAnsi="Times New Roman" w:cs="Times New Roman"/>
          <w:sz w:val="24"/>
          <w:szCs w:val="24"/>
          <w:highlight w:val="yellow"/>
          <w:shd w:val="clear" w:color="auto" w:fill="FFFFFF"/>
          <w:lang w:val="en-GB"/>
        </w:rPr>
        <w:t>Parivar</w:t>
      </w:r>
      <w:proofErr w:type="spellEnd"/>
      <w:r w:rsidRPr="00210E93">
        <w:rPr>
          <w:rFonts w:ascii="Times New Roman" w:hAnsi="Times New Roman" w:cs="Times New Roman"/>
          <w:sz w:val="24"/>
          <w:szCs w:val="24"/>
          <w:highlight w:val="yellow"/>
          <w:shd w:val="clear" w:color="auto" w:fill="FFFFFF"/>
          <w:lang w:val="en-GB"/>
        </w:rPr>
        <w:t xml:space="preserve">, M. </w:t>
      </w:r>
      <w:proofErr w:type="spellStart"/>
      <w:r w:rsidRPr="00210E93">
        <w:rPr>
          <w:rFonts w:ascii="Times New Roman" w:hAnsi="Times New Roman" w:cs="Times New Roman"/>
          <w:sz w:val="24"/>
          <w:szCs w:val="24"/>
          <w:highlight w:val="yellow"/>
          <w:shd w:val="clear" w:color="auto" w:fill="FFFFFF"/>
          <w:lang w:val="en-GB"/>
        </w:rPr>
        <w:t>Fathi</w:t>
      </w:r>
      <w:proofErr w:type="spellEnd"/>
      <w:r w:rsidRPr="00210E93">
        <w:rPr>
          <w:rFonts w:ascii="Times New Roman" w:hAnsi="Times New Roman" w:cs="Times New Roman"/>
          <w:sz w:val="24"/>
          <w:szCs w:val="24"/>
          <w:highlight w:val="yellow"/>
          <w:shd w:val="clear" w:color="auto" w:fill="FFFFFF"/>
          <w:lang w:val="en-GB"/>
        </w:rPr>
        <w:t xml:space="preserve">, J. </w:t>
      </w:r>
      <w:proofErr w:type="spellStart"/>
      <w:r w:rsidRPr="00210E93">
        <w:rPr>
          <w:rFonts w:ascii="Times New Roman" w:hAnsi="Times New Roman" w:cs="Times New Roman"/>
          <w:sz w:val="24"/>
          <w:szCs w:val="24"/>
          <w:highlight w:val="yellow"/>
          <w:shd w:val="clear" w:color="auto" w:fill="FFFFFF"/>
          <w:lang w:val="en-GB"/>
        </w:rPr>
        <w:t>Pazooki</w:t>
      </w:r>
      <w:proofErr w:type="spellEnd"/>
      <w:r w:rsidRPr="00210E93">
        <w:rPr>
          <w:rFonts w:ascii="Times New Roman" w:hAnsi="Times New Roman" w:cs="Times New Roman"/>
          <w:sz w:val="24"/>
          <w:szCs w:val="24"/>
          <w:highlight w:val="yellow"/>
          <w:shd w:val="clear" w:color="auto" w:fill="FFFFFF"/>
          <w:lang w:val="en-GB"/>
        </w:rPr>
        <w:t xml:space="preserve">, </w:t>
      </w:r>
      <w:proofErr w:type="spellStart"/>
      <w:r w:rsidRPr="00210E93">
        <w:rPr>
          <w:rFonts w:ascii="Times New Roman" w:hAnsi="Times New Roman" w:cs="Times New Roman"/>
          <w:sz w:val="24"/>
          <w:szCs w:val="24"/>
          <w:highlight w:val="yellow"/>
          <w:shd w:val="clear" w:color="auto" w:fill="FFFFFF"/>
          <w:lang w:val="en-GB"/>
        </w:rPr>
        <w:t>Ecotoxicol</w:t>
      </w:r>
      <w:proofErr w:type="spellEnd"/>
      <w:r w:rsidRPr="00210E93">
        <w:rPr>
          <w:rFonts w:ascii="Times New Roman" w:hAnsi="Times New Roman" w:cs="Times New Roman"/>
          <w:sz w:val="24"/>
          <w:szCs w:val="24"/>
          <w:highlight w:val="yellow"/>
          <w:shd w:val="clear" w:color="auto" w:fill="FFFFFF"/>
          <w:lang w:val="en-GB"/>
        </w:rPr>
        <w:t>. Environ. Safety</w:t>
      </w:r>
      <w:r w:rsidRPr="00210E93">
        <w:rPr>
          <w:highlight w:val="yellow"/>
        </w:rPr>
        <w:t xml:space="preserve"> </w:t>
      </w:r>
      <w:r w:rsidRPr="00210E93">
        <w:rPr>
          <w:rFonts w:ascii="Times New Roman" w:hAnsi="Times New Roman" w:cs="Times New Roman"/>
          <w:sz w:val="24"/>
          <w:szCs w:val="24"/>
          <w:highlight w:val="yellow"/>
          <w:shd w:val="clear" w:color="auto" w:fill="FFFFFF"/>
          <w:lang w:val="en-GB"/>
        </w:rPr>
        <w:t>122 (2015) 260-267. https://doi.org/10.1016/j.ecoenv.2015.08.009</w:t>
      </w:r>
    </w:p>
    <w:p w14:paraId="5BF57285" w14:textId="3048DD8D" w:rsidR="00EE30B8" w:rsidRPr="00210E93" w:rsidRDefault="00EE30B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O. </w:t>
      </w:r>
      <w:proofErr w:type="spellStart"/>
      <w:r w:rsidRPr="00210E93">
        <w:rPr>
          <w:rFonts w:ascii="Times New Roman" w:hAnsi="Times New Roman" w:cs="Times New Roman"/>
          <w:sz w:val="24"/>
          <w:szCs w:val="24"/>
          <w:highlight w:val="yellow"/>
          <w:shd w:val="clear" w:color="auto" w:fill="FFFFFF"/>
          <w:lang w:val="en-GB"/>
        </w:rPr>
        <w:t>Larlus</w:t>
      </w:r>
      <w:proofErr w:type="spellEnd"/>
      <w:r w:rsidRPr="00210E93">
        <w:rPr>
          <w:rFonts w:ascii="Times New Roman" w:hAnsi="Times New Roman" w:cs="Times New Roman"/>
          <w:sz w:val="24"/>
          <w:szCs w:val="24"/>
          <w:highlight w:val="yellow"/>
          <w:shd w:val="clear" w:color="auto" w:fill="FFFFFF"/>
          <w:lang w:val="en-GB"/>
        </w:rPr>
        <w:t xml:space="preserve">, V.P. </w:t>
      </w:r>
      <w:proofErr w:type="spellStart"/>
      <w:r w:rsidRPr="00210E93">
        <w:rPr>
          <w:rFonts w:ascii="Times New Roman" w:hAnsi="Times New Roman" w:cs="Times New Roman"/>
          <w:sz w:val="24"/>
          <w:szCs w:val="24"/>
          <w:highlight w:val="yellow"/>
          <w:shd w:val="clear" w:color="auto" w:fill="FFFFFF"/>
          <w:lang w:val="en-GB"/>
        </w:rPr>
        <w:t>Valtchev</w:t>
      </w:r>
      <w:proofErr w:type="spellEnd"/>
      <w:r w:rsidRPr="00210E93">
        <w:rPr>
          <w:rFonts w:ascii="Times New Roman" w:hAnsi="Times New Roman" w:cs="Times New Roman"/>
          <w:sz w:val="24"/>
          <w:szCs w:val="24"/>
          <w:highlight w:val="yellow"/>
          <w:shd w:val="clear" w:color="auto" w:fill="FFFFFF"/>
          <w:lang w:val="en-GB"/>
        </w:rPr>
        <w:t>, Chem. Mater. 17 (2005) 881-886. https://doi.org/10.1021/cm048799r</w:t>
      </w:r>
    </w:p>
    <w:p w14:paraId="76683E4A" w14:textId="0B0DC96A" w:rsidR="00EE30B8" w:rsidRPr="00210E93" w:rsidRDefault="00EE30B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M. V. Landau, L. </w:t>
      </w:r>
      <w:proofErr w:type="spellStart"/>
      <w:r w:rsidRPr="00210E93">
        <w:rPr>
          <w:rFonts w:ascii="Times New Roman" w:hAnsi="Times New Roman" w:cs="Times New Roman"/>
          <w:sz w:val="24"/>
          <w:szCs w:val="24"/>
          <w:highlight w:val="yellow"/>
          <w:shd w:val="clear" w:color="auto" w:fill="FFFFFF"/>
          <w:lang w:val="en-GB"/>
        </w:rPr>
        <w:t>Vradman</w:t>
      </w:r>
      <w:proofErr w:type="spellEnd"/>
      <w:r w:rsidRPr="00210E93">
        <w:rPr>
          <w:rFonts w:ascii="Times New Roman" w:hAnsi="Times New Roman" w:cs="Times New Roman"/>
          <w:sz w:val="24"/>
          <w:szCs w:val="24"/>
          <w:highlight w:val="yellow"/>
          <w:shd w:val="clear" w:color="auto" w:fill="FFFFFF"/>
          <w:lang w:val="en-GB"/>
        </w:rPr>
        <w:t xml:space="preserve">, V. </w:t>
      </w:r>
      <w:proofErr w:type="spellStart"/>
      <w:r w:rsidRPr="00210E93">
        <w:rPr>
          <w:rFonts w:ascii="Times New Roman" w:hAnsi="Times New Roman" w:cs="Times New Roman"/>
          <w:sz w:val="24"/>
          <w:szCs w:val="24"/>
          <w:highlight w:val="yellow"/>
          <w:shd w:val="clear" w:color="auto" w:fill="FFFFFF"/>
          <w:lang w:val="en-GB"/>
        </w:rPr>
        <w:t>Valtchev</w:t>
      </w:r>
      <w:proofErr w:type="spellEnd"/>
      <w:r w:rsidRPr="00210E93">
        <w:rPr>
          <w:rFonts w:ascii="Times New Roman" w:hAnsi="Times New Roman" w:cs="Times New Roman"/>
          <w:sz w:val="24"/>
          <w:szCs w:val="24"/>
          <w:highlight w:val="yellow"/>
          <w:shd w:val="clear" w:color="auto" w:fill="FFFFFF"/>
          <w:lang w:val="en-GB"/>
        </w:rPr>
        <w:t xml:space="preserve">, J. </w:t>
      </w:r>
      <w:proofErr w:type="spellStart"/>
      <w:r w:rsidRPr="00210E93">
        <w:rPr>
          <w:rFonts w:ascii="Times New Roman" w:hAnsi="Times New Roman" w:cs="Times New Roman"/>
          <w:sz w:val="24"/>
          <w:szCs w:val="24"/>
          <w:highlight w:val="yellow"/>
          <w:shd w:val="clear" w:color="auto" w:fill="FFFFFF"/>
          <w:lang w:val="en-GB"/>
        </w:rPr>
        <w:t>Lezervant</w:t>
      </w:r>
      <w:proofErr w:type="spellEnd"/>
      <w:r w:rsidRPr="00210E93">
        <w:rPr>
          <w:rFonts w:ascii="Times New Roman" w:hAnsi="Times New Roman" w:cs="Times New Roman"/>
          <w:sz w:val="24"/>
          <w:szCs w:val="24"/>
          <w:highlight w:val="yellow"/>
          <w:shd w:val="clear" w:color="auto" w:fill="FFFFFF"/>
          <w:lang w:val="en-GB"/>
        </w:rPr>
        <w:t xml:space="preserve">, E. </w:t>
      </w:r>
      <w:proofErr w:type="spellStart"/>
      <w:r w:rsidRPr="00210E93">
        <w:rPr>
          <w:rFonts w:ascii="Times New Roman" w:hAnsi="Times New Roman" w:cs="Times New Roman"/>
          <w:sz w:val="24"/>
          <w:szCs w:val="24"/>
          <w:highlight w:val="yellow"/>
          <w:shd w:val="clear" w:color="auto" w:fill="FFFFFF"/>
          <w:lang w:val="en-GB"/>
        </w:rPr>
        <w:t>Liubich</w:t>
      </w:r>
      <w:proofErr w:type="spellEnd"/>
      <w:r w:rsidRPr="00210E93">
        <w:rPr>
          <w:rFonts w:ascii="Times New Roman" w:hAnsi="Times New Roman" w:cs="Times New Roman"/>
          <w:sz w:val="24"/>
          <w:szCs w:val="24"/>
          <w:highlight w:val="yellow"/>
          <w:shd w:val="clear" w:color="auto" w:fill="FFFFFF"/>
          <w:lang w:val="en-GB"/>
        </w:rPr>
        <w:t xml:space="preserve">, M. </w:t>
      </w:r>
      <w:proofErr w:type="spellStart"/>
      <w:r w:rsidRPr="00210E93">
        <w:rPr>
          <w:rFonts w:ascii="Times New Roman" w:hAnsi="Times New Roman" w:cs="Times New Roman"/>
          <w:sz w:val="24"/>
          <w:szCs w:val="24"/>
          <w:highlight w:val="yellow"/>
          <w:shd w:val="clear" w:color="auto" w:fill="FFFFFF"/>
          <w:lang w:val="en-GB"/>
        </w:rPr>
        <w:t>Talianker</w:t>
      </w:r>
      <w:proofErr w:type="spellEnd"/>
      <w:r w:rsidRPr="00210E93">
        <w:rPr>
          <w:rFonts w:ascii="Times New Roman" w:hAnsi="Times New Roman" w:cs="Times New Roman"/>
          <w:sz w:val="24"/>
          <w:szCs w:val="24"/>
          <w:highlight w:val="yellow"/>
          <w:shd w:val="clear" w:color="auto" w:fill="FFFFFF"/>
          <w:lang w:val="en-GB"/>
        </w:rPr>
        <w:t>, Ind. Eng. Chem. Res. 42 (2003) 2773–2782. https://doi.org/10.1021/ie020899o</w:t>
      </w:r>
    </w:p>
    <w:p w14:paraId="2AF4A015" w14:textId="43AD1044" w:rsidR="00EE30B8" w:rsidRPr="00210E93" w:rsidRDefault="00EE30B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M.A. </w:t>
      </w:r>
      <w:proofErr w:type="spellStart"/>
      <w:r w:rsidRPr="00210E93">
        <w:rPr>
          <w:rFonts w:ascii="Times New Roman" w:hAnsi="Times New Roman" w:cs="Times New Roman"/>
          <w:sz w:val="24"/>
          <w:szCs w:val="24"/>
          <w:highlight w:val="yellow"/>
          <w:shd w:val="clear" w:color="auto" w:fill="FFFFFF"/>
          <w:lang w:val="en-GB"/>
        </w:rPr>
        <w:t>Camblor</w:t>
      </w:r>
      <w:proofErr w:type="spellEnd"/>
      <w:r w:rsidRPr="00210E93">
        <w:rPr>
          <w:rFonts w:ascii="Times New Roman" w:hAnsi="Times New Roman" w:cs="Times New Roman"/>
          <w:sz w:val="24"/>
          <w:szCs w:val="24"/>
          <w:highlight w:val="yellow"/>
          <w:shd w:val="clear" w:color="auto" w:fill="FFFFFF"/>
          <w:lang w:val="en-GB"/>
        </w:rPr>
        <w:t>, J. Pérez-</w:t>
      </w:r>
      <w:proofErr w:type="spellStart"/>
      <w:r w:rsidRPr="00210E93">
        <w:rPr>
          <w:rFonts w:ascii="Times New Roman" w:hAnsi="Times New Roman" w:cs="Times New Roman"/>
          <w:sz w:val="24"/>
          <w:szCs w:val="24"/>
          <w:highlight w:val="yellow"/>
          <w:shd w:val="clear" w:color="auto" w:fill="FFFFFF"/>
          <w:lang w:val="en-GB"/>
        </w:rPr>
        <w:t>Pariente</w:t>
      </w:r>
      <w:proofErr w:type="spellEnd"/>
      <w:r w:rsidRPr="00210E93">
        <w:rPr>
          <w:rFonts w:ascii="Times New Roman" w:hAnsi="Times New Roman" w:cs="Times New Roman"/>
          <w:sz w:val="24"/>
          <w:szCs w:val="24"/>
          <w:highlight w:val="yellow"/>
          <w:shd w:val="clear" w:color="auto" w:fill="FFFFFF"/>
          <w:lang w:val="en-GB"/>
        </w:rPr>
        <w:t>, Zeolites</w:t>
      </w:r>
      <w:r w:rsidRPr="00210E93">
        <w:rPr>
          <w:highlight w:val="yellow"/>
        </w:rPr>
        <w:t xml:space="preserve"> </w:t>
      </w:r>
      <w:r w:rsidRPr="00210E93">
        <w:rPr>
          <w:rFonts w:ascii="Times New Roman" w:hAnsi="Times New Roman" w:cs="Times New Roman"/>
          <w:sz w:val="24"/>
          <w:szCs w:val="24"/>
          <w:highlight w:val="yellow"/>
          <w:shd w:val="clear" w:color="auto" w:fill="FFFFFF"/>
          <w:lang w:val="en-GB"/>
        </w:rPr>
        <w:t>11 (1991) 202-210. https://doi.org/10.1016/S0144-2449(05)80220-9</w:t>
      </w:r>
    </w:p>
    <w:p w14:paraId="6155E93A" w14:textId="0B330AAE" w:rsidR="00EE30B8" w:rsidRPr="00210E93" w:rsidRDefault="00EE30B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European Parliament and Council of the European Union, Directive 2010/63/EU of the European Parliament and of the Council of 22 September 2010 on the protection of animals used for scientific purposes, 2013. https://doi.org/doi:10.3000/19770677.L_2013.124.eng</w:t>
      </w:r>
    </w:p>
    <w:p w14:paraId="402D5CC6" w14:textId="41EC9647" w:rsidR="00EE30B8" w:rsidRPr="00210E93" w:rsidRDefault="00EE30B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lastRenderedPageBreak/>
        <w:t>OECD, Test No. 236: Fish Embryo Acute Toxicity (FET) Test., OECD Guidelines for the Testing of Chemicals, Section 2, OECD Publishing. (2013). https://doi.org/10.1787/9789264203709-en</w:t>
      </w:r>
    </w:p>
    <w:p w14:paraId="2C4E01C7" w14:textId="1E5B65D0" w:rsidR="00CF5FC8" w:rsidRPr="00210E93" w:rsidRDefault="00CF5FC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W.S. Lee, H.J. Cho, E. Kim, Y.H. Huh, H.J. Kim, B. Kim, T. Kang, J.S. Lee, J. </w:t>
      </w:r>
      <w:proofErr w:type="spellStart"/>
      <w:r w:rsidRPr="00210E93">
        <w:rPr>
          <w:rFonts w:ascii="Times New Roman" w:hAnsi="Times New Roman" w:cs="Times New Roman"/>
          <w:sz w:val="24"/>
          <w:szCs w:val="24"/>
          <w:highlight w:val="yellow"/>
          <w:shd w:val="clear" w:color="auto" w:fill="FFFFFF"/>
          <w:lang w:val="en-GB"/>
        </w:rPr>
        <w:t>Jeong</w:t>
      </w:r>
      <w:proofErr w:type="spellEnd"/>
      <w:r w:rsidRPr="00210E93">
        <w:rPr>
          <w:rFonts w:ascii="Times New Roman" w:hAnsi="Times New Roman" w:cs="Times New Roman"/>
          <w:sz w:val="24"/>
          <w:szCs w:val="24"/>
          <w:highlight w:val="yellow"/>
          <w:shd w:val="clear" w:color="auto" w:fill="FFFFFF"/>
          <w:lang w:val="en-GB"/>
        </w:rPr>
        <w:t>, Nanoscale 11 (2019) 3173-3185. https://doi.org/10.1039/c8nr09321k</w:t>
      </w:r>
    </w:p>
    <w:p w14:paraId="1E4CA2CA" w14:textId="3153F146" w:rsidR="00EE30B8" w:rsidRPr="00210E93" w:rsidRDefault="00EE30B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C. </w:t>
      </w:r>
      <w:proofErr w:type="spellStart"/>
      <w:r w:rsidRPr="00210E93">
        <w:rPr>
          <w:rFonts w:ascii="Times New Roman" w:hAnsi="Times New Roman" w:cs="Times New Roman"/>
          <w:sz w:val="24"/>
          <w:szCs w:val="24"/>
          <w:highlight w:val="yellow"/>
          <w:shd w:val="clear" w:color="auto" w:fill="FFFFFF"/>
          <w:lang w:val="en-GB"/>
        </w:rPr>
        <w:t>Schimpel</w:t>
      </w:r>
      <w:proofErr w:type="spellEnd"/>
      <w:r w:rsidRPr="00210E93">
        <w:rPr>
          <w:rFonts w:ascii="Times New Roman" w:hAnsi="Times New Roman" w:cs="Times New Roman"/>
          <w:sz w:val="24"/>
          <w:szCs w:val="24"/>
          <w:highlight w:val="yellow"/>
          <w:shd w:val="clear" w:color="auto" w:fill="FFFFFF"/>
          <w:lang w:val="en-GB"/>
        </w:rPr>
        <w:t xml:space="preserve">, B. </w:t>
      </w:r>
      <w:proofErr w:type="spellStart"/>
      <w:r w:rsidRPr="00210E93">
        <w:rPr>
          <w:rFonts w:ascii="Times New Roman" w:hAnsi="Times New Roman" w:cs="Times New Roman"/>
          <w:sz w:val="24"/>
          <w:szCs w:val="24"/>
          <w:highlight w:val="yellow"/>
          <w:shd w:val="clear" w:color="auto" w:fill="FFFFFF"/>
          <w:lang w:val="en-GB"/>
        </w:rPr>
        <w:t>Rinner</w:t>
      </w:r>
      <w:proofErr w:type="spellEnd"/>
      <w:r w:rsidRPr="00210E93">
        <w:rPr>
          <w:rFonts w:ascii="Times New Roman" w:hAnsi="Times New Roman" w:cs="Times New Roman"/>
          <w:sz w:val="24"/>
          <w:szCs w:val="24"/>
          <w:highlight w:val="yellow"/>
          <w:shd w:val="clear" w:color="auto" w:fill="FFFFFF"/>
          <w:lang w:val="en-GB"/>
        </w:rPr>
        <w:t xml:space="preserve">, M. </w:t>
      </w:r>
      <w:proofErr w:type="spellStart"/>
      <w:r w:rsidRPr="00210E93">
        <w:rPr>
          <w:rFonts w:ascii="Times New Roman" w:hAnsi="Times New Roman" w:cs="Times New Roman"/>
          <w:sz w:val="24"/>
          <w:szCs w:val="24"/>
          <w:highlight w:val="yellow"/>
          <w:shd w:val="clear" w:color="auto" w:fill="FFFFFF"/>
          <w:lang w:val="en-GB"/>
        </w:rPr>
        <w:t>Absenger</w:t>
      </w:r>
      <w:proofErr w:type="spellEnd"/>
      <w:r w:rsidRPr="00210E93">
        <w:rPr>
          <w:rFonts w:ascii="Times New Roman" w:hAnsi="Times New Roman" w:cs="Times New Roman"/>
          <w:sz w:val="24"/>
          <w:szCs w:val="24"/>
          <w:highlight w:val="yellow"/>
          <w:shd w:val="clear" w:color="auto" w:fill="FFFFFF"/>
          <w:lang w:val="en-GB"/>
        </w:rPr>
        <w:t xml:space="preserve">-Novak, C. </w:t>
      </w:r>
      <w:proofErr w:type="spellStart"/>
      <w:r w:rsidRPr="00210E93">
        <w:rPr>
          <w:rFonts w:ascii="Times New Roman" w:hAnsi="Times New Roman" w:cs="Times New Roman"/>
          <w:sz w:val="24"/>
          <w:szCs w:val="24"/>
          <w:highlight w:val="yellow"/>
          <w:shd w:val="clear" w:color="auto" w:fill="FFFFFF"/>
          <w:lang w:val="en-GB"/>
        </w:rPr>
        <w:t>Meindl</w:t>
      </w:r>
      <w:proofErr w:type="spellEnd"/>
      <w:r w:rsidRPr="00210E93">
        <w:rPr>
          <w:rFonts w:ascii="Times New Roman" w:hAnsi="Times New Roman" w:cs="Times New Roman"/>
          <w:sz w:val="24"/>
          <w:szCs w:val="24"/>
          <w:highlight w:val="yellow"/>
          <w:shd w:val="clear" w:color="auto" w:fill="FFFFFF"/>
          <w:lang w:val="en-GB"/>
        </w:rPr>
        <w:t xml:space="preserve">, E. Fröhlich, A. Falk, A. Zimmer, E. </w:t>
      </w:r>
      <w:proofErr w:type="spellStart"/>
      <w:r w:rsidRPr="00210E93">
        <w:rPr>
          <w:rFonts w:ascii="Times New Roman" w:hAnsi="Times New Roman" w:cs="Times New Roman"/>
          <w:sz w:val="24"/>
          <w:szCs w:val="24"/>
          <w:highlight w:val="yellow"/>
          <w:shd w:val="clear" w:color="auto" w:fill="FFFFFF"/>
          <w:lang w:val="en-GB"/>
        </w:rPr>
        <w:t>Roblegg</w:t>
      </w:r>
      <w:proofErr w:type="spellEnd"/>
      <w:r w:rsidRPr="00210E93">
        <w:rPr>
          <w:rFonts w:ascii="Times New Roman" w:hAnsi="Times New Roman" w:cs="Times New Roman"/>
          <w:sz w:val="24"/>
          <w:szCs w:val="24"/>
          <w:highlight w:val="yellow"/>
          <w:shd w:val="clear" w:color="auto" w:fill="FFFFFF"/>
          <w:lang w:val="en-GB"/>
        </w:rPr>
        <w:t xml:space="preserve">, E. </w:t>
      </w:r>
      <w:proofErr w:type="spellStart"/>
      <w:r w:rsidRPr="00210E93">
        <w:rPr>
          <w:rFonts w:ascii="Times New Roman" w:hAnsi="Times New Roman" w:cs="Times New Roman"/>
          <w:sz w:val="24"/>
          <w:szCs w:val="24"/>
          <w:highlight w:val="yellow"/>
          <w:shd w:val="clear" w:color="auto" w:fill="FFFFFF"/>
          <w:lang w:val="en-GB"/>
        </w:rPr>
        <w:t>NanoTox</w:t>
      </w:r>
      <w:proofErr w:type="spellEnd"/>
      <w:r w:rsidRPr="00210E93">
        <w:rPr>
          <w:rFonts w:ascii="Times New Roman" w:hAnsi="Times New Roman" w:cs="Times New Roman"/>
          <w:sz w:val="24"/>
          <w:szCs w:val="24"/>
          <w:highlight w:val="yellow"/>
          <w:shd w:val="clear" w:color="auto" w:fill="FFFFFF"/>
          <w:lang w:val="en-GB"/>
        </w:rPr>
        <w:t xml:space="preserve">-Lett. 6 </w:t>
      </w:r>
      <w:r w:rsidR="00CF5FC8" w:rsidRPr="00210E93">
        <w:rPr>
          <w:rFonts w:ascii="Times New Roman" w:hAnsi="Times New Roman" w:cs="Times New Roman"/>
          <w:sz w:val="24"/>
          <w:szCs w:val="24"/>
          <w:highlight w:val="yellow"/>
          <w:shd w:val="clear" w:color="auto" w:fill="FFFFFF"/>
          <w:lang w:val="en-GB"/>
        </w:rPr>
        <w:t>(</w:t>
      </w:r>
      <w:r w:rsidRPr="00210E93">
        <w:rPr>
          <w:rFonts w:ascii="Times New Roman" w:hAnsi="Times New Roman" w:cs="Times New Roman"/>
          <w:sz w:val="24"/>
          <w:szCs w:val="24"/>
          <w:highlight w:val="yellow"/>
          <w:shd w:val="clear" w:color="auto" w:fill="FFFFFF"/>
          <w:lang w:val="en-GB"/>
        </w:rPr>
        <w:t>2015</w:t>
      </w:r>
      <w:r w:rsidR="00CF5FC8" w:rsidRPr="00210E93">
        <w:rPr>
          <w:rFonts w:ascii="Times New Roman" w:hAnsi="Times New Roman" w:cs="Times New Roman"/>
          <w:sz w:val="24"/>
          <w:szCs w:val="24"/>
          <w:highlight w:val="yellow"/>
          <w:shd w:val="clear" w:color="auto" w:fill="FFFFFF"/>
          <w:lang w:val="en-GB"/>
        </w:rPr>
        <w:t>)</w:t>
      </w:r>
      <w:r w:rsidRPr="00210E93">
        <w:rPr>
          <w:rFonts w:ascii="Times New Roman" w:hAnsi="Times New Roman" w:cs="Times New Roman"/>
          <w:sz w:val="24"/>
          <w:szCs w:val="24"/>
          <w:highlight w:val="yellow"/>
          <w:shd w:val="clear" w:color="auto" w:fill="FFFFFF"/>
          <w:lang w:val="en-GB"/>
        </w:rPr>
        <w:t xml:space="preserve"> 1</w:t>
      </w:r>
      <w:r w:rsidR="00CF5FC8" w:rsidRPr="00210E93">
        <w:rPr>
          <w:rFonts w:ascii="Times New Roman" w:hAnsi="Times New Roman" w:cs="Times New Roman"/>
          <w:sz w:val="24"/>
          <w:szCs w:val="24"/>
          <w:highlight w:val="yellow"/>
          <w:shd w:val="clear" w:color="auto" w:fill="FFFFFF"/>
          <w:lang w:val="en-GB"/>
        </w:rPr>
        <w:t>-</w:t>
      </w:r>
      <w:r w:rsidRPr="00210E93">
        <w:rPr>
          <w:rFonts w:ascii="Times New Roman" w:hAnsi="Times New Roman" w:cs="Times New Roman"/>
          <w:sz w:val="24"/>
          <w:szCs w:val="24"/>
          <w:highlight w:val="yellow"/>
          <w:shd w:val="clear" w:color="auto" w:fill="FFFFFF"/>
          <w:lang w:val="en-GB"/>
        </w:rPr>
        <w:t>14. https://doi.org/10.1515/entl-2015-0006</w:t>
      </w:r>
    </w:p>
    <w:p w14:paraId="7C5BE790" w14:textId="1C636B2E" w:rsidR="00CF5FC8" w:rsidRPr="00210E93" w:rsidRDefault="00CF5FC8"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O. </w:t>
      </w:r>
      <w:proofErr w:type="spellStart"/>
      <w:r w:rsidRPr="00210E93">
        <w:rPr>
          <w:rFonts w:ascii="Times New Roman" w:hAnsi="Times New Roman" w:cs="Times New Roman"/>
          <w:sz w:val="24"/>
          <w:szCs w:val="24"/>
          <w:highlight w:val="yellow"/>
          <w:shd w:val="clear" w:color="auto" w:fill="FFFFFF"/>
          <w:lang w:val="en-GB"/>
        </w:rPr>
        <w:t>Trott</w:t>
      </w:r>
      <w:proofErr w:type="spellEnd"/>
      <w:r w:rsidRPr="00210E93">
        <w:rPr>
          <w:rFonts w:ascii="Times New Roman" w:hAnsi="Times New Roman" w:cs="Times New Roman"/>
          <w:sz w:val="24"/>
          <w:szCs w:val="24"/>
          <w:highlight w:val="yellow"/>
          <w:shd w:val="clear" w:color="auto" w:fill="FFFFFF"/>
          <w:lang w:val="en-GB"/>
        </w:rPr>
        <w:t xml:space="preserve">, A.J. Olson, J. </w:t>
      </w:r>
      <w:proofErr w:type="spellStart"/>
      <w:r w:rsidRPr="00210E93">
        <w:rPr>
          <w:rFonts w:ascii="Times New Roman" w:hAnsi="Times New Roman" w:cs="Times New Roman"/>
          <w:sz w:val="24"/>
          <w:szCs w:val="24"/>
          <w:highlight w:val="yellow"/>
          <w:shd w:val="clear" w:color="auto" w:fill="FFFFFF"/>
          <w:lang w:val="en-GB"/>
        </w:rPr>
        <w:t>Comput</w:t>
      </w:r>
      <w:proofErr w:type="spellEnd"/>
      <w:r w:rsidRPr="00210E93">
        <w:rPr>
          <w:rFonts w:ascii="Times New Roman" w:hAnsi="Times New Roman" w:cs="Times New Roman"/>
          <w:sz w:val="24"/>
          <w:szCs w:val="24"/>
          <w:highlight w:val="yellow"/>
          <w:shd w:val="clear" w:color="auto" w:fill="FFFFFF"/>
          <w:lang w:val="en-GB"/>
        </w:rPr>
        <w:t>. Chem. 31 (2010) 455-461. https://doi.org/10.1002/jcc.21334</w:t>
      </w:r>
    </w:p>
    <w:p w14:paraId="2D138E1E" w14:textId="2416F4A6" w:rsidR="00CF5FC8" w:rsidRPr="00210E93" w:rsidRDefault="00EF75EE"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A. Okada, K. Sano, K. Nagata, S. </w:t>
      </w:r>
      <w:proofErr w:type="spellStart"/>
      <w:r w:rsidRPr="00210E93">
        <w:rPr>
          <w:rFonts w:ascii="Times New Roman" w:hAnsi="Times New Roman" w:cs="Times New Roman"/>
          <w:sz w:val="24"/>
          <w:szCs w:val="24"/>
          <w:highlight w:val="yellow"/>
          <w:shd w:val="clear" w:color="auto" w:fill="FFFFFF"/>
          <w:lang w:val="en-GB"/>
        </w:rPr>
        <w:t>Yasumasu</w:t>
      </w:r>
      <w:proofErr w:type="spellEnd"/>
      <w:r w:rsidRPr="00210E93">
        <w:rPr>
          <w:rFonts w:ascii="Times New Roman" w:hAnsi="Times New Roman" w:cs="Times New Roman"/>
          <w:sz w:val="24"/>
          <w:szCs w:val="24"/>
          <w:highlight w:val="yellow"/>
          <w:shd w:val="clear" w:color="auto" w:fill="FFFFFF"/>
          <w:lang w:val="en-GB"/>
        </w:rPr>
        <w:t xml:space="preserve">, J. </w:t>
      </w:r>
      <w:proofErr w:type="spellStart"/>
      <w:r w:rsidRPr="00210E93">
        <w:rPr>
          <w:rFonts w:ascii="Times New Roman" w:hAnsi="Times New Roman" w:cs="Times New Roman"/>
          <w:sz w:val="24"/>
          <w:szCs w:val="24"/>
          <w:highlight w:val="yellow"/>
          <w:shd w:val="clear" w:color="auto" w:fill="FFFFFF"/>
          <w:lang w:val="en-GB"/>
        </w:rPr>
        <w:t>Ohtsuka</w:t>
      </w:r>
      <w:proofErr w:type="spellEnd"/>
      <w:r w:rsidRPr="00210E93">
        <w:rPr>
          <w:rFonts w:ascii="Times New Roman" w:hAnsi="Times New Roman" w:cs="Times New Roman"/>
          <w:sz w:val="24"/>
          <w:szCs w:val="24"/>
          <w:highlight w:val="yellow"/>
          <w:shd w:val="clear" w:color="auto" w:fill="FFFFFF"/>
          <w:lang w:val="en-GB"/>
        </w:rPr>
        <w:t xml:space="preserve">, A. Yamamura, K. Kubota, I. </w:t>
      </w:r>
      <w:proofErr w:type="spellStart"/>
      <w:r w:rsidRPr="00210E93">
        <w:rPr>
          <w:rFonts w:ascii="Times New Roman" w:hAnsi="Times New Roman" w:cs="Times New Roman"/>
          <w:sz w:val="24"/>
          <w:szCs w:val="24"/>
          <w:highlight w:val="yellow"/>
          <w:shd w:val="clear" w:color="auto" w:fill="FFFFFF"/>
          <w:lang w:val="en-GB"/>
        </w:rPr>
        <w:t>Iuchi</w:t>
      </w:r>
      <w:proofErr w:type="spellEnd"/>
      <w:r w:rsidRPr="00210E93">
        <w:rPr>
          <w:rFonts w:ascii="Times New Roman" w:hAnsi="Times New Roman" w:cs="Times New Roman"/>
          <w:sz w:val="24"/>
          <w:szCs w:val="24"/>
          <w:highlight w:val="yellow"/>
          <w:shd w:val="clear" w:color="auto" w:fill="FFFFFF"/>
          <w:lang w:val="en-GB"/>
        </w:rPr>
        <w:t xml:space="preserve">, M. </w:t>
      </w:r>
      <w:proofErr w:type="spellStart"/>
      <w:r w:rsidRPr="00210E93">
        <w:rPr>
          <w:rFonts w:ascii="Times New Roman" w:hAnsi="Times New Roman" w:cs="Times New Roman"/>
          <w:sz w:val="24"/>
          <w:szCs w:val="24"/>
          <w:highlight w:val="yellow"/>
          <w:shd w:val="clear" w:color="auto" w:fill="FFFFFF"/>
          <w:lang w:val="en-GB"/>
        </w:rPr>
        <w:t>Tanokura</w:t>
      </w:r>
      <w:proofErr w:type="spellEnd"/>
      <w:r w:rsidRPr="00210E93">
        <w:rPr>
          <w:rFonts w:ascii="Times New Roman" w:hAnsi="Times New Roman" w:cs="Times New Roman"/>
          <w:sz w:val="24"/>
          <w:szCs w:val="24"/>
          <w:highlight w:val="yellow"/>
          <w:shd w:val="clear" w:color="auto" w:fill="FFFFFF"/>
          <w:lang w:val="en-GB"/>
        </w:rPr>
        <w:t>, J. Mol. Biol. 402 (2010) 865-878. https://doi.org/10.1016/j.jmb.2010.08.023</w:t>
      </w:r>
    </w:p>
    <w:p w14:paraId="1FB45681" w14:textId="60AB97FA" w:rsidR="00EF75EE" w:rsidRPr="00210E93" w:rsidRDefault="00EF75EE"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J. Wang, R.M. Wolf, J.W. Caldwell, P.A. </w:t>
      </w:r>
      <w:proofErr w:type="spellStart"/>
      <w:r w:rsidRPr="00210E93">
        <w:rPr>
          <w:rFonts w:ascii="Times New Roman" w:hAnsi="Times New Roman" w:cs="Times New Roman"/>
          <w:sz w:val="24"/>
          <w:szCs w:val="24"/>
          <w:highlight w:val="yellow"/>
          <w:shd w:val="clear" w:color="auto" w:fill="FFFFFF"/>
          <w:lang w:val="en-GB"/>
        </w:rPr>
        <w:t>Kollman</w:t>
      </w:r>
      <w:proofErr w:type="spellEnd"/>
      <w:r w:rsidRPr="00210E93">
        <w:rPr>
          <w:rFonts w:ascii="Times New Roman" w:hAnsi="Times New Roman" w:cs="Times New Roman"/>
          <w:sz w:val="24"/>
          <w:szCs w:val="24"/>
          <w:highlight w:val="yellow"/>
          <w:shd w:val="clear" w:color="auto" w:fill="FFFFFF"/>
          <w:lang w:val="en-GB"/>
        </w:rPr>
        <w:t xml:space="preserve">, D.A. Case, J. </w:t>
      </w:r>
      <w:proofErr w:type="spellStart"/>
      <w:r w:rsidRPr="00210E93">
        <w:rPr>
          <w:rFonts w:ascii="Times New Roman" w:hAnsi="Times New Roman" w:cs="Times New Roman"/>
          <w:sz w:val="24"/>
          <w:szCs w:val="24"/>
          <w:highlight w:val="yellow"/>
          <w:shd w:val="clear" w:color="auto" w:fill="FFFFFF"/>
          <w:lang w:val="en-GB"/>
        </w:rPr>
        <w:t>Comput</w:t>
      </w:r>
      <w:proofErr w:type="spellEnd"/>
      <w:r w:rsidRPr="00210E93">
        <w:rPr>
          <w:rFonts w:ascii="Times New Roman" w:hAnsi="Times New Roman" w:cs="Times New Roman"/>
          <w:sz w:val="24"/>
          <w:szCs w:val="24"/>
          <w:highlight w:val="yellow"/>
          <w:shd w:val="clear" w:color="auto" w:fill="FFFFFF"/>
          <w:lang w:val="en-GB"/>
        </w:rPr>
        <w:t>. Chem. 25 (2004) 1157-1174. https://doi.org/10.1002/jcc.20035</w:t>
      </w:r>
    </w:p>
    <w:p w14:paraId="31F24955" w14:textId="6AD63D39" w:rsidR="00EF75EE" w:rsidRPr="00210E93" w:rsidRDefault="00EF75EE"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A. </w:t>
      </w:r>
      <w:proofErr w:type="spellStart"/>
      <w:r w:rsidRPr="00210E93">
        <w:rPr>
          <w:rFonts w:ascii="Times New Roman" w:hAnsi="Times New Roman" w:cs="Times New Roman"/>
          <w:sz w:val="24"/>
          <w:szCs w:val="24"/>
          <w:highlight w:val="yellow"/>
          <w:shd w:val="clear" w:color="auto" w:fill="FFFFFF"/>
          <w:lang w:val="en-GB"/>
        </w:rPr>
        <w:t>Grosdidier</w:t>
      </w:r>
      <w:proofErr w:type="spellEnd"/>
      <w:r w:rsidRPr="00210E93">
        <w:rPr>
          <w:rFonts w:ascii="Times New Roman" w:hAnsi="Times New Roman" w:cs="Times New Roman"/>
          <w:sz w:val="24"/>
          <w:szCs w:val="24"/>
          <w:highlight w:val="yellow"/>
          <w:shd w:val="clear" w:color="auto" w:fill="FFFFFF"/>
          <w:lang w:val="en-GB"/>
        </w:rPr>
        <w:t xml:space="preserve">, V. </w:t>
      </w:r>
      <w:proofErr w:type="spellStart"/>
      <w:r w:rsidRPr="00210E93">
        <w:rPr>
          <w:rFonts w:ascii="Times New Roman" w:hAnsi="Times New Roman" w:cs="Times New Roman"/>
          <w:sz w:val="24"/>
          <w:szCs w:val="24"/>
          <w:highlight w:val="yellow"/>
          <w:shd w:val="clear" w:color="auto" w:fill="FFFFFF"/>
          <w:lang w:val="en-GB"/>
        </w:rPr>
        <w:t>Zoete</w:t>
      </w:r>
      <w:proofErr w:type="spellEnd"/>
      <w:r w:rsidRPr="00210E93">
        <w:rPr>
          <w:rFonts w:ascii="Times New Roman" w:hAnsi="Times New Roman" w:cs="Times New Roman"/>
          <w:sz w:val="24"/>
          <w:szCs w:val="24"/>
          <w:highlight w:val="yellow"/>
          <w:shd w:val="clear" w:color="auto" w:fill="FFFFFF"/>
          <w:lang w:val="en-GB"/>
        </w:rPr>
        <w:t xml:space="preserve">, O. </w:t>
      </w:r>
      <w:proofErr w:type="spellStart"/>
      <w:r w:rsidRPr="00210E93">
        <w:rPr>
          <w:rFonts w:ascii="Times New Roman" w:hAnsi="Times New Roman" w:cs="Times New Roman"/>
          <w:sz w:val="24"/>
          <w:szCs w:val="24"/>
          <w:highlight w:val="yellow"/>
          <w:shd w:val="clear" w:color="auto" w:fill="FFFFFF"/>
          <w:lang w:val="en-GB"/>
        </w:rPr>
        <w:t>Michielin</w:t>
      </w:r>
      <w:proofErr w:type="spellEnd"/>
      <w:r w:rsidRPr="00210E93">
        <w:rPr>
          <w:rFonts w:ascii="Times New Roman" w:hAnsi="Times New Roman" w:cs="Times New Roman"/>
          <w:sz w:val="24"/>
          <w:szCs w:val="24"/>
          <w:highlight w:val="yellow"/>
          <w:shd w:val="clear" w:color="auto" w:fill="FFFFFF"/>
          <w:lang w:val="en-GB"/>
        </w:rPr>
        <w:t>, Nucleic Acids Res. 39 (2011) W270–W277. https://doi.org/10.1093/nar/gkr366</w:t>
      </w:r>
    </w:p>
    <w:p w14:paraId="37F7AAEB" w14:textId="3EF5C64A" w:rsidR="00EF75EE" w:rsidRPr="00210E93" w:rsidRDefault="00EF75EE"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B.R. Brooks, C.L. Brooks, A.D. </w:t>
      </w:r>
      <w:proofErr w:type="spellStart"/>
      <w:r w:rsidRPr="00210E93">
        <w:rPr>
          <w:rFonts w:ascii="Times New Roman" w:hAnsi="Times New Roman" w:cs="Times New Roman"/>
          <w:sz w:val="24"/>
          <w:szCs w:val="24"/>
          <w:highlight w:val="yellow"/>
          <w:shd w:val="clear" w:color="auto" w:fill="FFFFFF"/>
          <w:lang w:val="en-GB"/>
        </w:rPr>
        <w:t>Mackerell</w:t>
      </w:r>
      <w:proofErr w:type="spellEnd"/>
      <w:r w:rsidRPr="00210E93">
        <w:rPr>
          <w:rFonts w:ascii="Times New Roman" w:hAnsi="Times New Roman" w:cs="Times New Roman"/>
          <w:sz w:val="24"/>
          <w:szCs w:val="24"/>
          <w:highlight w:val="yellow"/>
          <w:shd w:val="clear" w:color="auto" w:fill="FFFFFF"/>
          <w:lang w:val="en-GB"/>
        </w:rPr>
        <w:t xml:space="preserve">, L. Nilsson, R.J. Petrella, B. Roux, Y. Won, G. </w:t>
      </w:r>
      <w:proofErr w:type="spellStart"/>
      <w:r w:rsidRPr="00210E93">
        <w:rPr>
          <w:rFonts w:ascii="Times New Roman" w:hAnsi="Times New Roman" w:cs="Times New Roman"/>
          <w:sz w:val="24"/>
          <w:szCs w:val="24"/>
          <w:highlight w:val="yellow"/>
          <w:shd w:val="clear" w:color="auto" w:fill="FFFFFF"/>
          <w:lang w:val="en-GB"/>
        </w:rPr>
        <w:t>Archontis</w:t>
      </w:r>
      <w:proofErr w:type="spellEnd"/>
      <w:r w:rsidRPr="00210E93">
        <w:rPr>
          <w:rFonts w:ascii="Times New Roman" w:hAnsi="Times New Roman" w:cs="Times New Roman"/>
          <w:sz w:val="24"/>
          <w:szCs w:val="24"/>
          <w:highlight w:val="yellow"/>
          <w:shd w:val="clear" w:color="auto" w:fill="FFFFFF"/>
          <w:lang w:val="en-GB"/>
        </w:rPr>
        <w:t xml:space="preserve">, C. Bartels, S. </w:t>
      </w:r>
      <w:proofErr w:type="spellStart"/>
      <w:r w:rsidRPr="00210E93">
        <w:rPr>
          <w:rFonts w:ascii="Times New Roman" w:hAnsi="Times New Roman" w:cs="Times New Roman"/>
          <w:sz w:val="24"/>
          <w:szCs w:val="24"/>
          <w:highlight w:val="yellow"/>
          <w:shd w:val="clear" w:color="auto" w:fill="FFFFFF"/>
          <w:lang w:val="en-GB"/>
        </w:rPr>
        <w:t>Boresch</w:t>
      </w:r>
      <w:proofErr w:type="spellEnd"/>
      <w:r w:rsidRPr="00210E93">
        <w:rPr>
          <w:rFonts w:ascii="Times New Roman" w:hAnsi="Times New Roman" w:cs="Times New Roman"/>
          <w:sz w:val="24"/>
          <w:szCs w:val="24"/>
          <w:highlight w:val="yellow"/>
          <w:shd w:val="clear" w:color="auto" w:fill="FFFFFF"/>
          <w:lang w:val="en-GB"/>
        </w:rPr>
        <w:t xml:space="preserve">, A. </w:t>
      </w:r>
      <w:proofErr w:type="spellStart"/>
      <w:r w:rsidRPr="00210E93">
        <w:rPr>
          <w:rFonts w:ascii="Times New Roman" w:hAnsi="Times New Roman" w:cs="Times New Roman"/>
          <w:sz w:val="24"/>
          <w:szCs w:val="24"/>
          <w:highlight w:val="yellow"/>
          <w:shd w:val="clear" w:color="auto" w:fill="FFFFFF"/>
          <w:lang w:val="en-GB"/>
        </w:rPr>
        <w:t>Caflisch</w:t>
      </w:r>
      <w:proofErr w:type="spellEnd"/>
      <w:r w:rsidRPr="00210E93">
        <w:rPr>
          <w:rFonts w:ascii="Times New Roman" w:hAnsi="Times New Roman" w:cs="Times New Roman"/>
          <w:sz w:val="24"/>
          <w:szCs w:val="24"/>
          <w:highlight w:val="yellow"/>
          <w:shd w:val="clear" w:color="auto" w:fill="FFFFFF"/>
          <w:lang w:val="en-GB"/>
        </w:rPr>
        <w:t xml:space="preserve">, L. Caves, Q. Cui, A.R. Dinner, M. Feig, S. Fischer, J. Gao, M. </w:t>
      </w:r>
      <w:proofErr w:type="spellStart"/>
      <w:r w:rsidRPr="00210E93">
        <w:rPr>
          <w:rFonts w:ascii="Times New Roman" w:hAnsi="Times New Roman" w:cs="Times New Roman"/>
          <w:sz w:val="24"/>
          <w:szCs w:val="24"/>
          <w:highlight w:val="yellow"/>
          <w:shd w:val="clear" w:color="auto" w:fill="FFFFFF"/>
          <w:lang w:val="en-GB"/>
        </w:rPr>
        <w:t>Hodoscek</w:t>
      </w:r>
      <w:proofErr w:type="spellEnd"/>
      <w:r w:rsidRPr="00210E93">
        <w:rPr>
          <w:rFonts w:ascii="Times New Roman" w:hAnsi="Times New Roman" w:cs="Times New Roman"/>
          <w:sz w:val="24"/>
          <w:szCs w:val="24"/>
          <w:highlight w:val="yellow"/>
          <w:shd w:val="clear" w:color="auto" w:fill="FFFFFF"/>
          <w:lang w:val="en-GB"/>
        </w:rPr>
        <w:t xml:space="preserve">, W. </w:t>
      </w:r>
      <w:proofErr w:type="spellStart"/>
      <w:r w:rsidRPr="00210E93">
        <w:rPr>
          <w:rFonts w:ascii="Times New Roman" w:hAnsi="Times New Roman" w:cs="Times New Roman"/>
          <w:sz w:val="24"/>
          <w:szCs w:val="24"/>
          <w:highlight w:val="yellow"/>
          <w:shd w:val="clear" w:color="auto" w:fill="FFFFFF"/>
          <w:lang w:val="en-GB"/>
        </w:rPr>
        <w:t>Im</w:t>
      </w:r>
      <w:proofErr w:type="spellEnd"/>
      <w:r w:rsidRPr="00210E93">
        <w:rPr>
          <w:rFonts w:ascii="Times New Roman" w:hAnsi="Times New Roman" w:cs="Times New Roman"/>
          <w:sz w:val="24"/>
          <w:szCs w:val="24"/>
          <w:highlight w:val="yellow"/>
          <w:shd w:val="clear" w:color="auto" w:fill="FFFFFF"/>
          <w:lang w:val="en-GB"/>
        </w:rPr>
        <w:t xml:space="preserve">, K. </w:t>
      </w:r>
      <w:proofErr w:type="spellStart"/>
      <w:r w:rsidRPr="00210E93">
        <w:rPr>
          <w:rFonts w:ascii="Times New Roman" w:hAnsi="Times New Roman" w:cs="Times New Roman"/>
          <w:sz w:val="24"/>
          <w:szCs w:val="24"/>
          <w:highlight w:val="yellow"/>
          <w:shd w:val="clear" w:color="auto" w:fill="FFFFFF"/>
          <w:lang w:val="en-GB"/>
        </w:rPr>
        <w:t>Kuczera</w:t>
      </w:r>
      <w:proofErr w:type="spellEnd"/>
      <w:r w:rsidRPr="00210E93">
        <w:rPr>
          <w:rFonts w:ascii="Times New Roman" w:hAnsi="Times New Roman" w:cs="Times New Roman"/>
          <w:sz w:val="24"/>
          <w:szCs w:val="24"/>
          <w:highlight w:val="yellow"/>
          <w:shd w:val="clear" w:color="auto" w:fill="FFFFFF"/>
          <w:lang w:val="en-GB"/>
        </w:rPr>
        <w:t xml:space="preserve">, T. </w:t>
      </w:r>
      <w:proofErr w:type="spellStart"/>
      <w:r w:rsidRPr="00210E93">
        <w:rPr>
          <w:rFonts w:ascii="Times New Roman" w:hAnsi="Times New Roman" w:cs="Times New Roman"/>
          <w:sz w:val="24"/>
          <w:szCs w:val="24"/>
          <w:highlight w:val="yellow"/>
          <w:shd w:val="clear" w:color="auto" w:fill="FFFFFF"/>
          <w:lang w:val="en-GB"/>
        </w:rPr>
        <w:t>Lazaridis</w:t>
      </w:r>
      <w:proofErr w:type="spellEnd"/>
      <w:r w:rsidRPr="00210E93">
        <w:rPr>
          <w:rFonts w:ascii="Times New Roman" w:hAnsi="Times New Roman" w:cs="Times New Roman"/>
          <w:sz w:val="24"/>
          <w:szCs w:val="24"/>
          <w:highlight w:val="yellow"/>
          <w:shd w:val="clear" w:color="auto" w:fill="FFFFFF"/>
          <w:lang w:val="en-GB"/>
        </w:rPr>
        <w:t xml:space="preserve">, J. Ma, V. </w:t>
      </w:r>
      <w:proofErr w:type="spellStart"/>
      <w:r w:rsidRPr="00210E93">
        <w:rPr>
          <w:rFonts w:ascii="Times New Roman" w:hAnsi="Times New Roman" w:cs="Times New Roman"/>
          <w:sz w:val="24"/>
          <w:szCs w:val="24"/>
          <w:highlight w:val="yellow"/>
          <w:shd w:val="clear" w:color="auto" w:fill="FFFFFF"/>
          <w:lang w:val="en-GB"/>
        </w:rPr>
        <w:t>Ovchinnikov</w:t>
      </w:r>
      <w:proofErr w:type="spellEnd"/>
      <w:r w:rsidRPr="00210E93">
        <w:rPr>
          <w:rFonts w:ascii="Times New Roman" w:hAnsi="Times New Roman" w:cs="Times New Roman"/>
          <w:sz w:val="24"/>
          <w:szCs w:val="24"/>
          <w:highlight w:val="yellow"/>
          <w:shd w:val="clear" w:color="auto" w:fill="FFFFFF"/>
          <w:lang w:val="en-GB"/>
        </w:rPr>
        <w:t xml:space="preserve">, E. </w:t>
      </w:r>
      <w:proofErr w:type="spellStart"/>
      <w:r w:rsidRPr="00210E93">
        <w:rPr>
          <w:rFonts w:ascii="Times New Roman" w:hAnsi="Times New Roman" w:cs="Times New Roman"/>
          <w:sz w:val="24"/>
          <w:szCs w:val="24"/>
          <w:highlight w:val="yellow"/>
          <w:shd w:val="clear" w:color="auto" w:fill="FFFFFF"/>
          <w:lang w:val="en-GB"/>
        </w:rPr>
        <w:t>Paci</w:t>
      </w:r>
      <w:proofErr w:type="spellEnd"/>
      <w:r w:rsidRPr="00210E93">
        <w:rPr>
          <w:rFonts w:ascii="Times New Roman" w:hAnsi="Times New Roman" w:cs="Times New Roman"/>
          <w:sz w:val="24"/>
          <w:szCs w:val="24"/>
          <w:highlight w:val="yellow"/>
          <w:shd w:val="clear" w:color="auto" w:fill="FFFFFF"/>
          <w:lang w:val="en-GB"/>
        </w:rPr>
        <w:t xml:space="preserve">, R.W. Pastor, C.B. Post, J.Z. Pu, M. Schaefer, B. </w:t>
      </w:r>
      <w:proofErr w:type="spellStart"/>
      <w:r w:rsidRPr="00210E93">
        <w:rPr>
          <w:rFonts w:ascii="Times New Roman" w:hAnsi="Times New Roman" w:cs="Times New Roman"/>
          <w:sz w:val="24"/>
          <w:szCs w:val="24"/>
          <w:highlight w:val="yellow"/>
          <w:shd w:val="clear" w:color="auto" w:fill="FFFFFF"/>
          <w:lang w:val="en-GB"/>
        </w:rPr>
        <w:t>Tidor</w:t>
      </w:r>
      <w:proofErr w:type="spellEnd"/>
      <w:r w:rsidRPr="00210E93">
        <w:rPr>
          <w:rFonts w:ascii="Times New Roman" w:hAnsi="Times New Roman" w:cs="Times New Roman"/>
          <w:sz w:val="24"/>
          <w:szCs w:val="24"/>
          <w:highlight w:val="yellow"/>
          <w:shd w:val="clear" w:color="auto" w:fill="FFFFFF"/>
          <w:lang w:val="en-GB"/>
        </w:rPr>
        <w:t xml:space="preserve">, R.M. Venable, H.L. Woodcock, X. Wu, W. Yang, D.M. York, M. </w:t>
      </w:r>
      <w:proofErr w:type="spellStart"/>
      <w:r w:rsidRPr="00210E93">
        <w:rPr>
          <w:rFonts w:ascii="Times New Roman" w:hAnsi="Times New Roman" w:cs="Times New Roman"/>
          <w:sz w:val="24"/>
          <w:szCs w:val="24"/>
          <w:highlight w:val="yellow"/>
          <w:shd w:val="clear" w:color="auto" w:fill="FFFFFF"/>
          <w:lang w:val="en-GB"/>
        </w:rPr>
        <w:t>Karplus</w:t>
      </w:r>
      <w:proofErr w:type="spellEnd"/>
      <w:r w:rsidRPr="00210E93">
        <w:rPr>
          <w:rFonts w:ascii="Times New Roman" w:hAnsi="Times New Roman" w:cs="Times New Roman"/>
          <w:sz w:val="24"/>
          <w:szCs w:val="24"/>
          <w:highlight w:val="yellow"/>
          <w:shd w:val="clear" w:color="auto" w:fill="FFFFFF"/>
          <w:lang w:val="en-GB"/>
        </w:rPr>
        <w:t xml:space="preserve">, </w:t>
      </w:r>
      <w:r w:rsidR="00D162E6" w:rsidRPr="00210E93">
        <w:rPr>
          <w:rFonts w:ascii="Times New Roman" w:hAnsi="Times New Roman" w:cs="Times New Roman"/>
          <w:sz w:val="24"/>
          <w:szCs w:val="24"/>
          <w:highlight w:val="yellow"/>
          <w:shd w:val="clear" w:color="auto" w:fill="FFFFFF"/>
          <w:lang w:val="en-GB"/>
        </w:rPr>
        <w:t xml:space="preserve">J. </w:t>
      </w:r>
      <w:proofErr w:type="spellStart"/>
      <w:r w:rsidR="00D162E6" w:rsidRPr="00210E93">
        <w:rPr>
          <w:rFonts w:ascii="Times New Roman" w:hAnsi="Times New Roman" w:cs="Times New Roman"/>
          <w:sz w:val="24"/>
          <w:szCs w:val="24"/>
          <w:highlight w:val="yellow"/>
          <w:shd w:val="clear" w:color="auto" w:fill="FFFFFF"/>
          <w:lang w:val="en-GB"/>
        </w:rPr>
        <w:t>Comput</w:t>
      </w:r>
      <w:proofErr w:type="spellEnd"/>
      <w:r w:rsidR="00D162E6" w:rsidRPr="00210E93">
        <w:rPr>
          <w:rFonts w:ascii="Times New Roman" w:hAnsi="Times New Roman" w:cs="Times New Roman"/>
          <w:sz w:val="24"/>
          <w:szCs w:val="24"/>
          <w:highlight w:val="yellow"/>
          <w:shd w:val="clear" w:color="auto" w:fill="FFFFFF"/>
          <w:lang w:val="en-GB"/>
        </w:rPr>
        <w:t xml:space="preserve">. Chem. 30 (2009) 1545-614. </w:t>
      </w:r>
      <w:r w:rsidRPr="00210E93">
        <w:rPr>
          <w:rFonts w:ascii="Times New Roman" w:hAnsi="Times New Roman" w:cs="Times New Roman"/>
          <w:sz w:val="24"/>
          <w:szCs w:val="24"/>
          <w:highlight w:val="yellow"/>
          <w:shd w:val="clear" w:color="auto" w:fill="FFFFFF"/>
          <w:lang w:val="en-GB"/>
        </w:rPr>
        <w:t>https://doi.org/10.1002/jcc.21287</w:t>
      </w:r>
    </w:p>
    <w:p w14:paraId="75C4D222" w14:textId="69134E58" w:rsidR="00D162E6" w:rsidRPr="00210E93" w:rsidRDefault="00D162E6"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J. Wang, R.M. Wolf, J.W. Caldwell, P.A. </w:t>
      </w:r>
      <w:proofErr w:type="spellStart"/>
      <w:r w:rsidRPr="00210E93">
        <w:rPr>
          <w:rFonts w:ascii="Times New Roman" w:hAnsi="Times New Roman" w:cs="Times New Roman"/>
          <w:sz w:val="24"/>
          <w:szCs w:val="24"/>
          <w:highlight w:val="yellow"/>
          <w:shd w:val="clear" w:color="auto" w:fill="FFFFFF"/>
          <w:lang w:val="en-GB"/>
        </w:rPr>
        <w:t>Kollman</w:t>
      </w:r>
      <w:proofErr w:type="spellEnd"/>
      <w:r w:rsidRPr="00210E93">
        <w:rPr>
          <w:rFonts w:ascii="Times New Roman" w:hAnsi="Times New Roman" w:cs="Times New Roman"/>
          <w:sz w:val="24"/>
          <w:szCs w:val="24"/>
          <w:highlight w:val="yellow"/>
          <w:shd w:val="clear" w:color="auto" w:fill="FFFFFF"/>
          <w:lang w:val="en-GB"/>
        </w:rPr>
        <w:t xml:space="preserve">, D.A. Case, J. </w:t>
      </w:r>
      <w:proofErr w:type="spellStart"/>
      <w:r w:rsidRPr="00210E93">
        <w:rPr>
          <w:rFonts w:ascii="Times New Roman" w:hAnsi="Times New Roman" w:cs="Times New Roman"/>
          <w:sz w:val="24"/>
          <w:szCs w:val="24"/>
          <w:highlight w:val="yellow"/>
          <w:shd w:val="clear" w:color="auto" w:fill="FFFFFF"/>
          <w:lang w:val="en-GB"/>
        </w:rPr>
        <w:t>Comput</w:t>
      </w:r>
      <w:proofErr w:type="spellEnd"/>
      <w:r w:rsidRPr="00210E93">
        <w:rPr>
          <w:rFonts w:ascii="Times New Roman" w:hAnsi="Times New Roman" w:cs="Times New Roman"/>
          <w:sz w:val="24"/>
          <w:szCs w:val="24"/>
          <w:highlight w:val="yellow"/>
          <w:shd w:val="clear" w:color="auto" w:fill="FFFFFF"/>
          <w:lang w:val="en-GB"/>
        </w:rPr>
        <w:t>. Chem. 25 (2004) 1157-1174. https://doi.org/10.1002/jcc.20035</w:t>
      </w:r>
    </w:p>
    <w:p w14:paraId="24B17C48" w14:textId="515BB8B3" w:rsidR="00DC7F14" w:rsidRPr="00210E93" w:rsidRDefault="00D876D5"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P. </w:t>
      </w:r>
      <w:proofErr w:type="spellStart"/>
      <w:r w:rsidRPr="00210E93">
        <w:rPr>
          <w:rFonts w:ascii="Times New Roman" w:hAnsi="Times New Roman" w:cs="Times New Roman"/>
          <w:sz w:val="24"/>
          <w:szCs w:val="24"/>
          <w:highlight w:val="yellow"/>
          <w:shd w:val="clear" w:color="auto" w:fill="FFFFFF"/>
          <w:lang w:val="en-GB"/>
        </w:rPr>
        <w:t>Cieplak</w:t>
      </w:r>
      <w:proofErr w:type="spellEnd"/>
      <w:r w:rsidRPr="00210E93">
        <w:rPr>
          <w:rFonts w:ascii="Times New Roman" w:hAnsi="Times New Roman" w:cs="Times New Roman"/>
          <w:sz w:val="24"/>
          <w:szCs w:val="24"/>
          <w:highlight w:val="yellow"/>
          <w:shd w:val="clear" w:color="auto" w:fill="FFFFFF"/>
          <w:lang w:val="en-GB"/>
        </w:rPr>
        <w:t xml:space="preserve">, W.D. Cornell, C. </w:t>
      </w:r>
      <w:proofErr w:type="spellStart"/>
      <w:r w:rsidRPr="00210E93">
        <w:rPr>
          <w:rFonts w:ascii="Times New Roman" w:hAnsi="Times New Roman" w:cs="Times New Roman"/>
          <w:sz w:val="24"/>
          <w:szCs w:val="24"/>
          <w:highlight w:val="yellow"/>
          <w:shd w:val="clear" w:color="auto" w:fill="FFFFFF"/>
          <w:lang w:val="en-GB"/>
        </w:rPr>
        <w:t>Bayly</w:t>
      </w:r>
      <w:proofErr w:type="spellEnd"/>
      <w:r w:rsidRPr="00210E93">
        <w:rPr>
          <w:rFonts w:ascii="Times New Roman" w:hAnsi="Times New Roman" w:cs="Times New Roman"/>
          <w:sz w:val="24"/>
          <w:szCs w:val="24"/>
          <w:highlight w:val="yellow"/>
          <w:shd w:val="clear" w:color="auto" w:fill="FFFFFF"/>
          <w:lang w:val="en-GB"/>
        </w:rPr>
        <w:t xml:space="preserve">, P.A. </w:t>
      </w:r>
      <w:proofErr w:type="spellStart"/>
      <w:r w:rsidRPr="00210E93">
        <w:rPr>
          <w:rFonts w:ascii="Times New Roman" w:hAnsi="Times New Roman" w:cs="Times New Roman"/>
          <w:sz w:val="24"/>
          <w:szCs w:val="24"/>
          <w:highlight w:val="yellow"/>
          <w:shd w:val="clear" w:color="auto" w:fill="FFFFFF"/>
          <w:lang w:val="en-GB"/>
        </w:rPr>
        <w:t>Kollman</w:t>
      </w:r>
      <w:proofErr w:type="spellEnd"/>
      <w:r w:rsidRPr="00210E93">
        <w:rPr>
          <w:rFonts w:ascii="Times New Roman" w:hAnsi="Times New Roman" w:cs="Times New Roman"/>
          <w:sz w:val="24"/>
          <w:szCs w:val="24"/>
          <w:highlight w:val="yellow"/>
          <w:shd w:val="clear" w:color="auto" w:fill="FFFFFF"/>
          <w:lang w:val="en-GB"/>
        </w:rPr>
        <w:t xml:space="preserve">, J. </w:t>
      </w:r>
      <w:proofErr w:type="spellStart"/>
      <w:r w:rsidRPr="00210E93">
        <w:rPr>
          <w:rFonts w:ascii="Times New Roman" w:hAnsi="Times New Roman" w:cs="Times New Roman"/>
          <w:sz w:val="24"/>
          <w:szCs w:val="24"/>
          <w:highlight w:val="yellow"/>
          <w:shd w:val="clear" w:color="auto" w:fill="FFFFFF"/>
          <w:lang w:val="en-GB"/>
        </w:rPr>
        <w:t>Comput</w:t>
      </w:r>
      <w:proofErr w:type="spellEnd"/>
      <w:r w:rsidRPr="00210E93">
        <w:rPr>
          <w:rFonts w:ascii="Times New Roman" w:hAnsi="Times New Roman" w:cs="Times New Roman"/>
          <w:sz w:val="24"/>
          <w:szCs w:val="24"/>
          <w:highlight w:val="yellow"/>
          <w:shd w:val="clear" w:color="auto" w:fill="FFFFFF"/>
          <w:lang w:val="en-GB"/>
        </w:rPr>
        <w:t>. Chem. 16 (1995) 1357-1377. https://doi.org/10.1002/jcc.540161106</w:t>
      </w:r>
    </w:p>
    <w:p w14:paraId="46C97F52" w14:textId="67885D35" w:rsidR="00D876D5" w:rsidRPr="00210E93" w:rsidRDefault="00D876D5"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M.J. Frisch, G.W. Trucks, H.B. Schlegel, G.E. </w:t>
      </w:r>
      <w:proofErr w:type="spellStart"/>
      <w:r w:rsidRPr="00210E93">
        <w:rPr>
          <w:rFonts w:ascii="Times New Roman" w:hAnsi="Times New Roman" w:cs="Times New Roman"/>
          <w:sz w:val="24"/>
          <w:szCs w:val="24"/>
          <w:highlight w:val="yellow"/>
          <w:shd w:val="clear" w:color="auto" w:fill="FFFFFF"/>
          <w:lang w:val="en-GB"/>
        </w:rPr>
        <w:t>Scuseria</w:t>
      </w:r>
      <w:proofErr w:type="spellEnd"/>
      <w:r w:rsidRPr="00210E93">
        <w:rPr>
          <w:rFonts w:ascii="Times New Roman" w:hAnsi="Times New Roman" w:cs="Times New Roman"/>
          <w:sz w:val="24"/>
          <w:szCs w:val="24"/>
          <w:highlight w:val="yellow"/>
          <w:shd w:val="clear" w:color="auto" w:fill="FFFFFF"/>
          <w:lang w:val="en-GB"/>
        </w:rPr>
        <w:t>, M.A. Robb, J.R. Cheeseman, et al. Gaussian 09 Revision D.01., Gaussian Inc., Wallingford CT. (2010).</w:t>
      </w:r>
    </w:p>
    <w:p w14:paraId="756CBA9A" w14:textId="101BDB73" w:rsidR="00D876D5" w:rsidRPr="00210E93" w:rsidRDefault="00027267"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J.P. </w:t>
      </w:r>
      <w:proofErr w:type="spellStart"/>
      <w:r w:rsidRPr="00210E93">
        <w:rPr>
          <w:rFonts w:ascii="Times New Roman" w:hAnsi="Times New Roman" w:cs="Times New Roman"/>
          <w:sz w:val="24"/>
          <w:szCs w:val="24"/>
          <w:highlight w:val="yellow"/>
          <w:shd w:val="clear" w:color="auto" w:fill="FFFFFF"/>
          <w:lang w:val="en-GB"/>
        </w:rPr>
        <w:t>Ryckaert</w:t>
      </w:r>
      <w:proofErr w:type="spellEnd"/>
      <w:r w:rsidRPr="00210E93">
        <w:rPr>
          <w:rFonts w:ascii="Times New Roman" w:hAnsi="Times New Roman" w:cs="Times New Roman"/>
          <w:sz w:val="24"/>
          <w:szCs w:val="24"/>
          <w:highlight w:val="yellow"/>
          <w:shd w:val="clear" w:color="auto" w:fill="FFFFFF"/>
          <w:lang w:val="en-GB"/>
        </w:rPr>
        <w:t xml:space="preserve">, G. </w:t>
      </w:r>
      <w:proofErr w:type="spellStart"/>
      <w:r w:rsidRPr="00210E93">
        <w:rPr>
          <w:rFonts w:ascii="Times New Roman" w:hAnsi="Times New Roman" w:cs="Times New Roman"/>
          <w:sz w:val="24"/>
          <w:szCs w:val="24"/>
          <w:highlight w:val="yellow"/>
          <w:shd w:val="clear" w:color="auto" w:fill="FFFFFF"/>
          <w:lang w:val="en-GB"/>
        </w:rPr>
        <w:t>Ciccotti</w:t>
      </w:r>
      <w:proofErr w:type="spellEnd"/>
      <w:r w:rsidRPr="00210E93">
        <w:rPr>
          <w:rFonts w:ascii="Times New Roman" w:hAnsi="Times New Roman" w:cs="Times New Roman"/>
          <w:sz w:val="24"/>
          <w:szCs w:val="24"/>
          <w:highlight w:val="yellow"/>
          <w:shd w:val="clear" w:color="auto" w:fill="FFFFFF"/>
          <w:lang w:val="en-GB"/>
        </w:rPr>
        <w:t xml:space="preserve">, H.J.C. Berendsen, J. </w:t>
      </w:r>
      <w:proofErr w:type="spellStart"/>
      <w:r w:rsidRPr="00210E93">
        <w:rPr>
          <w:rFonts w:ascii="Times New Roman" w:hAnsi="Times New Roman" w:cs="Times New Roman"/>
          <w:sz w:val="24"/>
          <w:szCs w:val="24"/>
          <w:highlight w:val="yellow"/>
          <w:shd w:val="clear" w:color="auto" w:fill="FFFFFF"/>
          <w:lang w:val="en-GB"/>
        </w:rPr>
        <w:t>Comput</w:t>
      </w:r>
      <w:proofErr w:type="spellEnd"/>
      <w:r w:rsidRPr="00210E93">
        <w:rPr>
          <w:rFonts w:ascii="Times New Roman" w:hAnsi="Times New Roman" w:cs="Times New Roman"/>
          <w:sz w:val="24"/>
          <w:szCs w:val="24"/>
          <w:highlight w:val="yellow"/>
          <w:shd w:val="clear" w:color="auto" w:fill="FFFFFF"/>
          <w:lang w:val="en-GB"/>
        </w:rPr>
        <w:t>. Phys. 23 (1977) 327-341. https://doi.org/10.1016/0021-9991(77)90098-5</w:t>
      </w:r>
    </w:p>
    <w:p w14:paraId="17BE7FFB" w14:textId="39101E44" w:rsidR="00027267" w:rsidRPr="00210E93" w:rsidRDefault="00027267"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T. Darden, D. York, L. Pedersen, J. Chem. Phys. 98 (1993) 10089. https://doi.org/10.1063/1.464397</w:t>
      </w:r>
    </w:p>
    <w:p w14:paraId="3A65F843" w14:textId="0640B924" w:rsidR="00027267" w:rsidRPr="00210E93" w:rsidRDefault="00027267"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lastRenderedPageBreak/>
        <w:t xml:space="preserve">A.W. </w:t>
      </w:r>
      <w:proofErr w:type="spellStart"/>
      <w:r w:rsidRPr="00210E93">
        <w:rPr>
          <w:rFonts w:ascii="Times New Roman" w:hAnsi="Times New Roman" w:cs="Times New Roman"/>
          <w:sz w:val="24"/>
          <w:szCs w:val="24"/>
          <w:highlight w:val="yellow"/>
          <w:shd w:val="clear" w:color="auto" w:fill="FFFFFF"/>
          <w:lang w:val="en-GB"/>
        </w:rPr>
        <w:t>Götz</w:t>
      </w:r>
      <w:proofErr w:type="spellEnd"/>
      <w:r w:rsidRPr="00210E93">
        <w:rPr>
          <w:rFonts w:ascii="Times New Roman" w:hAnsi="Times New Roman" w:cs="Times New Roman"/>
          <w:sz w:val="24"/>
          <w:szCs w:val="24"/>
          <w:highlight w:val="yellow"/>
          <w:shd w:val="clear" w:color="auto" w:fill="FFFFFF"/>
          <w:lang w:val="en-GB"/>
        </w:rPr>
        <w:t xml:space="preserve">, M.J. Williamson, D. Xu, D. Poole, S. Le Grand, R.C. Walker, J. Chem. Theory </w:t>
      </w:r>
      <w:proofErr w:type="spellStart"/>
      <w:r w:rsidRPr="00210E93">
        <w:rPr>
          <w:rFonts w:ascii="Times New Roman" w:hAnsi="Times New Roman" w:cs="Times New Roman"/>
          <w:sz w:val="24"/>
          <w:szCs w:val="24"/>
          <w:highlight w:val="yellow"/>
          <w:shd w:val="clear" w:color="auto" w:fill="FFFFFF"/>
          <w:lang w:val="en-GB"/>
        </w:rPr>
        <w:t>Comput</w:t>
      </w:r>
      <w:proofErr w:type="spellEnd"/>
      <w:r w:rsidRPr="00210E93">
        <w:rPr>
          <w:rFonts w:ascii="Times New Roman" w:hAnsi="Times New Roman" w:cs="Times New Roman"/>
          <w:sz w:val="24"/>
          <w:szCs w:val="24"/>
          <w:highlight w:val="yellow"/>
          <w:shd w:val="clear" w:color="auto" w:fill="FFFFFF"/>
          <w:lang w:val="en-GB"/>
        </w:rPr>
        <w:t>. 8 (2012) 1542-1555. https://doi.org/10.1021/ct200909j</w:t>
      </w:r>
    </w:p>
    <w:p w14:paraId="7C0B3EDD" w14:textId="3D1DFFF0" w:rsidR="00027267" w:rsidRPr="00210E93" w:rsidRDefault="00E705CD"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R. Salomon-Ferrer, A.W. </w:t>
      </w:r>
      <w:proofErr w:type="spellStart"/>
      <w:r w:rsidRPr="00210E93">
        <w:rPr>
          <w:rFonts w:ascii="Times New Roman" w:hAnsi="Times New Roman" w:cs="Times New Roman"/>
          <w:sz w:val="24"/>
          <w:szCs w:val="24"/>
          <w:highlight w:val="yellow"/>
          <w:shd w:val="clear" w:color="auto" w:fill="FFFFFF"/>
          <w:lang w:val="en-GB"/>
        </w:rPr>
        <w:t>Götz</w:t>
      </w:r>
      <w:proofErr w:type="spellEnd"/>
      <w:r w:rsidRPr="00210E93">
        <w:rPr>
          <w:rFonts w:ascii="Times New Roman" w:hAnsi="Times New Roman" w:cs="Times New Roman"/>
          <w:sz w:val="24"/>
          <w:szCs w:val="24"/>
          <w:highlight w:val="yellow"/>
          <w:shd w:val="clear" w:color="auto" w:fill="FFFFFF"/>
          <w:lang w:val="en-GB"/>
        </w:rPr>
        <w:t xml:space="preserve">, D. Poole, S. Le Grand, R.C. Walker, </w:t>
      </w:r>
      <w:r w:rsidR="005A76EC" w:rsidRPr="00210E93">
        <w:rPr>
          <w:rFonts w:ascii="Times New Roman" w:hAnsi="Times New Roman" w:cs="Times New Roman"/>
          <w:sz w:val="24"/>
          <w:szCs w:val="24"/>
          <w:highlight w:val="yellow"/>
          <w:shd w:val="clear" w:color="auto" w:fill="FFFFFF"/>
          <w:lang w:val="en-GB"/>
        </w:rPr>
        <w:t xml:space="preserve">J. Chem. Theory </w:t>
      </w:r>
      <w:proofErr w:type="spellStart"/>
      <w:r w:rsidR="005A76EC" w:rsidRPr="00210E93">
        <w:rPr>
          <w:rFonts w:ascii="Times New Roman" w:hAnsi="Times New Roman" w:cs="Times New Roman"/>
          <w:sz w:val="24"/>
          <w:szCs w:val="24"/>
          <w:highlight w:val="yellow"/>
          <w:shd w:val="clear" w:color="auto" w:fill="FFFFFF"/>
          <w:lang w:val="en-GB"/>
        </w:rPr>
        <w:t>Comput</w:t>
      </w:r>
      <w:proofErr w:type="spellEnd"/>
      <w:r w:rsidR="005A76EC" w:rsidRPr="00210E93">
        <w:rPr>
          <w:rFonts w:ascii="Times New Roman" w:hAnsi="Times New Roman" w:cs="Times New Roman"/>
          <w:sz w:val="24"/>
          <w:szCs w:val="24"/>
          <w:highlight w:val="yellow"/>
          <w:shd w:val="clear" w:color="auto" w:fill="FFFFFF"/>
          <w:lang w:val="en-GB"/>
        </w:rPr>
        <w:t>. 9 (2013) 3878-3888</w:t>
      </w:r>
      <w:r w:rsidRPr="00210E93">
        <w:rPr>
          <w:rFonts w:ascii="Times New Roman" w:hAnsi="Times New Roman" w:cs="Times New Roman"/>
          <w:sz w:val="24"/>
          <w:szCs w:val="24"/>
          <w:highlight w:val="yellow"/>
          <w:shd w:val="clear" w:color="auto" w:fill="FFFFFF"/>
          <w:lang w:val="en-GB"/>
        </w:rPr>
        <w:t>. https://doi.org/10.1021/ct400314y</w:t>
      </w:r>
    </w:p>
    <w:p w14:paraId="42F070BB" w14:textId="16500A3D" w:rsidR="005A76EC" w:rsidRPr="00210E93" w:rsidRDefault="005A76EC"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D. Case, R.M. Betz, D.S. </w:t>
      </w:r>
      <w:proofErr w:type="spellStart"/>
      <w:r w:rsidRPr="00210E93">
        <w:rPr>
          <w:rFonts w:ascii="Times New Roman" w:hAnsi="Times New Roman" w:cs="Times New Roman"/>
          <w:sz w:val="24"/>
          <w:szCs w:val="24"/>
          <w:highlight w:val="yellow"/>
          <w:shd w:val="clear" w:color="auto" w:fill="FFFFFF"/>
          <w:lang w:val="en-GB"/>
        </w:rPr>
        <w:t>Cerutti</w:t>
      </w:r>
      <w:proofErr w:type="spellEnd"/>
      <w:r w:rsidRPr="00210E93">
        <w:rPr>
          <w:rFonts w:ascii="Times New Roman" w:hAnsi="Times New Roman" w:cs="Times New Roman"/>
          <w:sz w:val="24"/>
          <w:szCs w:val="24"/>
          <w:highlight w:val="yellow"/>
          <w:shd w:val="clear" w:color="auto" w:fill="FFFFFF"/>
          <w:lang w:val="en-GB"/>
        </w:rPr>
        <w:t>, T.E. Cheatham III, T.A. Darden, R.E. Duke, et al., Amber 2016, University of California, San Francisco. (2016).</w:t>
      </w:r>
    </w:p>
    <w:p w14:paraId="17A58FAB" w14:textId="0BCE09EA" w:rsidR="005A76EC" w:rsidRPr="00210E93" w:rsidRDefault="005A76EC"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M. </w:t>
      </w:r>
      <w:proofErr w:type="spellStart"/>
      <w:r w:rsidRPr="00210E93">
        <w:rPr>
          <w:rFonts w:ascii="Times New Roman" w:hAnsi="Times New Roman" w:cs="Times New Roman"/>
          <w:sz w:val="24"/>
          <w:szCs w:val="24"/>
          <w:highlight w:val="yellow"/>
          <w:shd w:val="clear" w:color="auto" w:fill="FFFFFF"/>
          <w:lang w:val="en-GB"/>
        </w:rPr>
        <w:t>Smaïhi</w:t>
      </w:r>
      <w:proofErr w:type="spellEnd"/>
      <w:r w:rsidRPr="00210E93">
        <w:rPr>
          <w:rFonts w:ascii="Times New Roman" w:hAnsi="Times New Roman" w:cs="Times New Roman"/>
          <w:sz w:val="24"/>
          <w:szCs w:val="24"/>
          <w:highlight w:val="yellow"/>
          <w:shd w:val="clear" w:color="auto" w:fill="FFFFFF"/>
          <w:lang w:val="en-GB"/>
        </w:rPr>
        <w:t xml:space="preserve">, E. Gavilan, J.O. Durand, V.P. </w:t>
      </w:r>
      <w:proofErr w:type="spellStart"/>
      <w:r w:rsidRPr="00210E93">
        <w:rPr>
          <w:rFonts w:ascii="Times New Roman" w:hAnsi="Times New Roman" w:cs="Times New Roman"/>
          <w:sz w:val="24"/>
          <w:szCs w:val="24"/>
          <w:highlight w:val="yellow"/>
          <w:shd w:val="clear" w:color="auto" w:fill="FFFFFF"/>
          <w:lang w:val="en-GB"/>
        </w:rPr>
        <w:t>Valtchev</w:t>
      </w:r>
      <w:proofErr w:type="spellEnd"/>
      <w:r w:rsidRPr="00210E93">
        <w:rPr>
          <w:rFonts w:ascii="Times New Roman" w:hAnsi="Times New Roman" w:cs="Times New Roman"/>
          <w:sz w:val="24"/>
          <w:szCs w:val="24"/>
          <w:highlight w:val="yellow"/>
          <w:shd w:val="clear" w:color="auto" w:fill="FFFFFF"/>
          <w:lang w:val="en-GB"/>
        </w:rPr>
        <w:t>, J. Mater. Chem. 14 (2004) 1347-1351. https://doi.org/10.1039/b400521j</w:t>
      </w:r>
    </w:p>
    <w:p w14:paraId="7A5F0F79" w14:textId="69AFC635" w:rsidR="005A76EC" w:rsidRPr="00210E93" w:rsidRDefault="005A76EC"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S. Laurent, E.P. Ng, C. </w:t>
      </w:r>
      <w:proofErr w:type="spellStart"/>
      <w:r w:rsidRPr="00210E93">
        <w:rPr>
          <w:rFonts w:ascii="Times New Roman" w:hAnsi="Times New Roman" w:cs="Times New Roman"/>
          <w:sz w:val="24"/>
          <w:szCs w:val="24"/>
          <w:highlight w:val="yellow"/>
          <w:shd w:val="clear" w:color="auto" w:fill="FFFFFF"/>
          <w:lang w:val="en-GB"/>
        </w:rPr>
        <w:t>Thirifays</w:t>
      </w:r>
      <w:proofErr w:type="spellEnd"/>
      <w:r w:rsidRPr="00210E93">
        <w:rPr>
          <w:rFonts w:ascii="Times New Roman" w:hAnsi="Times New Roman" w:cs="Times New Roman"/>
          <w:sz w:val="24"/>
          <w:szCs w:val="24"/>
          <w:highlight w:val="yellow"/>
          <w:shd w:val="clear" w:color="auto" w:fill="FFFFFF"/>
          <w:lang w:val="en-GB"/>
        </w:rPr>
        <w:t xml:space="preserve">, L. </w:t>
      </w:r>
      <w:proofErr w:type="spellStart"/>
      <w:r w:rsidRPr="00210E93">
        <w:rPr>
          <w:rFonts w:ascii="Times New Roman" w:hAnsi="Times New Roman" w:cs="Times New Roman"/>
          <w:sz w:val="24"/>
          <w:szCs w:val="24"/>
          <w:highlight w:val="yellow"/>
          <w:shd w:val="clear" w:color="auto" w:fill="FFFFFF"/>
          <w:lang w:val="en-GB"/>
        </w:rPr>
        <w:t>Lakiss</w:t>
      </w:r>
      <w:proofErr w:type="spellEnd"/>
      <w:r w:rsidRPr="00210E93">
        <w:rPr>
          <w:rFonts w:ascii="Times New Roman" w:hAnsi="Times New Roman" w:cs="Times New Roman"/>
          <w:sz w:val="24"/>
          <w:szCs w:val="24"/>
          <w:highlight w:val="yellow"/>
          <w:shd w:val="clear" w:color="auto" w:fill="FFFFFF"/>
          <w:lang w:val="en-GB"/>
        </w:rPr>
        <w:t xml:space="preserve">, G.M. </w:t>
      </w:r>
      <w:proofErr w:type="spellStart"/>
      <w:r w:rsidRPr="00210E93">
        <w:rPr>
          <w:rFonts w:ascii="Times New Roman" w:hAnsi="Times New Roman" w:cs="Times New Roman"/>
          <w:sz w:val="24"/>
          <w:szCs w:val="24"/>
          <w:highlight w:val="yellow"/>
          <w:shd w:val="clear" w:color="auto" w:fill="FFFFFF"/>
          <w:lang w:val="en-GB"/>
        </w:rPr>
        <w:t>Goupil</w:t>
      </w:r>
      <w:proofErr w:type="spellEnd"/>
      <w:r w:rsidRPr="00210E93">
        <w:rPr>
          <w:rFonts w:ascii="Times New Roman" w:hAnsi="Times New Roman" w:cs="Times New Roman"/>
          <w:sz w:val="24"/>
          <w:szCs w:val="24"/>
          <w:highlight w:val="yellow"/>
          <w:shd w:val="clear" w:color="auto" w:fill="FFFFFF"/>
          <w:lang w:val="en-GB"/>
        </w:rPr>
        <w:t xml:space="preserve">, S. </w:t>
      </w:r>
      <w:proofErr w:type="spellStart"/>
      <w:r w:rsidRPr="00210E93">
        <w:rPr>
          <w:rFonts w:ascii="Times New Roman" w:hAnsi="Times New Roman" w:cs="Times New Roman"/>
          <w:sz w:val="24"/>
          <w:szCs w:val="24"/>
          <w:highlight w:val="yellow"/>
          <w:shd w:val="clear" w:color="auto" w:fill="FFFFFF"/>
          <w:lang w:val="en-GB"/>
        </w:rPr>
        <w:t>Mintova</w:t>
      </w:r>
      <w:proofErr w:type="spellEnd"/>
      <w:r w:rsidRPr="00210E93">
        <w:rPr>
          <w:rFonts w:ascii="Times New Roman" w:hAnsi="Times New Roman" w:cs="Times New Roman"/>
          <w:sz w:val="24"/>
          <w:szCs w:val="24"/>
          <w:highlight w:val="yellow"/>
          <w:shd w:val="clear" w:color="auto" w:fill="FFFFFF"/>
          <w:lang w:val="en-GB"/>
        </w:rPr>
        <w:t xml:space="preserve">, C. </w:t>
      </w:r>
      <w:proofErr w:type="spellStart"/>
      <w:r w:rsidRPr="00210E93">
        <w:rPr>
          <w:rFonts w:ascii="Times New Roman" w:hAnsi="Times New Roman" w:cs="Times New Roman"/>
          <w:sz w:val="24"/>
          <w:szCs w:val="24"/>
          <w:highlight w:val="yellow"/>
          <w:shd w:val="clear" w:color="auto" w:fill="FFFFFF"/>
          <w:lang w:val="en-GB"/>
        </w:rPr>
        <w:t>Burtea</w:t>
      </w:r>
      <w:proofErr w:type="spellEnd"/>
      <w:r w:rsidRPr="00210E93">
        <w:rPr>
          <w:rFonts w:ascii="Times New Roman" w:hAnsi="Times New Roman" w:cs="Times New Roman"/>
          <w:sz w:val="24"/>
          <w:szCs w:val="24"/>
          <w:highlight w:val="yellow"/>
          <w:shd w:val="clear" w:color="auto" w:fill="FFFFFF"/>
          <w:lang w:val="en-GB"/>
        </w:rPr>
        <w:t xml:space="preserve">, E. </w:t>
      </w:r>
      <w:proofErr w:type="spellStart"/>
      <w:r w:rsidRPr="00210E93">
        <w:rPr>
          <w:rFonts w:ascii="Times New Roman" w:hAnsi="Times New Roman" w:cs="Times New Roman"/>
          <w:sz w:val="24"/>
          <w:szCs w:val="24"/>
          <w:highlight w:val="yellow"/>
          <w:shd w:val="clear" w:color="auto" w:fill="FFFFFF"/>
          <w:lang w:val="en-GB"/>
        </w:rPr>
        <w:t>Oveisi</w:t>
      </w:r>
      <w:proofErr w:type="spellEnd"/>
      <w:r w:rsidRPr="00210E93">
        <w:rPr>
          <w:rFonts w:ascii="Times New Roman" w:hAnsi="Times New Roman" w:cs="Times New Roman"/>
          <w:sz w:val="24"/>
          <w:szCs w:val="24"/>
          <w:highlight w:val="yellow"/>
          <w:shd w:val="clear" w:color="auto" w:fill="FFFFFF"/>
          <w:lang w:val="en-GB"/>
        </w:rPr>
        <w:t xml:space="preserve">, C. Hébert, M. De Vries, M.M. </w:t>
      </w:r>
      <w:proofErr w:type="spellStart"/>
      <w:r w:rsidRPr="00210E93">
        <w:rPr>
          <w:rFonts w:ascii="Times New Roman" w:hAnsi="Times New Roman" w:cs="Times New Roman"/>
          <w:sz w:val="24"/>
          <w:szCs w:val="24"/>
          <w:highlight w:val="yellow"/>
          <w:shd w:val="clear" w:color="auto" w:fill="FFFFFF"/>
          <w:lang w:val="en-GB"/>
        </w:rPr>
        <w:t>Motazacker</w:t>
      </w:r>
      <w:proofErr w:type="spellEnd"/>
      <w:r w:rsidRPr="00210E93">
        <w:rPr>
          <w:rFonts w:ascii="Times New Roman" w:hAnsi="Times New Roman" w:cs="Times New Roman"/>
          <w:sz w:val="24"/>
          <w:szCs w:val="24"/>
          <w:highlight w:val="yellow"/>
          <w:shd w:val="clear" w:color="auto" w:fill="FFFFFF"/>
          <w:lang w:val="en-GB"/>
        </w:rPr>
        <w:t xml:space="preserve">, F. </w:t>
      </w:r>
      <w:proofErr w:type="spellStart"/>
      <w:r w:rsidRPr="00210E93">
        <w:rPr>
          <w:rFonts w:ascii="Times New Roman" w:hAnsi="Times New Roman" w:cs="Times New Roman"/>
          <w:sz w:val="24"/>
          <w:szCs w:val="24"/>
          <w:highlight w:val="yellow"/>
          <w:shd w:val="clear" w:color="auto" w:fill="FFFFFF"/>
          <w:lang w:val="en-GB"/>
        </w:rPr>
        <w:t>Rezaee</w:t>
      </w:r>
      <w:proofErr w:type="spellEnd"/>
      <w:r w:rsidRPr="00210E93">
        <w:rPr>
          <w:rFonts w:ascii="Times New Roman" w:hAnsi="Times New Roman" w:cs="Times New Roman"/>
          <w:sz w:val="24"/>
          <w:szCs w:val="24"/>
          <w:highlight w:val="yellow"/>
          <w:shd w:val="clear" w:color="auto" w:fill="FFFFFF"/>
          <w:lang w:val="en-GB"/>
        </w:rPr>
        <w:t xml:space="preserve">, M. </w:t>
      </w:r>
      <w:proofErr w:type="spellStart"/>
      <w:r w:rsidRPr="00210E93">
        <w:rPr>
          <w:rFonts w:ascii="Times New Roman" w:hAnsi="Times New Roman" w:cs="Times New Roman"/>
          <w:sz w:val="24"/>
          <w:szCs w:val="24"/>
          <w:highlight w:val="yellow"/>
          <w:shd w:val="clear" w:color="auto" w:fill="FFFFFF"/>
          <w:lang w:val="en-GB"/>
        </w:rPr>
        <w:t>Mahmoudi</w:t>
      </w:r>
      <w:proofErr w:type="spellEnd"/>
      <w:r w:rsidRPr="00210E93">
        <w:rPr>
          <w:rFonts w:ascii="Times New Roman" w:hAnsi="Times New Roman" w:cs="Times New Roman"/>
          <w:sz w:val="24"/>
          <w:szCs w:val="24"/>
          <w:highlight w:val="yellow"/>
          <w:shd w:val="clear" w:color="auto" w:fill="FFFFFF"/>
          <w:lang w:val="en-GB"/>
        </w:rPr>
        <w:t xml:space="preserve">, </w:t>
      </w:r>
      <w:proofErr w:type="spellStart"/>
      <w:r w:rsidRPr="00210E93">
        <w:rPr>
          <w:rFonts w:ascii="Times New Roman" w:hAnsi="Times New Roman" w:cs="Times New Roman"/>
          <w:sz w:val="24"/>
          <w:szCs w:val="24"/>
          <w:highlight w:val="yellow"/>
          <w:shd w:val="clear" w:color="auto" w:fill="FFFFFF"/>
          <w:lang w:val="en-GB"/>
        </w:rPr>
        <w:t>Toxicol</w:t>
      </w:r>
      <w:proofErr w:type="spellEnd"/>
      <w:r w:rsidRPr="00210E93">
        <w:rPr>
          <w:rFonts w:ascii="Times New Roman" w:hAnsi="Times New Roman" w:cs="Times New Roman"/>
          <w:sz w:val="24"/>
          <w:szCs w:val="24"/>
          <w:highlight w:val="yellow"/>
          <w:shd w:val="clear" w:color="auto" w:fill="FFFFFF"/>
          <w:lang w:val="en-GB"/>
        </w:rPr>
        <w:t>. Res. 2 (2013) 270-279. https://doi.org/10.1039/c3tx50023c</w:t>
      </w:r>
    </w:p>
    <w:p w14:paraId="1753DC76" w14:textId="16678D80" w:rsidR="005A76EC" w:rsidRPr="00210E93" w:rsidRDefault="005A76EC"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J.F. De La Paz, N. </w:t>
      </w:r>
      <w:proofErr w:type="spellStart"/>
      <w:r w:rsidRPr="00210E93">
        <w:rPr>
          <w:rFonts w:ascii="Times New Roman" w:hAnsi="Times New Roman" w:cs="Times New Roman"/>
          <w:sz w:val="24"/>
          <w:szCs w:val="24"/>
          <w:highlight w:val="yellow"/>
          <w:shd w:val="clear" w:color="auto" w:fill="FFFFFF"/>
          <w:lang w:val="en-GB"/>
        </w:rPr>
        <w:t>Beiza</w:t>
      </w:r>
      <w:proofErr w:type="spellEnd"/>
      <w:r w:rsidRPr="00210E93">
        <w:rPr>
          <w:rFonts w:ascii="Times New Roman" w:hAnsi="Times New Roman" w:cs="Times New Roman"/>
          <w:sz w:val="24"/>
          <w:szCs w:val="24"/>
          <w:highlight w:val="yellow"/>
          <w:shd w:val="clear" w:color="auto" w:fill="FFFFFF"/>
          <w:lang w:val="en-GB"/>
        </w:rPr>
        <w:t>, S. Paredes-</w:t>
      </w:r>
      <w:proofErr w:type="spellStart"/>
      <w:r w:rsidRPr="00210E93">
        <w:rPr>
          <w:rFonts w:ascii="Times New Roman" w:hAnsi="Times New Roman" w:cs="Times New Roman"/>
          <w:sz w:val="24"/>
          <w:szCs w:val="24"/>
          <w:highlight w:val="yellow"/>
          <w:shd w:val="clear" w:color="auto" w:fill="FFFFFF"/>
          <w:lang w:val="en-GB"/>
        </w:rPr>
        <w:t>Zúñiga</w:t>
      </w:r>
      <w:proofErr w:type="spellEnd"/>
      <w:r w:rsidRPr="00210E93">
        <w:rPr>
          <w:rFonts w:ascii="Times New Roman" w:hAnsi="Times New Roman" w:cs="Times New Roman"/>
          <w:sz w:val="24"/>
          <w:szCs w:val="24"/>
          <w:highlight w:val="yellow"/>
          <w:shd w:val="clear" w:color="auto" w:fill="FFFFFF"/>
          <w:lang w:val="en-GB"/>
        </w:rPr>
        <w:t>, M.S. Hoare, M.L. Allende, Int. J. Mol. Sci. 18 (2017) 710. https://doi.org/10.3390/ijms18040710</w:t>
      </w:r>
    </w:p>
    <w:p w14:paraId="1DAC1A14" w14:textId="61028EF7" w:rsidR="005A76EC" w:rsidRPr="00210E93" w:rsidRDefault="00B204A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K. Sano, K. </w:t>
      </w:r>
      <w:proofErr w:type="spellStart"/>
      <w:r w:rsidRPr="00210E93">
        <w:rPr>
          <w:rFonts w:ascii="Times New Roman" w:hAnsi="Times New Roman" w:cs="Times New Roman"/>
          <w:sz w:val="24"/>
          <w:szCs w:val="24"/>
          <w:highlight w:val="yellow"/>
          <w:shd w:val="clear" w:color="auto" w:fill="FFFFFF"/>
          <w:lang w:val="en-GB"/>
        </w:rPr>
        <w:t>Inohaya</w:t>
      </w:r>
      <w:proofErr w:type="spellEnd"/>
      <w:r w:rsidRPr="00210E93">
        <w:rPr>
          <w:rFonts w:ascii="Times New Roman" w:hAnsi="Times New Roman" w:cs="Times New Roman"/>
          <w:sz w:val="24"/>
          <w:szCs w:val="24"/>
          <w:highlight w:val="yellow"/>
          <w:shd w:val="clear" w:color="auto" w:fill="FFFFFF"/>
          <w:lang w:val="en-GB"/>
        </w:rPr>
        <w:t xml:space="preserve">, M. Kawaguchi, N. </w:t>
      </w:r>
      <w:proofErr w:type="spellStart"/>
      <w:r w:rsidRPr="00210E93">
        <w:rPr>
          <w:rFonts w:ascii="Times New Roman" w:hAnsi="Times New Roman" w:cs="Times New Roman"/>
          <w:sz w:val="24"/>
          <w:szCs w:val="24"/>
          <w:highlight w:val="yellow"/>
          <w:shd w:val="clear" w:color="auto" w:fill="FFFFFF"/>
          <w:lang w:val="en-GB"/>
        </w:rPr>
        <w:t>Yoshizaki</w:t>
      </w:r>
      <w:proofErr w:type="spellEnd"/>
      <w:r w:rsidRPr="00210E93">
        <w:rPr>
          <w:rFonts w:ascii="Times New Roman" w:hAnsi="Times New Roman" w:cs="Times New Roman"/>
          <w:sz w:val="24"/>
          <w:szCs w:val="24"/>
          <w:highlight w:val="yellow"/>
          <w:shd w:val="clear" w:color="auto" w:fill="FFFFFF"/>
          <w:lang w:val="en-GB"/>
        </w:rPr>
        <w:t xml:space="preserve">, I. </w:t>
      </w:r>
      <w:proofErr w:type="spellStart"/>
      <w:r w:rsidRPr="00210E93">
        <w:rPr>
          <w:rFonts w:ascii="Times New Roman" w:hAnsi="Times New Roman" w:cs="Times New Roman"/>
          <w:sz w:val="24"/>
          <w:szCs w:val="24"/>
          <w:highlight w:val="yellow"/>
          <w:shd w:val="clear" w:color="auto" w:fill="FFFFFF"/>
          <w:lang w:val="en-GB"/>
        </w:rPr>
        <w:t>Iuchi</w:t>
      </w:r>
      <w:proofErr w:type="spellEnd"/>
      <w:r w:rsidRPr="00210E93">
        <w:rPr>
          <w:rFonts w:ascii="Times New Roman" w:hAnsi="Times New Roman" w:cs="Times New Roman"/>
          <w:sz w:val="24"/>
          <w:szCs w:val="24"/>
          <w:highlight w:val="yellow"/>
          <w:shd w:val="clear" w:color="auto" w:fill="FFFFFF"/>
          <w:lang w:val="en-GB"/>
        </w:rPr>
        <w:t xml:space="preserve">, S. </w:t>
      </w:r>
      <w:proofErr w:type="spellStart"/>
      <w:r w:rsidRPr="00210E93">
        <w:rPr>
          <w:rFonts w:ascii="Times New Roman" w:hAnsi="Times New Roman" w:cs="Times New Roman"/>
          <w:sz w:val="24"/>
          <w:szCs w:val="24"/>
          <w:highlight w:val="yellow"/>
          <w:shd w:val="clear" w:color="auto" w:fill="FFFFFF"/>
          <w:lang w:val="en-GB"/>
        </w:rPr>
        <w:t>Yasumasu</w:t>
      </w:r>
      <w:proofErr w:type="spellEnd"/>
      <w:r w:rsidRPr="00210E93">
        <w:rPr>
          <w:rFonts w:ascii="Times New Roman" w:hAnsi="Times New Roman" w:cs="Times New Roman"/>
          <w:sz w:val="24"/>
          <w:szCs w:val="24"/>
          <w:highlight w:val="yellow"/>
          <w:shd w:val="clear" w:color="auto" w:fill="FFFFFF"/>
          <w:lang w:val="en-GB"/>
        </w:rPr>
        <w:t>, FEBS J. 275 (2008) 5934-5946. https://doi.org/10.1111/j.1742-4658.2008.06722.x</w:t>
      </w:r>
    </w:p>
    <w:p w14:paraId="3A338973" w14:textId="130AA500" w:rsidR="00B204A1" w:rsidRPr="00210E93" w:rsidRDefault="00B204A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J. </w:t>
      </w:r>
      <w:proofErr w:type="spellStart"/>
      <w:r w:rsidRPr="00210E93">
        <w:rPr>
          <w:rFonts w:ascii="Times New Roman" w:hAnsi="Times New Roman" w:cs="Times New Roman"/>
          <w:sz w:val="24"/>
          <w:szCs w:val="24"/>
          <w:highlight w:val="yellow"/>
          <w:shd w:val="clear" w:color="auto" w:fill="FFFFFF"/>
          <w:lang w:val="en-GB"/>
        </w:rPr>
        <w:t>Stojan</w:t>
      </w:r>
      <w:proofErr w:type="spellEnd"/>
      <w:r w:rsidRPr="00210E93">
        <w:rPr>
          <w:rFonts w:ascii="Times New Roman" w:hAnsi="Times New Roman" w:cs="Times New Roman"/>
          <w:sz w:val="24"/>
          <w:szCs w:val="24"/>
          <w:highlight w:val="yellow"/>
          <w:shd w:val="clear" w:color="auto" w:fill="FFFFFF"/>
          <w:lang w:val="en-GB"/>
        </w:rPr>
        <w:t xml:space="preserve">, M. </w:t>
      </w:r>
      <w:proofErr w:type="spellStart"/>
      <w:r w:rsidRPr="00210E93">
        <w:rPr>
          <w:rFonts w:ascii="Times New Roman" w:hAnsi="Times New Roman" w:cs="Times New Roman"/>
          <w:sz w:val="24"/>
          <w:szCs w:val="24"/>
          <w:highlight w:val="yellow"/>
          <w:shd w:val="clear" w:color="auto" w:fill="FFFFFF"/>
          <w:lang w:val="en-GB"/>
        </w:rPr>
        <w:t>Golicnik</w:t>
      </w:r>
      <w:proofErr w:type="spellEnd"/>
      <w:r w:rsidRPr="00210E93">
        <w:rPr>
          <w:rFonts w:ascii="Times New Roman" w:hAnsi="Times New Roman" w:cs="Times New Roman"/>
          <w:sz w:val="24"/>
          <w:szCs w:val="24"/>
          <w:highlight w:val="yellow"/>
          <w:shd w:val="clear" w:color="auto" w:fill="FFFFFF"/>
          <w:lang w:val="en-GB"/>
        </w:rPr>
        <w:t xml:space="preserve">, M.T. </w:t>
      </w:r>
      <w:proofErr w:type="spellStart"/>
      <w:r w:rsidRPr="00210E93">
        <w:rPr>
          <w:rFonts w:ascii="Times New Roman" w:hAnsi="Times New Roman" w:cs="Times New Roman"/>
          <w:sz w:val="24"/>
          <w:szCs w:val="24"/>
          <w:highlight w:val="yellow"/>
          <w:shd w:val="clear" w:color="auto" w:fill="FFFFFF"/>
          <w:lang w:val="en-GB"/>
        </w:rPr>
        <w:t>Froment</w:t>
      </w:r>
      <w:proofErr w:type="spellEnd"/>
      <w:r w:rsidRPr="00210E93">
        <w:rPr>
          <w:rFonts w:ascii="Times New Roman" w:hAnsi="Times New Roman" w:cs="Times New Roman"/>
          <w:sz w:val="24"/>
          <w:szCs w:val="24"/>
          <w:highlight w:val="yellow"/>
          <w:shd w:val="clear" w:color="auto" w:fill="FFFFFF"/>
          <w:lang w:val="en-GB"/>
        </w:rPr>
        <w:t xml:space="preserve">, F. </w:t>
      </w:r>
      <w:proofErr w:type="spellStart"/>
      <w:r w:rsidRPr="00210E93">
        <w:rPr>
          <w:rFonts w:ascii="Times New Roman" w:hAnsi="Times New Roman" w:cs="Times New Roman"/>
          <w:sz w:val="24"/>
          <w:szCs w:val="24"/>
          <w:highlight w:val="yellow"/>
          <w:shd w:val="clear" w:color="auto" w:fill="FFFFFF"/>
          <w:lang w:val="en-GB"/>
        </w:rPr>
        <w:t>Estour</w:t>
      </w:r>
      <w:proofErr w:type="spellEnd"/>
      <w:r w:rsidRPr="00210E93">
        <w:rPr>
          <w:rFonts w:ascii="Times New Roman" w:hAnsi="Times New Roman" w:cs="Times New Roman"/>
          <w:sz w:val="24"/>
          <w:szCs w:val="24"/>
          <w:highlight w:val="yellow"/>
          <w:shd w:val="clear" w:color="auto" w:fill="FFFFFF"/>
          <w:lang w:val="en-GB"/>
        </w:rPr>
        <w:t xml:space="preserve">, P. Masson, Eur. J. </w:t>
      </w:r>
      <w:proofErr w:type="spellStart"/>
      <w:r w:rsidRPr="00210E93">
        <w:rPr>
          <w:rFonts w:ascii="Times New Roman" w:hAnsi="Times New Roman" w:cs="Times New Roman"/>
          <w:sz w:val="24"/>
          <w:szCs w:val="24"/>
          <w:highlight w:val="yellow"/>
          <w:shd w:val="clear" w:color="auto" w:fill="FFFFFF"/>
          <w:lang w:val="en-GB"/>
        </w:rPr>
        <w:t>Biochem</w:t>
      </w:r>
      <w:proofErr w:type="spellEnd"/>
      <w:r w:rsidRPr="00210E93">
        <w:rPr>
          <w:rFonts w:ascii="Times New Roman" w:hAnsi="Times New Roman" w:cs="Times New Roman"/>
          <w:sz w:val="24"/>
          <w:szCs w:val="24"/>
          <w:highlight w:val="yellow"/>
          <w:shd w:val="clear" w:color="auto" w:fill="FFFFFF"/>
          <w:lang w:val="en-GB"/>
        </w:rPr>
        <w:t>. 269 (2002) 1154-1161. https://doi.org/10.1046/j.1432-1033.2002.02749.x</w:t>
      </w:r>
    </w:p>
    <w:p w14:paraId="1A68A53A" w14:textId="73FAD51C" w:rsidR="00B204A1" w:rsidRPr="00210E93" w:rsidRDefault="00B204A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E.H.L. Tan, D.S.K. Govender, R.R. </w:t>
      </w:r>
      <w:proofErr w:type="spellStart"/>
      <w:r w:rsidRPr="00210E93">
        <w:rPr>
          <w:rFonts w:ascii="Times New Roman" w:hAnsi="Times New Roman" w:cs="Times New Roman"/>
          <w:sz w:val="24"/>
          <w:szCs w:val="24"/>
          <w:highlight w:val="yellow"/>
          <w:shd w:val="clear" w:color="auto" w:fill="FFFFFF"/>
          <w:lang w:val="en-GB"/>
        </w:rPr>
        <w:t>Birge</w:t>
      </w:r>
      <w:proofErr w:type="spellEnd"/>
      <w:r w:rsidRPr="00210E93">
        <w:rPr>
          <w:rFonts w:ascii="Times New Roman" w:hAnsi="Times New Roman" w:cs="Times New Roman"/>
          <w:sz w:val="24"/>
          <w:szCs w:val="24"/>
          <w:highlight w:val="yellow"/>
          <w:shd w:val="clear" w:color="auto" w:fill="FFFFFF"/>
          <w:lang w:val="en-GB"/>
        </w:rPr>
        <w:t>, J. Am. Chem. Soc. 1996 (1996) 2752-2753. https://doi.org/10.1021/ja953491+</w:t>
      </w:r>
    </w:p>
    <w:p w14:paraId="78CE783F" w14:textId="331C495E" w:rsidR="00B204A1" w:rsidRPr="00210E93" w:rsidRDefault="00B204A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S. Lin, Y. Zhao, Z. Ji, J. Ear, C.H. Chang, H. Zhang, C. Low-Kam, K. Yamada, H. Meng, X. Wang, R. Liu, S. </w:t>
      </w:r>
      <w:proofErr w:type="spellStart"/>
      <w:r w:rsidRPr="00210E93">
        <w:rPr>
          <w:rFonts w:ascii="Times New Roman" w:hAnsi="Times New Roman" w:cs="Times New Roman"/>
          <w:sz w:val="24"/>
          <w:szCs w:val="24"/>
          <w:highlight w:val="yellow"/>
          <w:shd w:val="clear" w:color="auto" w:fill="FFFFFF"/>
          <w:lang w:val="en-GB"/>
        </w:rPr>
        <w:t>Pokhrel</w:t>
      </w:r>
      <w:proofErr w:type="spellEnd"/>
      <w:r w:rsidRPr="00210E93">
        <w:rPr>
          <w:rFonts w:ascii="Times New Roman" w:hAnsi="Times New Roman" w:cs="Times New Roman"/>
          <w:sz w:val="24"/>
          <w:szCs w:val="24"/>
          <w:highlight w:val="yellow"/>
          <w:shd w:val="clear" w:color="auto" w:fill="FFFFFF"/>
          <w:lang w:val="en-GB"/>
        </w:rPr>
        <w:t xml:space="preserve">, L. </w:t>
      </w:r>
      <w:proofErr w:type="spellStart"/>
      <w:r w:rsidRPr="00210E93">
        <w:rPr>
          <w:rFonts w:ascii="Times New Roman" w:hAnsi="Times New Roman" w:cs="Times New Roman"/>
          <w:sz w:val="24"/>
          <w:szCs w:val="24"/>
          <w:highlight w:val="yellow"/>
          <w:shd w:val="clear" w:color="auto" w:fill="FFFFFF"/>
          <w:lang w:val="en-GB"/>
        </w:rPr>
        <w:t>Mädler</w:t>
      </w:r>
      <w:proofErr w:type="spellEnd"/>
      <w:r w:rsidRPr="00210E93">
        <w:rPr>
          <w:rFonts w:ascii="Times New Roman" w:hAnsi="Times New Roman" w:cs="Times New Roman"/>
          <w:sz w:val="24"/>
          <w:szCs w:val="24"/>
          <w:highlight w:val="yellow"/>
          <w:shd w:val="clear" w:color="auto" w:fill="FFFFFF"/>
          <w:lang w:val="en-GB"/>
        </w:rPr>
        <w:t xml:space="preserve">, R. </w:t>
      </w:r>
      <w:proofErr w:type="spellStart"/>
      <w:r w:rsidRPr="00210E93">
        <w:rPr>
          <w:rFonts w:ascii="Times New Roman" w:hAnsi="Times New Roman" w:cs="Times New Roman"/>
          <w:sz w:val="24"/>
          <w:szCs w:val="24"/>
          <w:highlight w:val="yellow"/>
          <w:shd w:val="clear" w:color="auto" w:fill="FFFFFF"/>
          <w:lang w:val="en-GB"/>
        </w:rPr>
        <w:t>Damoiseaux</w:t>
      </w:r>
      <w:proofErr w:type="spellEnd"/>
      <w:r w:rsidRPr="00210E93">
        <w:rPr>
          <w:rFonts w:ascii="Times New Roman" w:hAnsi="Times New Roman" w:cs="Times New Roman"/>
          <w:sz w:val="24"/>
          <w:szCs w:val="24"/>
          <w:highlight w:val="yellow"/>
          <w:shd w:val="clear" w:color="auto" w:fill="FFFFFF"/>
          <w:lang w:val="en-GB"/>
        </w:rPr>
        <w:t xml:space="preserve">, T. Xia, H.A. Godwin, S. Lin, A.E. </w:t>
      </w:r>
      <w:proofErr w:type="spellStart"/>
      <w:r w:rsidRPr="00210E93">
        <w:rPr>
          <w:rFonts w:ascii="Times New Roman" w:hAnsi="Times New Roman" w:cs="Times New Roman"/>
          <w:sz w:val="24"/>
          <w:szCs w:val="24"/>
          <w:highlight w:val="yellow"/>
          <w:shd w:val="clear" w:color="auto" w:fill="FFFFFF"/>
          <w:lang w:val="en-GB"/>
        </w:rPr>
        <w:t>Nel</w:t>
      </w:r>
      <w:proofErr w:type="spellEnd"/>
      <w:r w:rsidRPr="00210E93">
        <w:rPr>
          <w:rFonts w:ascii="Times New Roman" w:hAnsi="Times New Roman" w:cs="Times New Roman"/>
          <w:sz w:val="24"/>
          <w:szCs w:val="24"/>
          <w:highlight w:val="yellow"/>
          <w:shd w:val="clear" w:color="auto" w:fill="FFFFFF"/>
          <w:lang w:val="en-GB"/>
        </w:rPr>
        <w:t>, Small 9 (2013) 1776-1785. https://doi.org/10.1002/smll.201202128</w:t>
      </w:r>
    </w:p>
    <w:p w14:paraId="5F375F2F" w14:textId="4EC82DAB" w:rsidR="00B204A1" w:rsidRPr="00210E93" w:rsidRDefault="00B204A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S. Lin, Y. Zhao, T. Xia, H. Meng, Z. Ji, R. Liu, S. George, S. </w:t>
      </w:r>
      <w:proofErr w:type="spellStart"/>
      <w:r w:rsidRPr="00210E93">
        <w:rPr>
          <w:rFonts w:ascii="Times New Roman" w:hAnsi="Times New Roman" w:cs="Times New Roman"/>
          <w:sz w:val="24"/>
          <w:szCs w:val="24"/>
          <w:highlight w:val="yellow"/>
          <w:shd w:val="clear" w:color="auto" w:fill="FFFFFF"/>
          <w:lang w:val="en-GB"/>
        </w:rPr>
        <w:t>Xiong</w:t>
      </w:r>
      <w:proofErr w:type="spellEnd"/>
      <w:r w:rsidRPr="00210E93">
        <w:rPr>
          <w:rFonts w:ascii="Times New Roman" w:hAnsi="Times New Roman" w:cs="Times New Roman"/>
          <w:sz w:val="24"/>
          <w:szCs w:val="24"/>
          <w:highlight w:val="yellow"/>
          <w:shd w:val="clear" w:color="auto" w:fill="FFFFFF"/>
          <w:lang w:val="en-GB"/>
        </w:rPr>
        <w:t xml:space="preserve">, X. Wang, H. Zhang, S. </w:t>
      </w:r>
      <w:proofErr w:type="spellStart"/>
      <w:r w:rsidRPr="00210E93">
        <w:rPr>
          <w:rFonts w:ascii="Times New Roman" w:hAnsi="Times New Roman" w:cs="Times New Roman"/>
          <w:sz w:val="24"/>
          <w:szCs w:val="24"/>
          <w:highlight w:val="yellow"/>
          <w:shd w:val="clear" w:color="auto" w:fill="FFFFFF"/>
          <w:lang w:val="en-GB"/>
        </w:rPr>
        <w:t>Pokhrel</w:t>
      </w:r>
      <w:proofErr w:type="spellEnd"/>
      <w:r w:rsidRPr="00210E93">
        <w:rPr>
          <w:rFonts w:ascii="Times New Roman" w:hAnsi="Times New Roman" w:cs="Times New Roman"/>
          <w:sz w:val="24"/>
          <w:szCs w:val="24"/>
          <w:highlight w:val="yellow"/>
          <w:shd w:val="clear" w:color="auto" w:fill="FFFFFF"/>
          <w:lang w:val="en-GB"/>
        </w:rPr>
        <w:t xml:space="preserve">, L. </w:t>
      </w:r>
      <w:proofErr w:type="spellStart"/>
      <w:r w:rsidRPr="00210E93">
        <w:rPr>
          <w:rFonts w:ascii="Times New Roman" w:hAnsi="Times New Roman" w:cs="Times New Roman"/>
          <w:sz w:val="24"/>
          <w:szCs w:val="24"/>
          <w:highlight w:val="yellow"/>
          <w:shd w:val="clear" w:color="auto" w:fill="FFFFFF"/>
          <w:lang w:val="en-GB"/>
        </w:rPr>
        <w:t>Mädler</w:t>
      </w:r>
      <w:proofErr w:type="spellEnd"/>
      <w:r w:rsidRPr="00210E93">
        <w:rPr>
          <w:rFonts w:ascii="Times New Roman" w:hAnsi="Times New Roman" w:cs="Times New Roman"/>
          <w:sz w:val="24"/>
          <w:szCs w:val="24"/>
          <w:highlight w:val="yellow"/>
          <w:shd w:val="clear" w:color="auto" w:fill="FFFFFF"/>
          <w:lang w:val="en-GB"/>
        </w:rPr>
        <w:t xml:space="preserve">, R. </w:t>
      </w:r>
      <w:proofErr w:type="spellStart"/>
      <w:r w:rsidRPr="00210E93">
        <w:rPr>
          <w:rFonts w:ascii="Times New Roman" w:hAnsi="Times New Roman" w:cs="Times New Roman"/>
          <w:sz w:val="24"/>
          <w:szCs w:val="24"/>
          <w:highlight w:val="yellow"/>
          <w:shd w:val="clear" w:color="auto" w:fill="FFFFFF"/>
          <w:lang w:val="en-GB"/>
        </w:rPr>
        <w:t>Damoiseaux</w:t>
      </w:r>
      <w:proofErr w:type="spellEnd"/>
      <w:r w:rsidRPr="00210E93">
        <w:rPr>
          <w:rFonts w:ascii="Times New Roman" w:hAnsi="Times New Roman" w:cs="Times New Roman"/>
          <w:sz w:val="24"/>
          <w:szCs w:val="24"/>
          <w:highlight w:val="yellow"/>
          <w:shd w:val="clear" w:color="auto" w:fill="FFFFFF"/>
          <w:lang w:val="en-GB"/>
        </w:rPr>
        <w:t xml:space="preserve">, S. Lin, A.E. </w:t>
      </w:r>
      <w:proofErr w:type="spellStart"/>
      <w:r w:rsidRPr="00210E93">
        <w:rPr>
          <w:rFonts w:ascii="Times New Roman" w:hAnsi="Times New Roman" w:cs="Times New Roman"/>
          <w:sz w:val="24"/>
          <w:szCs w:val="24"/>
          <w:highlight w:val="yellow"/>
          <w:shd w:val="clear" w:color="auto" w:fill="FFFFFF"/>
          <w:lang w:val="en-GB"/>
        </w:rPr>
        <w:t>Nel</w:t>
      </w:r>
      <w:proofErr w:type="spellEnd"/>
      <w:r w:rsidRPr="00210E93">
        <w:rPr>
          <w:rFonts w:ascii="Times New Roman" w:hAnsi="Times New Roman" w:cs="Times New Roman"/>
          <w:sz w:val="24"/>
          <w:szCs w:val="24"/>
          <w:highlight w:val="yellow"/>
          <w:shd w:val="clear" w:color="auto" w:fill="FFFFFF"/>
          <w:lang w:val="en-GB"/>
        </w:rPr>
        <w:t>, ACS Nano 5 (2011) 7284-7295. https://doi.org/10.1021/nn202116p</w:t>
      </w:r>
    </w:p>
    <w:p w14:paraId="708CD9A0" w14:textId="0D8FCDB4" w:rsidR="00B204A1" w:rsidRPr="00210E93" w:rsidRDefault="003C4C3B"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K.M. </w:t>
      </w:r>
      <w:proofErr w:type="spellStart"/>
      <w:r w:rsidRPr="00210E93">
        <w:rPr>
          <w:rFonts w:ascii="Times New Roman" w:hAnsi="Times New Roman" w:cs="Times New Roman"/>
          <w:sz w:val="24"/>
          <w:szCs w:val="24"/>
          <w:highlight w:val="yellow"/>
          <w:shd w:val="clear" w:color="auto" w:fill="FFFFFF"/>
          <w:lang w:val="en-GB"/>
        </w:rPr>
        <w:t>Fukasawa</w:t>
      </w:r>
      <w:proofErr w:type="spellEnd"/>
      <w:r w:rsidRPr="00210E93">
        <w:rPr>
          <w:rFonts w:ascii="Times New Roman" w:hAnsi="Times New Roman" w:cs="Times New Roman"/>
          <w:sz w:val="24"/>
          <w:szCs w:val="24"/>
          <w:highlight w:val="yellow"/>
          <w:shd w:val="clear" w:color="auto" w:fill="FFFFFF"/>
          <w:lang w:val="en-GB"/>
        </w:rPr>
        <w:t xml:space="preserve">, T. </w:t>
      </w:r>
      <w:proofErr w:type="spellStart"/>
      <w:r w:rsidRPr="00210E93">
        <w:rPr>
          <w:rFonts w:ascii="Times New Roman" w:hAnsi="Times New Roman" w:cs="Times New Roman"/>
          <w:sz w:val="24"/>
          <w:szCs w:val="24"/>
          <w:highlight w:val="yellow"/>
          <w:shd w:val="clear" w:color="auto" w:fill="FFFFFF"/>
          <w:lang w:val="en-GB"/>
        </w:rPr>
        <w:t>Hata</w:t>
      </w:r>
      <w:proofErr w:type="spellEnd"/>
      <w:r w:rsidRPr="00210E93">
        <w:rPr>
          <w:rFonts w:ascii="Times New Roman" w:hAnsi="Times New Roman" w:cs="Times New Roman"/>
          <w:sz w:val="24"/>
          <w:szCs w:val="24"/>
          <w:highlight w:val="yellow"/>
          <w:shd w:val="clear" w:color="auto" w:fill="FFFFFF"/>
          <w:lang w:val="en-GB"/>
        </w:rPr>
        <w:t>, Y. Ono, J. Hirose, J. Amino Acids 2011 (2011) 574816. https://doi.org/10.4061/2011/574816</w:t>
      </w:r>
    </w:p>
    <w:p w14:paraId="60D33407" w14:textId="51F70AB4" w:rsidR="003C4C3B" w:rsidRPr="00210E93" w:rsidRDefault="00E5601A"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F.X. </w:t>
      </w:r>
      <w:proofErr w:type="spellStart"/>
      <w:r w:rsidRPr="00210E93">
        <w:rPr>
          <w:rFonts w:ascii="Times New Roman" w:hAnsi="Times New Roman" w:cs="Times New Roman"/>
          <w:sz w:val="24"/>
          <w:szCs w:val="24"/>
          <w:highlight w:val="yellow"/>
          <w:shd w:val="clear" w:color="auto" w:fill="FFFFFF"/>
          <w:lang w:val="en-GB"/>
        </w:rPr>
        <w:t>Gomis</w:t>
      </w:r>
      <w:proofErr w:type="spellEnd"/>
      <w:r w:rsidRPr="00210E93">
        <w:rPr>
          <w:rFonts w:ascii="Times New Roman" w:hAnsi="Times New Roman" w:cs="Times New Roman"/>
          <w:sz w:val="24"/>
          <w:szCs w:val="24"/>
          <w:highlight w:val="yellow"/>
          <w:shd w:val="clear" w:color="auto" w:fill="FFFFFF"/>
          <w:lang w:val="en-GB"/>
        </w:rPr>
        <w:t xml:space="preserve">-Ruth, F. Grams, I. </w:t>
      </w:r>
      <w:proofErr w:type="spellStart"/>
      <w:r w:rsidRPr="00210E93">
        <w:rPr>
          <w:rFonts w:ascii="Times New Roman" w:hAnsi="Times New Roman" w:cs="Times New Roman"/>
          <w:sz w:val="24"/>
          <w:szCs w:val="24"/>
          <w:highlight w:val="yellow"/>
          <w:shd w:val="clear" w:color="auto" w:fill="FFFFFF"/>
          <w:lang w:val="en-GB"/>
        </w:rPr>
        <w:t>Yiallouros</w:t>
      </w:r>
      <w:proofErr w:type="spellEnd"/>
      <w:r w:rsidRPr="00210E93">
        <w:rPr>
          <w:rFonts w:ascii="Times New Roman" w:hAnsi="Times New Roman" w:cs="Times New Roman"/>
          <w:sz w:val="24"/>
          <w:szCs w:val="24"/>
          <w:highlight w:val="yellow"/>
          <w:shd w:val="clear" w:color="auto" w:fill="FFFFFF"/>
          <w:lang w:val="en-GB"/>
        </w:rPr>
        <w:t xml:space="preserve">, H. Nar, U. </w:t>
      </w:r>
      <w:proofErr w:type="spellStart"/>
      <w:r w:rsidRPr="00210E93">
        <w:rPr>
          <w:rFonts w:ascii="Times New Roman" w:hAnsi="Times New Roman" w:cs="Times New Roman"/>
          <w:sz w:val="24"/>
          <w:szCs w:val="24"/>
          <w:highlight w:val="yellow"/>
          <w:shd w:val="clear" w:color="auto" w:fill="FFFFFF"/>
          <w:lang w:val="en-GB"/>
        </w:rPr>
        <w:t>Kusthardt</w:t>
      </w:r>
      <w:proofErr w:type="spellEnd"/>
      <w:r w:rsidRPr="00210E93">
        <w:rPr>
          <w:rFonts w:ascii="Times New Roman" w:hAnsi="Times New Roman" w:cs="Times New Roman"/>
          <w:sz w:val="24"/>
          <w:szCs w:val="24"/>
          <w:highlight w:val="yellow"/>
          <w:shd w:val="clear" w:color="auto" w:fill="FFFFFF"/>
          <w:lang w:val="en-GB"/>
        </w:rPr>
        <w:t xml:space="preserve">, R. Zwilling, W. Bode, W. Stocker, J. Biol. Chem. 269 </w:t>
      </w:r>
      <w:r w:rsidR="004701C1" w:rsidRPr="00210E93">
        <w:rPr>
          <w:rFonts w:ascii="Times New Roman" w:hAnsi="Times New Roman" w:cs="Times New Roman"/>
          <w:sz w:val="24"/>
          <w:szCs w:val="24"/>
          <w:highlight w:val="yellow"/>
          <w:shd w:val="clear" w:color="auto" w:fill="FFFFFF"/>
          <w:lang w:val="en-GB"/>
        </w:rPr>
        <w:t xml:space="preserve">(1994) </w:t>
      </w:r>
      <w:r w:rsidRPr="00210E93">
        <w:rPr>
          <w:rFonts w:ascii="Times New Roman" w:hAnsi="Times New Roman" w:cs="Times New Roman"/>
          <w:sz w:val="24"/>
          <w:szCs w:val="24"/>
          <w:highlight w:val="yellow"/>
          <w:shd w:val="clear" w:color="auto" w:fill="FFFFFF"/>
          <w:lang w:val="en-GB"/>
        </w:rPr>
        <w:t>17111-</w:t>
      </w:r>
      <w:r w:rsidR="004701C1" w:rsidRPr="00210E93">
        <w:rPr>
          <w:rFonts w:ascii="Times New Roman" w:hAnsi="Times New Roman" w:cs="Times New Roman"/>
          <w:sz w:val="24"/>
          <w:szCs w:val="24"/>
          <w:highlight w:val="yellow"/>
          <w:shd w:val="clear" w:color="auto" w:fill="FFFFFF"/>
          <w:lang w:val="en-GB"/>
        </w:rPr>
        <w:t>1711</w:t>
      </w:r>
      <w:r w:rsidRPr="00210E93">
        <w:rPr>
          <w:rFonts w:ascii="Times New Roman" w:hAnsi="Times New Roman" w:cs="Times New Roman"/>
          <w:sz w:val="24"/>
          <w:szCs w:val="24"/>
          <w:highlight w:val="yellow"/>
          <w:shd w:val="clear" w:color="auto" w:fill="FFFFFF"/>
          <w:lang w:val="en-GB"/>
        </w:rPr>
        <w:t>7. https://doi.org/10.2210/pdb1iaa/pdb</w:t>
      </w:r>
    </w:p>
    <w:p w14:paraId="0D62730F" w14:textId="62914F9E" w:rsidR="004701C1" w:rsidRPr="00210E93" w:rsidRDefault="004701C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P. </w:t>
      </w:r>
      <w:proofErr w:type="spellStart"/>
      <w:r w:rsidRPr="00210E93">
        <w:rPr>
          <w:rFonts w:ascii="Times New Roman" w:hAnsi="Times New Roman" w:cs="Times New Roman"/>
          <w:sz w:val="24"/>
          <w:szCs w:val="24"/>
          <w:highlight w:val="yellow"/>
          <w:shd w:val="clear" w:color="auto" w:fill="FFFFFF"/>
          <w:lang w:val="en-GB"/>
        </w:rPr>
        <w:t>Kumari</w:t>
      </w:r>
      <w:proofErr w:type="spellEnd"/>
      <w:r w:rsidRPr="00210E93">
        <w:rPr>
          <w:rFonts w:ascii="Times New Roman" w:hAnsi="Times New Roman" w:cs="Times New Roman"/>
          <w:sz w:val="24"/>
          <w:szCs w:val="24"/>
          <w:highlight w:val="yellow"/>
          <w:shd w:val="clear" w:color="auto" w:fill="FFFFFF"/>
          <w:lang w:val="en-GB"/>
        </w:rPr>
        <w:t xml:space="preserve">, P.K. Panda, E. Jha, K. </w:t>
      </w:r>
      <w:proofErr w:type="spellStart"/>
      <w:r w:rsidRPr="00210E93">
        <w:rPr>
          <w:rFonts w:ascii="Times New Roman" w:hAnsi="Times New Roman" w:cs="Times New Roman"/>
          <w:sz w:val="24"/>
          <w:szCs w:val="24"/>
          <w:highlight w:val="yellow"/>
          <w:shd w:val="clear" w:color="auto" w:fill="FFFFFF"/>
          <w:lang w:val="en-GB"/>
        </w:rPr>
        <w:t>Kumari</w:t>
      </w:r>
      <w:proofErr w:type="spellEnd"/>
      <w:r w:rsidRPr="00210E93">
        <w:rPr>
          <w:rFonts w:ascii="Times New Roman" w:hAnsi="Times New Roman" w:cs="Times New Roman"/>
          <w:sz w:val="24"/>
          <w:szCs w:val="24"/>
          <w:highlight w:val="yellow"/>
          <w:shd w:val="clear" w:color="auto" w:fill="FFFFFF"/>
          <w:lang w:val="en-GB"/>
        </w:rPr>
        <w:t xml:space="preserve">, K. Nisha, M.A. Mallick, S.K. </w:t>
      </w:r>
      <w:proofErr w:type="spellStart"/>
      <w:r w:rsidRPr="00210E93">
        <w:rPr>
          <w:rFonts w:ascii="Times New Roman" w:hAnsi="Times New Roman" w:cs="Times New Roman"/>
          <w:sz w:val="24"/>
          <w:szCs w:val="24"/>
          <w:highlight w:val="yellow"/>
          <w:shd w:val="clear" w:color="auto" w:fill="FFFFFF"/>
          <w:lang w:val="en-GB"/>
        </w:rPr>
        <w:t>Verma</w:t>
      </w:r>
      <w:proofErr w:type="spellEnd"/>
      <w:r w:rsidRPr="00210E93">
        <w:rPr>
          <w:rFonts w:ascii="Times New Roman" w:hAnsi="Times New Roman" w:cs="Times New Roman"/>
          <w:sz w:val="24"/>
          <w:szCs w:val="24"/>
          <w:highlight w:val="yellow"/>
          <w:shd w:val="clear" w:color="auto" w:fill="FFFFFF"/>
          <w:lang w:val="en-GB"/>
        </w:rPr>
        <w:t>, Sci. Rep. 7 (2017) 16284. https://doi.org/10.1038/s41598-017-16581-1</w:t>
      </w:r>
    </w:p>
    <w:p w14:paraId="7BA84F24" w14:textId="1D22CB27" w:rsidR="004701C1" w:rsidRPr="00210E93" w:rsidRDefault="004701C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T.H. Chen, C.C. Lin, P.J. Meng, J. Hazard. Mater. 277 (2014) 134-140. https://doi.org/10.1016/j.jhazmat.2013.12.030</w:t>
      </w:r>
    </w:p>
    <w:p w14:paraId="5AD85FC6" w14:textId="2614BE4D" w:rsidR="004701C1" w:rsidRPr="00210E93" w:rsidRDefault="004701C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lastRenderedPageBreak/>
        <w:t xml:space="preserve">X. Zhu, J. Wang, X. Zhang, Y. Chang, Y. Chen, </w:t>
      </w:r>
      <w:proofErr w:type="spellStart"/>
      <w:r w:rsidRPr="00210E93">
        <w:rPr>
          <w:rFonts w:ascii="Times New Roman" w:hAnsi="Times New Roman" w:cs="Times New Roman"/>
          <w:sz w:val="24"/>
          <w:szCs w:val="24"/>
          <w:highlight w:val="yellow"/>
          <w:shd w:val="clear" w:color="auto" w:fill="FFFFFF"/>
          <w:lang w:val="en-GB"/>
        </w:rPr>
        <w:t>Nanotechnol</w:t>
      </w:r>
      <w:proofErr w:type="spellEnd"/>
      <w:r w:rsidRPr="00210E93">
        <w:rPr>
          <w:rFonts w:ascii="Times New Roman" w:hAnsi="Times New Roman" w:cs="Times New Roman"/>
          <w:sz w:val="24"/>
          <w:szCs w:val="24"/>
          <w:highlight w:val="yellow"/>
          <w:shd w:val="clear" w:color="auto" w:fill="FFFFFF"/>
          <w:lang w:val="en-GB"/>
        </w:rPr>
        <w:t>. 20 (2009) 195103. https://doi.org/10.1088/0957-4484/20/19/195103</w:t>
      </w:r>
    </w:p>
    <w:p w14:paraId="04D55463" w14:textId="171AAB4E" w:rsidR="004701C1" w:rsidRPr="00210E93" w:rsidRDefault="004701C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S. </w:t>
      </w:r>
      <w:proofErr w:type="spellStart"/>
      <w:r w:rsidRPr="00210E93">
        <w:rPr>
          <w:rFonts w:ascii="Times New Roman" w:hAnsi="Times New Roman" w:cs="Times New Roman"/>
          <w:sz w:val="24"/>
          <w:szCs w:val="24"/>
          <w:highlight w:val="yellow"/>
          <w:shd w:val="clear" w:color="auto" w:fill="FFFFFF"/>
          <w:lang w:val="en-GB"/>
        </w:rPr>
        <w:t>Kashiwada</w:t>
      </w:r>
      <w:proofErr w:type="spellEnd"/>
      <w:r w:rsidRPr="00210E93">
        <w:rPr>
          <w:rFonts w:ascii="Times New Roman" w:hAnsi="Times New Roman" w:cs="Times New Roman"/>
          <w:sz w:val="24"/>
          <w:szCs w:val="24"/>
          <w:highlight w:val="yellow"/>
          <w:shd w:val="clear" w:color="auto" w:fill="FFFFFF"/>
          <w:lang w:val="en-GB"/>
        </w:rPr>
        <w:t xml:space="preserve">, Environ Health </w:t>
      </w:r>
      <w:proofErr w:type="spellStart"/>
      <w:r w:rsidRPr="00210E93">
        <w:rPr>
          <w:rFonts w:ascii="Times New Roman" w:hAnsi="Times New Roman" w:cs="Times New Roman"/>
          <w:sz w:val="24"/>
          <w:szCs w:val="24"/>
          <w:highlight w:val="yellow"/>
          <w:shd w:val="clear" w:color="auto" w:fill="FFFFFF"/>
          <w:lang w:val="en-GB"/>
        </w:rPr>
        <w:t>Perspect</w:t>
      </w:r>
      <w:proofErr w:type="spellEnd"/>
      <w:r w:rsidRPr="00210E93">
        <w:rPr>
          <w:rFonts w:ascii="Times New Roman" w:hAnsi="Times New Roman" w:cs="Times New Roman"/>
          <w:sz w:val="24"/>
          <w:szCs w:val="24"/>
          <w:highlight w:val="yellow"/>
          <w:shd w:val="clear" w:color="auto" w:fill="FFFFFF"/>
          <w:lang w:val="en-GB"/>
        </w:rPr>
        <w:t>. 114 (2006) 1697-1702. https://doi.org/10.1289/ehp.9209</w:t>
      </w:r>
    </w:p>
    <w:p w14:paraId="752A9DEF" w14:textId="5ABDE77F" w:rsidR="004701C1" w:rsidRPr="00210E93" w:rsidRDefault="004701C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J. </w:t>
      </w:r>
      <w:proofErr w:type="spellStart"/>
      <w:r w:rsidRPr="00210E93">
        <w:rPr>
          <w:rFonts w:ascii="Times New Roman" w:hAnsi="Times New Roman" w:cs="Times New Roman"/>
          <w:sz w:val="24"/>
          <w:szCs w:val="24"/>
          <w:highlight w:val="yellow"/>
          <w:shd w:val="clear" w:color="auto" w:fill="FFFFFF"/>
          <w:lang w:val="en-GB"/>
        </w:rPr>
        <w:t>Duan</w:t>
      </w:r>
      <w:proofErr w:type="spellEnd"/>
      <w:r w:rsidRPr="00210E93">
        <w:rPr>
          <w:rFonts w:ascii="Times New Roman" w:hAnsi="Times New Roman" w:cs="Times New Roman"/>
          <w:sz w:val="24"/>
          <w:szCs w:val="24"/>
          <w:highlight w:val="yellow"/>
          <w:shd w:val="clear" w:color="auto" w:fill="FFFFFF"/>
          <w:lang w:val="en-GB"/>
        </w:rPr>
        <w:t xml:space="preserve">, Y. Yu, H. Shi, L. Tian, C. Guo, P. Huang, X. Zhou, S. Peng, Z. Sun, </w:t>
      </w:r>
      <w:proofErr w:type="spellStart"/>
      <w:r w:rsidRPr="00210E93">
        <w:rPr>
          <w:rFonts w:ascii="Times New Roman" w:hAnsi="Times New Roman" w:cs="Times New Roman"/>
          <w:sz w:val="24"/>
          <w:szCs w:val="24"/>
          <w:highlight w:val="yellow"/>
          <w:shd w:val="clear" w:color="auto" w:fill="FFFFFF"/>
          <w:lang w:val="en-GB"/>
        </w:rPr>
        <w:t>PLoS</w:t>
      </w:r>
      <w:proofErr w:type="spellEnd"/>
      <w:r w:rsidRPr="00210E93">
        <w:rPr>
          <w:rFonts w:ascii="Times New Roman" w:hAnsi="Times New Roman" w:cs="Times New Roman"/>
          <w:sz w:val="24"/>
          <w:szCs w:val="24"/>
          <w:highlight w:val="yellow"/>
          <w:shd w:val="clear" w:color="auto" w:fill="FFFFFF"/>
          <w:lang w:val="en-GB"/>
        </w:rPr>
        <w:t xml:space="preserve"> ONE 18 (2013) e74606. https://doi.org/10.1371/journal.pone.0074606</w:t>
      </w:r>
    </w:p>
    <w:p w14:paraId="4266D8F7" w14:textId="436B16FD" w:rsidR="004701C1" w:rsidRPr="00210E93" w:rsidRDefault="004701C1" w:rsidP="00055EB6">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K.J. Ong, X. Zhao, M.E. Thistle, T.J. </w:t>
      </w:r>
      <w:proofErr w:type="spellStart"/>
      <w:r w:rsidRPr="00210E93">
        <w:rPr>
          <w:rFonts w:ascii="Times New Roman" w:hAnsi="Times New Roman" w:cs="Times New Roman"/>
          <w:sz w:val="24"/>
          <w:szCs w:val="24"/>
          <w:highlight w:val="yellow"/>
          <w:shd w:val="clear" w:color="auto" w:fill="FFFFFF"/>
          <w:lang w:val="en-GB"/>
        </w:rPr>
        <w:t>Maccormack</w:t>
      </w:r>
      <w:proofErr w:type="spellEnd"/>
      <w:r w:rsidRPr="00210E93">
        <w:rPr>
          <w:rFonts w:ascii="Times New Roman" w:hAnsi="Times New Roman" w:cs="Times New Roman"/>
          <w:sz w:val="24"/>
          <w:szCs w:val="24"/>
          <w:highlight w:val="yellow"/>
          <w:shd w:val="clear" w:color="auto" w:fill="FFFFFF"/>
          <w:lang w:val="en-GB"/>
        </w:rPr>
        <w:t xml:space="preserve">, R.J. Clark, G. Ma, Y. Martinez-Rubi, B. Simard, J.S.C. Loo, J.G.C. </w:t>
      </w:r>
      <w:proofErr w:type="spellStart"/>
      <w:r w:rsidRPr="00210E93">
        <w:rPr>
          <w:rFonts w:ascii="Times New Roman" w:hAnsi="Times New Roman" w:cs="Times New Roman"/>
          <w:sz w:val="24"/>
          <w:szCs w:val="24"/>
          <w:highlight w:val="yellow"/>
          <w:shd w:val="clear" w:color="auto" w:fill="FFFFFF"/>
          <w:lang w:val="en-GB"/>
        </w:rPr>
        <w:t>Veinot</w:t>
      </w:r>
      <w:proofErr w:type="spellEnd"/>
      <w:r w:rsidRPr="00210E93">
        <w:rPr>
          <w:rFonts w:ascii="Times New Roman" w:hAnsi="Times New Roman" w:cs="Times New Roman"/>
          <w:sz w:val="24"/>
          <w:szCs w:val="24"/>
          <w:highlight w:val="yellow"/>
          <w:shd w:val="clear" w:color="auto" w:fill="FFFFFF"/>
          <w:lang w:val="en-GB"/>
        </w:rPr>
        <w:t xml:space="preserve">, G.G. Goss, </w:t>
      </w:r>
      <w:proofErr w:type="spellStart"/>
      <w:r w:rsidRPr="00210E93">
        <w:rPr>
          <w:rFonts w:ascii="Times New Roman" w:hAnsi="Times New Roman" w:cs="Times New Roman"/>
          <w:sz w:val="24"/>
          <w:szCs w:val="24"/>
          <w:highlight w:val="yellow"/>
          <w:shd w:val="clear" w:color="auto" w:fill="FFFFFF"/>
          <w:lang w:val="en-GB"/>
        </w:rPr>
        <w:t>Nanotoxicol</w:t>
      </w:r>
      <w:proofErr w:type="spellEnd"/>
      <w:r w:rsidRPr="00210E93">
        <w:rPr>
          <w:rFonts w:ascii="Times New Roman" w:hAnsi="Times New Roman" w:cs="Times New Roman"/>
          <w:sz w:val="24"/>
          <w:szCs w:val="24"/>
          <w:highlight w:val="yellow"/>
          <w:shd w:val="clear" w:color="auto" w:fill="FFFFFF"/>
          <w:lang w:val="en-GB"/>
        </w:rPr>
        <w:t>. 8 (2014) 295-304. https://doi.org/10.3109/17435390.2013.778345</w:t>
      </w:r>
    </w:p>
    <w:p w14:paraId="3939F2DB" w14:textId="3D5BF0A9" w:rsidR="00985CAD" w:rsidRPr="00210E93" w:rsidRDefault="004701C1" w:rsidP="004701C1">
      <w:pPr>
        <w:pStyle w:val="ListParagraph"/>
        <w:numPr>
          <w:ilvl w:val="0"/>
          <w:numId w:val="3"/>
        </w:numPr>
        <w:spacing w:line="360" w:lineRule="auto"/>
        <w:ind w:left="567" w:hanging="567"/>
        <w:jc w:val="both"/>
        <w:rPr>
          <w:rFonts w:ascii="Times New Roman" w:hAnsi="Times New Roman" w:cs="Times New Roman"/>
          <w:sz w:val="24"/>
          <w:szCs w:val="24"/>
          <w:highlight w:val="yellow"/>
          <w:shd w:val="clear" w:color="auto" w:fill="FFFFFF"/>
          <w:lang w:val="en-GB"/>
        </w:rPr>
      </w:pPr>
      <w:r w:rsidRPr="00210E93">
        <w:rPr>
          <w:rFonts w:ascii="Times New Roman" w:hAnsi="Times New Roman" w:cs="Times New Roman"/>
          <w:sz w:val="24"/>
          <w:szCs w:val="24"/>
          <w:highlight w:val="yellow"/>
          <w:shd w:val="clear" w:color="auto" w:fill="FFFFFF"/>
          <w:lang w:val="en-GB"/>
        </w:rPr>
        <w:t xml:space="preserve">K.-T. Kim, R.L. </w:t>
      </w:r>
      <w:proofErr w:type="spellStart"/>
      <w:r w:rsidRPr="00210E93">
        <w:rPr>
          <w:rFonts w:ascii="Times New Roman" w:hAnsi="Times New Roman" w:cs="Times New Roman"/>
          <w:sz w:val="24"/>
          <w:szCs w:val="24"/>
          <w:highlight w:val="yellow"/>
          <w:shd w:val="clear" w:color="auto" w:fill="FFFFFF"/>
          <w:lang w:val="en-GB"/>
        </w:rPr>
        <w:t>Tanguay</w:t>
      </w:r>
      <w:proofErr w:type="spellEnd"/>
      <w:r w:rsidRPr="00210E93">
        <w:rPr>
          <w:rFonts w:ascii="Times New Roman" w:hAnsi="Times New Roman" w:cs="Times New Roman"/>
          <w:sz w:val="24"/>
          <w:szCs w:val="24"/>
          <w:highlight w:val="yellow"/>
          <w:shd w:val="clear" w:color="auto" w:fill="FFFFFF"/>
          <w:lang w:val="en-GB"/>
        </w:rPr>
        <w:t xml:space="preserve">, Environ. Health </w:t>
      </w:r>
      <w:proofErr w:type="spellStart"/>
      <w:r w:rsidRPr="00210E93">
        <w:rPr>
          <w:rFonts w:ascii="Times New Roman" w:hAnsi="Times New Roman" w:cs="Times New Roman"/>
          <w:sz w:val="24"/>
          <w:szCs w:val="24"/>
          <w:highlight w:val="yellow"/>
          <w:shd w:val="clear" w:color="auto" w:fill="FFFFFF"/>
          <w:lang w:val="en-GB"/>
        </w:rPr>
        <w:t>Toxicol</w:t>
      </w:r>
      <w:proofErr w:type="spellEnd"/>
      <w:r w:rsidRPr="00210E93">
        <w:rPr>
          <w:rFonts w:ascii="Times New Roman" w:hAnsi="Times New Roman" w:cs="Times New Roman"/>
          <w:sz w:val="24"/>
          <w:szCs w:val="24"/>
          <w:highlight w:val="yellow"/>
          <w:shd w:val="clear" w:color="auto" w:fill="FFFFFF"/>
          <w:lang w:val="en-GB"/>
        </w:rPr>
        <w:t>. 29 (2014) e2014021. https://doi.org/10.5620/eht.e2014021</w:t>
      </w:r>
    </w:p>
    <w:sectPr w:rsidR="00985CAD" w:rsidRPr="00210E93" w:rsidSect="004E674D">
      <w:footerReference w:type="default" r:id="rId27"/>
      <w:type w:val="continuous"/>
      <w:pgSz w:w="11906" w:h="16838"/>
      <w:pgMar w:top="1417" w:right="1417" w:bottom="1417" w:left="1417" w:header="0" w:footer="708" w:gutter="0"/>
      <w:lnNumType w:countBy="1" w:restart="continuous"/>
      <w:pgNumType w:start="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11371" w14:textId="77777777" w:rsidR="007C6312" w:rsidRDefault="007C6312">
      <w:r>
        <w:separator/>
      </w:r>
    </w:p>
  </w:endnote>
  <w:endnote w:type="continuationSeparator" w:id="0">
    <w:p w14:paraId="142F895A" w14:textId="77777777" w:rsidR="007C6312" w:rsidRDefault="007C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panose1 w:val="020B0300000000000000"/>
    <w:charset w:val="80"/>
    <w:family w:val="roman"/>
    <w:notTrueType/>
    <w:pitch w:val="default"/>
  </w:font>
  <w:font w:name="Mathematical Pi">
    <w:altName w:val="Cambria"/>
    <w:panose1 w:val="020B0604020202020204"/>
    <w:charset w:val="01"/>
    <w:family w:val="roman"/>
    <w:pitch w:val="variable"/>
  </w:font>
  <w:font w:name="Liberation Sans">
    <w:altName w:val="Arial"/>
    <w:panose1 w:val="020B0604020202020204"/>
    <w:charset w:val="01"/>
    <w:family w:val="swiss"/>
    <w:pitch w:val="variable"/>
  </w:font>
  <w:font w:name="Noto Sans CJK SC Regular">
    <w:panose1 w:val="020B0604020202020204"/>
    <w:charset w:val="00"/>
    <w:family w:val="roman"/>
    <w:notTrueType/>
    <w:pitch w:val="default"/>
  </w:font>
  <w:font w:name="FreeSans">
    <w:altName w:val="Times New Roman"/>
    <w:panose1 w:val="020B0604020202020204"/>
    <w:charset w:val="00"/>
    <w:family w:val="roman"/>
    <w:notTrueType/>
    <w:pitch w:val="default"/>
  </w:font>
  <w:font w:name="GHNJE F+ Gulliver IT">
    <w:altName w:val="Times New Roman"/>
    <w:panose1 w:val="020B0604020202020204"/>
    <w:charset w:val="01"/>
    <w:family w:val="roman"/>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294185"/>
      <w:docPartObj>
        <w:docPartGallery w:val="Page Numbers (Bottom of Page)"/>
        <w:docPartUnique/>
      </w:docPartObj>
    </w:sdtPr>
    <w:sdtEndPr>
      <w:rPr>
        <w:noProof/>
      </w:rPr>
    </w:sdtEndPr>
    <w:sdtContent>
      <w:p w14:paraId="0E3F38E9" w14:textId="3256A338" w:rsidR="00A379B0" w:rsidRDefault="00A379B0">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764A8D7" w14:textId="77777777" w:rsidR="00A379B0" w:rsidRDefault="00A37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9A6AC" w14:textId="77777777" w:rsidR="007C6312" w:rsidRDefault="007C6312">
      <w:r>
        <w:separator/>
      </w:r>
    </w:p>
  </w:footnote>
  <w:footnote w:type="continuationSeparator" w:id="0">
    <w:p w14:paraId="7EF7FF6F" w14:textId="77777777" w:rsidR="007C6312" w:rsidRDefault="007C6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EC19B2"/>
    <w:multiLevelType w:val="multilevel"/>
    <w:tmpl w:val="0F4ACC3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4645F43"/>
    <w:multiLevelType w:val="hybridMultilevel"/>
    <w:tmpl w:val="917E0B06"/>
    <w:lvl w:ilvl="0" w:tplc="31F05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B824F2"/>
    <w:multiLevelType w:val="multilevel"/>
    <w:tmpl w:val="46741FC8"/>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M2sjAztTQAMs0tTZR0lIJTi4sz8/NACgyNagFsVzpvLQAAAA=="/>
  </w:docVars>
  <w:rsids>
    <w:rsidRoot w:val="00F02E89"/>
    <w:rsid w:val="00022206"/>
    <w:rsid w:val="00027267"/>
    <w:rsid w:val="000431F9"/>
    <w:rsid w:val="00050362"/>
    <w:rsid w:val="00055EB6"/>
    <w:rsid w:val="0008465D"/>
    <w:rsid w:val="000B2EB8"/>
    <w:rsid w:val="000E37D6"/>
    <w:rsid w:val="000E48CC"/>
    <w:rsid w:val="000F4B02"/>
    <w:rsid w:val="00143529"/>
    <w:rsid w:val="00171C84"/>
    <w:rsid w:val="001B556E"/>
    <w:rsid w:val="001C2278"/>
    <w:rsid w:val="001C50A4"/>
    <w:rsid w:val="001E4AA4"/>
    <w:rsid w:val="001E664E"/>
    <w:rsid w:val="00200CA4"/>
    <w:rsid w:val="00210E93"/>
    <w:rsid w:val="00214287"/>
    <w:rsid w:val="00216035"/>
    <w:rsid w:val="00231FDB"/>
    <w:rsid w:val="002422E2"/>
    <w:rsid w:val="00287CD1"/>
    <w:rsid w:val="00291838"/>
    <w:rsid w:val="002B0007"/>
    <w:rsid w:val="002B0446"/>
    <w:rsid w:val="002D036B"/>
    <w:rsid w:val="002D3C24"/>
    <w:rsid w:val="002E01E0"/>
    <w:rsid w:val="002E4908"/>
    <w:rsid w:val="002E512E"/>
    <w:rsid w:val="002F71D1"/>
    <w:rsid w:val="0030392A"/>
    <w:rsid w:val="003263A7"/>
    <w:rsid w:val="00327ECD"/>
    <w:rsid w:val="00383B9C"/>
    <w:rsid w:val="00384A6E"/>
    <w:rsid w:val="003930A9"/>
    <w:rsid w:val="00393383"/>
    <w:rsid w:val="003978FA"/>
    <w:rsid w:val="003A426B"/>
    <w:rsid w:val="003C1F9D"/>
    <w:rsid w:val="003C4C3B"/>
    <w:rsid w:val="003D1CD5"/>
    <w:rsid w:val="003D5606"/>
    <w:rsid w:val="003F602A"/>
    <w:rsid w:val="0043271F"/>
    <w:rsid w:val="00463996"/>
    <w:rsid w:val="004701C1"/>
    <w:rsid w:val="004746A2"/>
    <w:rsid w:val="004769C6"/>
    <w:rsid w:val="00487909"/>
    <w:rsid w:val="004D1866"/>
    <w:rsid w:val="004D26FE"/>
    <w:rsid w:val="004E674D"/>
    <w:rsid w:val="0050232C"/>
    <w:rsid w:val="00517CC7"/>
    <w:rsid w:val="0053672E"/>
    <w:rsid w:val="00554AAD"/>
    <w:rsid w:val="00565650"/>
    <w:rsid w:val="0058749D"/>
    <w:rsid w:val="0059652B"/>
    <w:rsid w:val="005A76EC"/>
    <w:rsid w:val="005B0086"/>
    <w:rsid w:val="005D41D5"/>
    <w:rsid w:val="005E1565"/>
    <w:rsid w:val="005E1EB7"/>
    <w:rsid w:val="00601FF0"/>
    <w:rsid w:val="00603113"/>
    <w:rsid w:val="00603180"/>
    <w:rsid w:val="00605116"/>
    <w:rsid w:val="006125BA"/>
    <w:rsid w:val="0065635A"/>
    <w:rsid w:val="00664F78"/>
    <w:rsid w:val="006A78FF"/>
    <w:rsid w:val="006D47CE"/>
    <w:rsid w:val="0070384B"/>
    <w:rsid w:val="00710A7C"/>
    <w:rsid w:val="00712DE3"/>
    <w:rsid w:val="007222B6"/>
    <w:rsid w:val="00724F07"/>
    <w:rsid w:val="00731224"/>
    <w:rsid w:val="0075013E"/>
    <w:rsid w:val="00751273"/>
    <w:rsid w:val="00776700"/>
    <w:rsid w:val="0078731E"/>
    <w:rsid w:val="0079062E"/>
    <w:rsid w:val="007A0B28"/>
    <w:rsid w:val="007B1B96"/>
    <w:rsid w:val="007C6312"/>
    <w:rsid w:val="007D5877"/>
    <w:rsid w:val="007F0660"/>
    <w:rsid w:val="007F5EA0"/>
    <w:rsid w:val="007F6AAE"/>
    <w:rsid w:val="00820881"/>
    <w:rsid w:val="00841B88"/>
    <w:rsid w:val="0084475F"/>
    <w:rsid w:val="0086682D"/>
    <w:rsid w:val="00877C73"/>
    <w:rsid w:val="00895AA1"/>
    <w:rsid w:val="008B6F03"/>
    <w:rsid w:val="008C3276"/>
    <w:rsid w:val="008D0479"/>
    <w:rsid w:val="008D5155"/>
    <w:rsid w:val="008E3804"/>
    <w:rsid w:val="008F4E36"/>
    <w:rsid w:val="009002E0"/>
    <w:rsid w:val="00914BAC"/>
    <w:rsid w:val="009170C6"/>
    <w:rsid w:val="009314B4"/>
    <w:rsid w:val="00937F31"/>
    <w:rsid w:val="00950E53"/>
    <w:rsid w:val="009837EB"/>
    <w:rsid w:val="00985CAD"/>
    <w:rsid w:val="009A4CC2"/>
    <w:rsid w:val="009F09CB"/>
    <w:rsid w:val="009F1AE6"/>
    <w:rsid w:val="00A02432"/>
    <w:rsid w:val="00A215E5"/>
    <w:rsid w:val="00A264A9"/>
    <w:rsid w:val="00A379B0"/>
    <w:rsid w:val="00A72F95"/>
    <w:rsid w:val="00A77075"/>
    <w:rsid w:val="00A84416"/>
    <w:rsid w:val="00A9364A"/>
    <w:rsid w:val="00AB72CD"/>
    <w:rsid w:val="00AC010C"/>
    <w:rsid w:val="00B204A1"/>
    <w:rsid w:val="00B20EBB"/>
    <w:rsid w:val="00B326AC"/>
    <w:rsid w:val="00B5091A"/>
    <w:rsid w:val="00B65705"/>
    <w:rsid w:val="00B67325"/>
    <w:rsid w:val="00B67D34"/>
    <w:rsid w:val="00B8506D"/>
    <w:rsid w:val="00B9560E"/>
    <w:rsid w:val="00BC0AEE"/>
    <w:rsid w:val="00BC18FF"/>
    <w:rsid w:val="00BE0A96"/>
    <w:rsid w:val="00C02615"/>
    <w:rsid w:val="00C33566"/>
    <w:rsid w:val="00C359AE"/>
    <w:rsid w:val="00C44DDA"/>
    <w:rsid w:val="00C50E08"/>
    <w:rsid w:val="00C62DC2"/>
    <w:rsid w:val="00C82238"/>
    <w:rsid w:val="00C82ABD"/>
    <w:rsid w:val="00C95B03"/>
    <w:rsid w:val="00CE78B4"/>
    <w:rsid w:val="00CE7ABE"/>
    <w:rsid w:val="00CF1BA5"/>
    <w:rsid w:val="00CF5FC8"/>
    <w:rsid w:val="00D06376"/>
    <w:rsid w:val="00D162E6"/>
    <w:rsid w:val="00D23374"/>
    <w:rsid w:val="00D30C96"/>
    <w:rsid w:val="00D37D3F"/>
    <w:rsid w:val="00D876D5"/>
    <w:rsid w:val="00DC7F14"/>
    <w:rsid w:val="00DE232C"/>
    <w:rsid w:val="00E01693"/>
    <w:rsid w:val="00E36A9C"/>
    <w:rsid w:val="00E4004A"/>
    <w:rsid w:val="00E5601A"/>
    <w:rsid w:val="00E61EF7"/>
    <w:rsid w:val="00E705CD"/>
    <w:rsid w:val="00E86460"/>
    <w:rsid w:val="00EB64A1"/>
    <w:rsid w:val="00EC65B6"/>
    <w:rsid w:val="00ED4742"/>
    <w:rsid w:val="00EE30B8"/>
    <w:rsid w:val="00EF75EE"/>
    <w:rsid w:val="00F02E89"/>
    <w:rsid w:val="00F22248"/>
    <w:rsid w:val="00F2689A"/>
    <w:rsid w:val="00F30FBB"/>
    <w:rsid w:val="00F446B5"/>
    <w:rsid w:val="00F75E72"/>
    <w:rsid w:val="00F848FD"/>
    <w:rsid w:val="00FB584F"/>
    <w:rsid w:val="00FC3310"/>
    <w:rsid w:val="00FF40D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77254"/>
  <w15:docId w15:val="{DAE23BE9-22A7-49BC-A72D-EB985DFE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78EC"/>
    <w:rPr>
      <w:rFonts w:ascii="Times New Roman" w:eastAsia="Times New Roman" w:hAnsi="Times New Roman" w:cs="Times New Roman"/>
      <w:sz w:val="24"/>
      <w:szCs w:val="24"/>
    </w:rPr>
  </w:style>
  <w:style w:type="paragraph" w:styleId="Heading1">
    <w:name w:val="heading 1"/>
    <w:basedOn w:val="Normal"/>
    <w:link w:val="Heading1Char"/>
    <w:uiPriority w:val="9"/>
    <w:qFormat/>
    <w:rsid w:val="007478EC"/>
    <w:pPr>
      <w:spacing w:beforeAutospacing="1" w:afterAutospacing="1"/>
      <w:outlineLvl w:val="0"/>
    </w:pPr>
    <w:rPr>
      <w:b/>
      <w:bCs/>
      <w:sz w:val="48"/>
      <w:szCs w:val="48"/>
      <w:lang w:eastAsia="hr-HR"/>
    </w:rPr>
  </w:style>
  <w:style w:type="paragraph" w:styleId="Heading3">
    <w:name w:val="heading 3"/>
    <w:basedOn w:val="Normal"/>
    <w:next w:val="Normal"/>
    <w:link w:val="Heading3Char"/>
    <w:uiPriority w:val="9"/>
    <w:semiHidden/>
    <w:unhideWhenUsed/>
    <w:qFormat/>
    <w:rsid w:val="007478E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478E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478EC"/>
    <w:rPr>
      <w:rFonts w:ascii="Times New Roman" w:eastAsia="Times New Roman" w:hAnsi="Times New Roman" w:cs="Times New Roman"/>
      <w:b/>
      <w:bCs/>
      <w:sz w:val="48"/>
      <w:szCs w:val="48"/>
      <w:lang w:eastAsia="hr-HR"/>
    </w:rPr>
  </w:style>
  <w:style w:type="character" w:styleId="LineNumber">
    <w:name w:val="line number"/>
    <w:basedOn w:val="DefaultParagraphFont"/>
    <w:uiPriority w:val="99"/>
    <w:semiHidden/>
    <w:unhideWhenUsed/>
    <w:qFormat/>
    <w:rsid w:val="007478EC"/>
  </w:style>
  <w:style w:type="character" w:customStyle="1" w:styleId="Heading3Char">
    <w:name w:val="Heading 3 Char"/>
    <w:basedOn w:val="DefaultParagraphFont"/>
    <w:link w:val="Heading3"/>
    <w:uiPriority w:val="9"/>
    <w:semiHidden/>
    <w:qFormat/>
    <w:rsid w:val="007478E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qFormat/>
    <w:rsid w:val="007478EC"/>
    <w:rPr>
      <w:rFonts w:asciiTheme="majorHAnsi" w:eastAsiaTheme="majorEastAsia" w:hAnsiTheme="majorHAnsi" w:cstheme="majorBidi"/>
      <w:i/>
      <w:iCs/>
      <w:color w:val="2E74B5" w:themeColor="accent1" w:themeShade="BF"/>
      <w:sz w:val="24"/>
      <w:szCs w:val="24"/>
    </w:rPr>
  </w:style>
  <w:style w:type="character" w:customStyle="1" w:styleId="InternetLink">
    <w:name w:val="Internet Link"/>
    <w:basedOn w:val="DefaultParagraphFont"/>
    <w:uiPriority w:val="99"/>
    <w:unhideWhenUsed/>
    <w:rsid w:val="007478EC"/>
    <w:rPr>
      <w:color w:val="0000FF"/>
      <w:u w:val="single"/>
    </w:rPr>
  </w:style>
  <w:style w:type="character" w:customStyle="1" w:styleId="BalloonTextChar">
    <w:name w:val="Balloon Text Char"/>
    <w:basedOn w:val="DefaultParagraphFont"/>
    <w:link w:val="BalloonText"/>
    <w:uiPriority w:val="99"/>
    <w:semiHidden/>
    <w:qFormat/>
    <w:rsid w:val="007478EC"/>
    <w:rPr>
      <w:rFonts w:ascii="Tahoma" w:eastAsia="Calibri" w:hAnsi="Tahoma" w:cs="Tahoma"/>
      <w:sz w:val="16"/>
      <w:szCs w:val="16"/>
    </w:rPr>
  </w:style>
  <w:style w:type="character" w:customStyle="1" w:styleId="EndNoteBibliographyChar">
    <w:name w:val="EndNote Bibliography Char"/>
    <w:basedOn w:val="DefaultParagraphFont"/>
    <w:link w:val="EndNoteBibliography"/>
    <w:qFormat/>
    <w:rsid w:val="007478EC"/>
    <w:rPr>
      <w:rFonts w:ascii="Times New Roman" w:eastAsia="ヒラギノ角ゴ Pro W3" w:hAnsi="Times New Roman" w:cs="Times New Roman"/>
      <w:color w:val="000000"/>
      <w:sz w:val="24"/>
      <w:szCs w:val="24"/>
      <w:lang w:val="en-US"/>
    </w:rPr>
  </w:style>
  <w:style w:type="character" w:customStyle="1" w:styleId="CommentTextChar">
    <w:name w:val="Comment Text Char"/>
    <w:basedOn w:val="DefaultParagraphFont"/>
    <w:link w:val="CommentText"/>
    <w:uiPriority w:val="99"/>
    <w:qFormat/>
    <w:rsid w:val="007478EC"/>
    <w:rPr>
      <w:rFonts w:ascii="Calibri" w:eastAsia="Calibri" w:hAnsi="Calibri" w:cs="Calibri"/>
      <w:sz w:val="20"/>
      <w:szCs w:val="20"/>
    </w:rPr>
  </w:style>
  <w:style w:type="character" w:customStyle="1" w:styleId="CommentSubjectChar">
    <w:name w:val="Comment Subject Char"/>
    <w:basedOn w:val="CommentTextChar"/>
    <w:link w:val="CommentSubject"/>
    <w:uiPriority w:val="99"/>
    <w:semiHidden/>
    <w:qFormat/>
    <w:rsid w:val="007478EC"/>
    <w:rPr>
      <w:rFonts w:ascii="Calibri" w:eastAsia="Calibri" w:hAnsi="Calibri" w:cs="Calibri"/>
      <w:b/>
      <w:bCs/>
      <w:sz w:val="20"/>
      <w:szCs w:val="20"/>
    </w:rPr>
  </w:style>
  <w:style w:type="character" w:customStyle="1" w:styleId="shorttext">
    <w:name w:val="short_text"/>
    <w:basedOn w:val="DefaultParagraphFont"/>
    <w:qFormat/>
    <w:rsid w:val="007478EC"/>
  </w:style>
  <w:style w:type="character" w:customStyle="1" w:styleId="EndnoteTextChar">
    <w:name w:val="Endnote Text Char"/>
    <w:basedOn w:val="DefaultParagraphFont"/>
    <w:link w:val="EndnoteText"/>
    <w:uiPriority w:val="99"/>
    <w:semiHidden/>
    <w:qFormat/>
    <w:rsid w:val="007478EC"/>
    <w:rPr>
      <w:rFonts w:ascii="Calibri" w:eastAsia="Calibri" w:hAnsi="Calibri" w:cs="Calibri"/>
      <w:sz w:val="20"/>
      <w:szCs w:val="20"/>
    </w:rPr>
  </w:style>
  <w:style w:type="character" w:customStyle="1" w:styleId="collabsible-text">
    <w:name w:val="collabsible-text"/>
    <w:basedOn w:val="DefaultParagraphFont"/>
    <w:qFormat/>
    <w:rsid w:val="007478EC"/>
  </w:style>
  <w:style w:type="character" w:customStyle="1" w:styleId="st">
    <w:name w:val="st"/>
    <w:basedOn w:val="DefaultParagraphFont"/>
    <w:qFormat/>
    <w:rsid w:val="007478EC"/>
  </w:style>
  <w:style w:type="character" w:styleId="Emphasis">
    <w:name w:val="Emphasis"/>
    <w:basedOn w:val="DefaultParagraphFont"/>
    <w:uiPriority w:val="20"/>
    <w:qFormat/>
    <w:rsid w:val="007478EC"/>
    <w:rPr>
      <w:i/>
      <w:iCs/>
    </w:rPr>
  </w:style>
  <w:style w:type="character" w:customStyle="1" w:styleId="element-citation">
    <w:name w:val="element-citation"/>
    <w:basedOn w:val="DefaultParagraphFont"/>
    <w:qFormat/>
    <w:rsid w:val="007478EC"/>
  </w:style>
  <w:style w:type="character" w:customStyle="1" w:styleId="ref-journal">
    <w:name w:val="ref-journal"/>
    <w:basedOn w:val="DefaultParagraphFont"/>
    <w:qFormat/>
    <w:rsid w:val="007478EC"/>
  </w:style>
  <w:style w:type="character" w:customStyle="1" w:styleId="ref-vol">
    <w:name w:val="ref-vol"/>
    <w:basedOn w:val="DefaultParagraphFont"/>
    <w:qFormat/>
    <w:rsid w:val="007478EC"/>
  </w:style>
  <w:style w:type="character" w:customStyle="1" w:styleId="HTMLPreformattedChar">
    <w:name w:val="HTML Preformatted Char"/>
    <w:basedOn w:val="DefaultParagraphFont"/>
    <w:link w:val="HTMLPreformatted"/>
    <w:uiPriority w:val="99"/>
    <w:semiHidden/>
    <w:qFormat/>
    <w:rsid w:val="007478EC"/>
    <w:rPr>
      <w:rFonts w:ascii="Courier New" w:eastAsia="Times New Roman" w:hAnsi="Courier New" w:cs="Courier New"/>
      <w:sz w:val="20"/>
      <w:szCs w:val="20"/>
      <w:lang w:eastAsia="hr-HR"/>
    </w:rPr>
  </w:style>
  <w:style w:type="character" w:customStyle="1" w:styleId="A7">
    <w:name w:val="A7"/>
    <w:uiPriority w:val="99"/>
    <w:qFormat/>
    <w:rsid w:val="007478EC"/>
    <w:rPr>
      <w:rFonts w:ascii="Mathematical Pi" w:eastAsia="Mathematical Pi" w:hAnsi="Mathematical Pi" w:cs="Mathematical Pi"/>
      <w:color w:val="000000"/>
      <w:sz w:val="13"/>
      <w:szCs w:val="13"/>
    </w:rPr>
  </w:style>
  <w:style w:type="character" w:customStyle="1" w:styleId="figpopup-sensitive-area">
    <w:name w:val="figpopup-sensitive-area"/>
    <w:basedOn w:val="DefaultParagraphFont"/>
    <w:qFormat/>
    <w:rsid w:val="007478EC"/>
  </w:style>
  <w:style w:type="character" w:customStyle="1" w:styleId="FootnoteTextChar">
    <w:name w:val="Footnote Text Char"/>
    <w:basedOn w:val="DefaultParagraphFont"/>
    <w:link w:val="FootnoteText"/>
    <w:uiPriority w:val="99"/>
    <w:semiHidden/>
    <w:qFormat/>
    <w:rsid w:val="007478EC"/>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qFormat/>
    <w:rsid w:val="007478EC"/>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478EC"/>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FE5305"/>
    <w:rPr>
      <w:sz w:val="16"/>
      <w:szCs w:val="16"/>
    </w:rPr>
  </w:style>
  <w:style w:type="character" w:customStyle="1" w:styleId="ListLabel1">
    <w:name w:val="ListLabel 1"/>
    <w:qFormat/>
    <w:rPr>
      <w:rFonts w:ascii="Times New Roman" w:eastAsia="Times New Roman" w:hAnsi="Times New Roman" w:cs="Times New Roman"/>
      <w:b/>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eastAsia="Noto Sans CJK SC Regular" w:cs="FreeSans"/>
    </w:rPr>
  </w:style>
  <w:style w:type="paragraph" w:styleId="Caption">
    <w:name w:val="caption"/>
    <w:basedOn w:val="Normal"/>
    <w:qFormat/>
    <w:pPr>
      <w:suppressLineNumbers/>
      <w:spacing w:before="120" w:after="120"/>
    </w:pPr>
    <w:rPr>
      <w:rFonts w:eastAsia="Noto Sans CJK SC Regular" w:cs="FreeSans"/>
      <w:i/>
      <w:iCs/>
    </w:rPr>
  </w:style>
  <w:style w:type="paragraph" w:customStyle="1" w:styleId="Index">
    <w:name w:val="Index"/>
    <w:basedOn w:val="Normal"/>
    <w:qFormat/>
    <w:pPr>
      <w:suppressLineNumbers/>
    </w:pPr>
    <w:rPr>
      <w:rFonts w:eastAsia="Noto Sans CJK SC Regular" w:cs="FreeSans"/>
    </w:rPr>
  </w:style>
  <w:style w:type="paragraph" w:styleId="ListParagraph">
    <w:name w:val="List Paragraph"/>
    <w:basedOn w:val="Normal"/>
    <w:uiPriority w:val="34"/>
    <w:qFormat/>
    <w:rsid w:val="007478EC"/>
    <w:pPr>
      <w:spacing w:after="200" w:line="276" w:lineRule="auto"/>
      <w:ind w:left="720"/>
      <w:contextualSpacing/>
    </w:pPr>
    <w:rPr>
      <w:rFonts w:ascii="Calibri" w:eastAsia="Calibri" w:hAnsi="Calibri" w:cs="Calibri"/>
      <w:sz w:val="22"/>
      <w:szCs w:val="22"/>
    </w:rPr>
  </w:style>
  <w:style w:type="paragraph" w:styleId="BalloonText">
    <w:name w:val="Balloon Text"/>
    <w:basedOn w:val="Normal"/>
    <w:link w:val="BalloonTextChar"/>
    <w:uiPriority w:val="99"/>
    <w:semiHidden/>
    <w:unhideWhenUsed/>
    <w:qFormat/>
    <w:rsid w:val="007478EC"/>
    <w:rPr>
      <w:rFonts w:ascii="Tahoma" w:eastAsia="Calibri" w:hAnsi="Tahoma" w:cs="Tahoma"/>
      <w:sz w:val="16"/>
      <w:szCs w:val="16"/>
    </w:rPr>
  </w:style>
  <w:style w:type="paragraph" w:customStyle="1" w:styleId="EndNoteBibliography">
    <w:name w:val="EndNote Bibliography"/>
    <w:basedOn w:val="Normal"/>
    <w:link w:val="EndNoteBibliographyChar"/>
    <w:qFormat/>
    <w:rsid w:val="007478EC"/>
    <w:rPr>
      <w:rFonts w:eastAsia="ヒラギノ角ゴ Pro W3"/>
      <w:color w:val="000000"/>
      <w:lang w:val="en-US"/>
    </w:rPr>
  </w:style>
  <w:style w:type="paragraph" w:styleId="CommentText">
    <w:name w:val="annotation text"/>
    <w:basedOn w:val="Normal"/>
    <w:link w:val="CommentTextChar"/>
    <w:uiPriority w:val="99"/>
    <w:unhideWhenUsed/>
    <w:qFormat/>
    <w:rsid w:val="007478EC"/>
    <w:pPr>
      <w:spacing w:after="200"/>
    </w:pPr>
    <w:rPr>
      <w:rFonts w:ascii="Calibri" w:eastAsia="Calibri" w:hAnsi="Calibri" w:cs="Calibri"/>
      <w:sz w:val="20"/>
      <w:szCs w:val="20"/>
    </w:rPr>
  </w:style>
  <w:style w:type="paragraph" w:styleId="CommentSubject">
    <w:name w:val="annotation subject"/>
    <w:basedOn w:val="CommentText"/>
    <w:link w:val="CommentSubjectChar"/>
    <w:uiPriority w:val="99"/>
    <w:semiHidden/>
    <w:unhideWhenUsed/>
    <w:qFormat/>
    <w:rsid w:val="007478EC"/>
    <w:rPr>
      <w:b/>
      <w:bCs/>
    </w:rPr>
  </w:style>
  <w:style w:type="paragraph" w:styleId="EndnoteText">
    <w:name w:val="endnote text"/>
    <w:basedOn w:val="Normal"/>
    <w:link w:val="EndnoteTextChar"/>
    <w:uiPriority w:val="99"/>
    <w:semiHidden/>
    <w:unhideWhenUsed/>
    <w:qFormat/>
    <w:rsid w:val="007478EC"/>
    <w:rPr>
      <w:rFonts w:ascii="Calibri" w:eastAsia="Calibri" w:hAnsi="Calibri" w:cs="Calibri"/>
      <w:sz w:val="20"/>
      <w:szCs w:val="20"/>
    </w:rPr>
  </w:style>
  <w:style w:type="paragraph" w:styleId="HTMLPreformatted">
    <w:name w:val="HTML Preformatted"/>
    <w:basedOn w:val="Normal"/>
    <w:link w:val="HTMLPreformattedChar"/>
    <w:uiPriority w:val="99"/>
    <w:semiHidden/>
    <w:unhideWhenUsed/>
    <w:qFormat/>
    <w:rsid w:val="00747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hr-HR"/>
    </w:rPr>
  </w:style>
  <w:style w:type="paragraph" w:customStyle="1" w:styleId="Default">
    <w:name w:val="Default"/>
    <w:qFormat/>
    <w:rsid w:val="007478EC"/>
    <w:rPr>
      <w:rFonts w:ascii="GHNJE F+ Gulliver IT" w:eastAsia="Calibri" w:hAnsi="GHNJE F+ Gulliver IT" w:cs="GHNJE F+ Gulliver IT"/>
      <w:color w:val="000000"/>
      <w:sz w:val="24"/>
      <w:szCs w:val="24"/>
    </w:rPr>
  </w:style>
  <w:style w:type="paragraph" w:styleId="FootnoteText">
    <w:name w:val="footnote text"/>
    <w:basedOn w:val="Normal"/>
    <w:link w:val="FootnoteTextChar"/>
    <w:uiPriority w:val="99"/>
    <w:semiHidden/>
    <w:unhideWhenUsed/>
    <w:qFormat/>
    <w:rsid w:val="007478EC"/>
    <w:rPr>
      <w:sz w:val="20"/>
      <w:szCs w:val="20"/>
    </w:rPr>
  </w:style>
  <w:style w:type="paragraph" w:styleId="Header">
    <w:name w:val="header"/>
    <w:basedOn w:val="Normal"/>
    <w:link w:val="HeaderChar"/>
    <w:uiPriority w:val="99"/>
    <w:unhideWhenUsed/>
    <w:rsid w:val="007478EC"/>
    <w:pPr>
      <w:suppressLineNumbers/>
      <w:tabs>
        <w:tab w:val="center" w:pos="4536"/>
        <w:tab w:val="right" w:pos="9072"/>
      </w:tabs>
    </w:pPr>
  </w:style>
  <w:style w:type="paragraph" w:styleId="Footer">
    <w:name w:val="footer"/>
    <w:basedOn w:val="Normal"/>
    <w:link w:val="FooterChar"/>
    <w:uiPriority w:val="99"/>
    <w:unhideWhenUsed/>
    <w:rsid w:val="007478EC"/>
    <w:pPr>
      <w:suppressLineNumbers/>
      <w:tabs>
        <w:tab w:val="center" w:pos="4536"/>
        <w:tab w:val="right" w:pos="9072"/>
      </w:tabs>
    </w:pPr>
  </w:style>
  <w:style w:type="table" w:styleId="TableGrid">
    <w:name w:val="Table Grid"/>
    <w:basedOn w:val="TableNormal"/>
    <w:uiPriority w:val="39"/>
    <w:rsid w:val="007478E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652B"/>
    <w:rPr>
      <w:color w:val="0000FF"/>
      <w:u w:val="single"/>
    </w:rPr>
  </w:style>
  <w:style w:type="character" w:customStyle="1" w:styleId="title-text">
    <w:name w:val="title-text"/>
    <w:basedOn w:val="DefaultParagraphFont"/>
    <w:rsid w:val="00D23374"/>
  </w:style>
  <w:style w:type="character" w:styleId="UnresolvedMention">
    <w:name w:val="Unresolved Mention"/>
    <w:basedOn w:val="DefaultParagraphFont"/>
    <w:uiPriority w:val="99"/>
    <w:semiHidden/>
    <w:unhideWhenUsed/>
    <w:rsid w:val="00055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362">
      <w:bodyDiv w:val="1"/>
      <w:marLeft w:val="0"/>
      <w:marRight w:val="0"/>
      <w:marTop w:val="0"/>
      <w:marBottom w:val="0"/>
      <w:divBdr>
        <w:top w:val="none" w:sz="0" w:space="0" w:color="auto"/>
        <w:left w:val="none" w:sz="0" w:space="0" w:color="auto"/>
        <w:bottom w:val="none" w:sz="0" w:space="0" w:color="auto"/>
        <w:right w:val="none" w:sz="0" w:space="0" w:color="auto"/>
      </w:divBdr>
    </w:div>
    <w:div w:id="285360177">
      <w:bodyDiv w:val="1"/>
      <w:marLeft w:val="0"/>
      <w:marRight w:val="0"/>
      <w:marTop w:val="0"/>
      <w:marBottom w:val="0"/>
      <w:divBdr>
        <w:top w:val="none" w:sz="0" w:space="0" w:color="auto"/>
        <w:left w:val="none" w:sz="0" w:space="0" w:color="auto"/>
        <w:bottom w:val="none" w:sz="0" w:space="0" w:color="auto"/>
        <w:right w:val="none" w:sz="0" w:space="0" w:color="auto"/>
      </w:divBdr>
    </w:div>
    <w:div w:id="304624072">
      <w:bodyDiv w:val="1"/>
      <w:marLeft w:val="0"/>
      <w:marRight w:val="0"/>
      <w:marTop w:val="0"/>
      <w:marBottom w:val="0"/>
      <w:divBdr>
        <w:top w:val="none" w:sz="0" w:space="0" w:color="auto"/>
        <w:left w:val="none" w:sz="0" w:space="0" w:color="auto"/>
        <w:bottom w:val="none" w:sz="0" w:space="0" w:color="auto"/>
        <w:right w:val="none" w:sz="0" w:space="0" w:color="auto"/>
      </w:divBdr>
    </w:div>
    <w:div w:id="393549319">
      <w:bodyDiv w:val="1"/>
      <w:marLeft w:val="0"/>
      <w:marRight w:val="0"/>
      <w:marTop w:val="0"/>
      <w:marBottom w:val="0"/>
      <w:divBdr>
        <w:top w:val="none" w:sz="0" w:space="0" w:color="auto"/>
        <w:left w:val="none" w:sz="0" w:space="0" w:color="auto"/>
        <w:bottom w:val="none" w:sz="0" w:space="0" w:color="auto"/>
        <w:right w:val="none" w:sz="0" w:space="0" w:color="auto"/>
      </w:divBdr>
    </w:div>
    <w:div w:id="1073816982">
      <w:bodyDiv w:val="1"/>
      <w:marLeft w:val="0"/>
      <w:marRight w:val="0"/>
      <w:marTop w:val="0"/>
      <w:marBottom w:val="0"/>
      <w:divBdr>
        <w:top w:val="none" w:sz="0" w:space="0" w:color="auto"/>
        <w:left w:val="none" w:sz="0" w:space="0" w:color="auto"/>
        <w:bottom w:val="none" w:sz="0" w:space="0" w:color="auto"/>
        <w:right w:val="none" w:sz="0" w:space="0" w:color="auto"/>
      </w:divBdr>
    </w:div>
    <w:div w:id="1250580311">
      <w:bodyDiv w:val="1"/>
      <w:marLeft w:val="0"/>
      <w:marRight w:val="0"/>
      <w:marTop w:val="0"/>
      <w:marBottom w:val="0"/>
      <w:divBdr>
        <w:top w:val="none" w:sz="0" w:space="0" w:color="auto"/>
        <w:left w:val="none" w:sz="0" w:space="0" w:color="auto"/>
        <w:bottom w:val="none" w:sz="0" w:space="0" w:color="auto"/>
        <w:right w:val="none" w:sz="0" w:space="0" w:color="auto"/>
      </w:divBdr>
    </w:div>
    <w:div w:id="1580482846">
      <w:bodyDiv w:val="1"/>
      <w:marLeft w:val="0"/>
      <w:marRight w:val="0"/>
      <w:marTop w:val="0"/>
      <w:marBottom w:val="0"/>
      <w:divBdr>
        <w:top w:val="none" w:sz="0" w:space="0" w:color="auto"/>
        <w:left w:val="none" w:sz="0" w:space="0" w:color="auto"/>
        <w:bottom w:val="none" w:sz="0" w:space="0" w:color="auto"/>
        <w:right w:val="none" w:sz="0" w:space="0" w:color="auto"/>
      </w:divBdr>
    </w:div>
    <w:div w:id="1612586731">
      <w:bodyDiv w:val="1"/>
      <w:marLeft w:val="0"/>
      <w:marRight w:val="0"/>
      <w:marTop w:val="0"/>
      <w:marBottom w:val="0"/>
      <w:divBdr>
        <w:top w:val="none" w:sz="0" w:space="0" w:color="auto"/>
        <w:left w:val="none" w:sz="0" w:space="0" w:color="auto"/>
        <w:bottom w:val="none" w:sz="0" w:space="0" w:color="auto"/>
        <w:right w:val="none" w:sz="0" w:space="0" w:color="auto"/>
      </w:divBdr>
    </w:div>
    <w:div w:id="1692029133">
      <w:bodyDiv w:val="1"/>
      <w:marLeft w:val="0"/>
      <w:marRight w:val="0"/>
      <w:marTop w:val="0"/>
      <w:marBottom w:val="0"/>
      <w:divBdr>
        <w:top w:val="none" w:sz="0" w:space="0" w:color="auto"/>
        <w:left w:val="none" w:sz="0" w:space="0" w:color="auto"/>
        <w:bottom w:val="none" w:sz="0" w:space="0" w:color="auto"/>
        <w:right w:val="none" w:sz="0" w:space="0" w:color="auto"/>
      </w:divBdr>
    </w:div>
    <w:div w:id="1749187386">
      <w:bodyDiv w:val="1"/>
      <w:marLeft w:val="0"/>
      <w:marRight w:val="0"/>
      <w:marTop w:val="0"/>
      <w:marBottom w:val="0"/>
      <w:divBdr>
        <w:top w:val="none" w:sz="0" w:space="0" w:color="auto"/>
        <w:left w:val="none" w:sz="0" w:space="0" w:color="auto"/>
        <w:bottom w:val="none" w:sz="0" w:space="0" w:color="auto"/>
        <w:right w:val="none" w:sz="0" w:space="0" w:color="auto"/>
      </w:divBdr>
    </w:div>
    <w:div w:id="1762676450">
      <w:bodyDiv w:val="1"/>
      <w:marLeft w:val="0"/>
      <w:marRight w:val="0"/>
      <w:marTop w:val="0"/>
      <w:marBottom w:val="0"/>
      <w:divBdr>
        <w:top w:val="none" w:sz="0" w:space="0" w:color="auto"/>
        <w:left w:val="none" w:sz="0" w:space="0" w:color="auto"/>
        <w:bottom w:val="none" w:sz="0" w:space="0" w:color="auto"/>
        <w:right w:val="none" w:sz="0" w:space="0" w:color="auto"/>
      </w:divBdr>
    </w:div>
    <w:div w:id="1847943984">
      <w:bodyDiv w:val="1"/>
      <w:marLeft w:val="0"/>
      <w:marRight w:val="0"/>
      <w:marTop w:val="0"/>
      <w:marBottom w:val="0"/>
      <w:divBdr>
        <w:top w:val="none" w:sz="0" w:space="0" w:color="auto"/>
        <w:left w:val="none" w:sz="0" w:space="0" w:color="auto"/>
        <w:bottom w:val="none" w:sz="0" w:space="0" w:color="auto"/>
        <w:right w:val="none" w:sz="0" w:space="0" w:color="auto"/>
      </w:divBdr>
    </w:div>
    <w:div w:id="1914780552">
      <w:bodyDiv w:val="1"/>
      <w:marLeft w:val="0"/>
      <w:marRight w:val="0"/>
      <w:marTop w:val="0"/>
      <w:marBottom w:val="0"/>
      <w:divBdr>
        <w:top w:val="none" w:sz="0" w:space="0" w:color="auto"/>
        <w:left w:val="none" w:sz="0" w:space="0" w:color="auto"/>
        <w:bottom w:val="none" w:sz="0" w:space="0" w:color="auto"/>
        <w:right w:val="none" w:sz="0" w:space="0" w:color="auto"/>
      </w:divBdr>
    </w:div>
    <w:div w:id="1944992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b.hr/eng/Research/Divisions/Division-of-Materials-Chemistry/Laboratory-for-Synthesis-of-New-Material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3812A-E1BB-9444-8645-3855E976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27</Pages>
  <Words>44448</Words>
  <Characters>253360</Characters>
  <Application>Microsoft Office Word</Application>
  <DocSecurity>0</DocSecurity>
  <Lines>2111</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dc:creator>
  <dc:description/>
  <cp:lastModifiedBy>Microsoft Office User</cp:lastModifiedBy>
  <cp:revision>33</cp:revision>
  <cp:lastPrinted>2019-11-30T17:10:00Z</cp:lastPrinted>
  <dcterms:created xsi:type="dcterms:W3CDTF">2020-01-29T08:37:00Z</dcterms:created>
  <dcterms:modified xsi:type="dcterms:W3CDTF">2020-02-05T09:59:00Z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http://www.zotero.org/styles/microporous-and-mesoporous-materials</vt:lpwstr>
  </property>
  <property fmtid="{D5CDD505-2E9C-101B-9397-08002B2CF9AE}" pid="7" name="Mendeley Document_1">
    <vt:lpwstr>True</vt:lpwstr>
  </property>
  <property fmtid="{D5CDD505-2E9C-101B-9397-08002B2CF9AE}" pid="8" name="Mendeley Unique User Id_1">
    <vt:lpwstr>20f43bc9-a36b-3644-a9b5-41e5914d88b6</vt:lpwstr>
  </property>
  <property fmtid="{D5CDD505-2E9C-101B-9397-08002B2CF9AE}" pid="9" name="ScaleCrop">
    <vt:bool>false</vt:bool>
  </property>
  <property fmtid="{D5CDD505-2E9C-101B-9397-08002B2CF9AE}" pid="10" name="ShareDoc">
    <vt:bool>false</vt:bool>
  </property>
  <property fmtid="{D5CDD505-2E9C-101B-9397-08002B2CF9AE}" pid="11" name="Mendeley Recent Style Id 0_1">
    <vt:lpwstr>http://www.zotero.org/styles/american-political-science-association</vt:lpwstr>
  </property>
  <property fmtid="{D5CDD505-2E9C-101B-9397-08002B2CF9AE}" pid="12" name="Mendeley Recent Style Name 0_1">
    <vt:lpwstr>American Political Science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http://www.zotero.org/styles/chicago-author-date</vt:lpwstr>
  </property>
  <property fmtid="{D5CDD505-2E9C-101B-9397-08002B2CF9AE}" pid="16" name="Mendeley Recent Style Name 2_1">
    <vt:lpwstr>Chicago Manual of Style 17th edition (author-date)</vt:lpwstr>
  </property>
  <property fmtid="{D5CDD505-2E9C-101B-9397-08002B2CF9AE}" pid="17" name="Mendeley Recent Style Id 3_1">
    <vt:lpwstr>http://www.zotero.org/styles/harvard-cite-them-right</vt:lpwstr>
  </property>
  <property fmtid="{D5CDD505-2E9C-101B-9397-08002B2CF9AE}" pid="18" name="Mendeley Recent Style Name 3_1">
    <vt:lpwstr>Cite Them Right 10th edition - Harvard</vt:lpwstr>
  </property>
  <property fmtid="{D5CDD505-2E9C-101B-9397-08002B2CF9AE}" pid="19" name="Mendeley Recent Style Id 4_1">
    <vt:lpwstr>http://www.zotero.org/styles/ieee</vt:lpwstr>
  </property>
  <property fmtid="{D5CDD505-2E9C-101B-9397-08002B2CF9AE}" pid="20" name="Mendeley Recent Style Name 4_1">
    <vt:lpwstr>IEEE</vt:lpwstr>
  </property>
  <property fmtid="{D5CDD505-2E9C-101B-9397-08002B2CF9AE}" pid="21" name="Mendeley Recent Style Id 5_1">
    <vt:lpwstr>http://www.zotero.org/styles/microporous-and-mesoporous-materials</vt:lpwstr>
  </property>
  <property fmtid="{D5CDD505-2E9C-101B-9397-08002B2CF9AE}" pid="22" name="Mendeley Recent Style Name 5_1">
    <vt:lpwstr>Microporous and Mesoporous Materials</vt:lpwstr>
  </property>
  <property fmtid="{D5CDD505-2E9C-101B-9397-08002B2CF9AE}" pid="23" name="Mendeley Recent Style Id 6_1">
    <vt:lpwstr>http://www.zotero.org/styles/modern-humanities-research-association</vt:lpwstr>
  </property>
  <property fmtid="{D5CDD505-2E9C-101B-9397-08002B2CF9AE}" pid="24" name="Mendeley Recent Style Name 6_1">
    <vt:lpwstr>Modern Humanities Research Association 3rd edition (note with bibliography)</vt:lpwstr>
  </property>
  <property fmtid="{D5CDD505-2E9C-101B-9397-08002B2CF9AE}" pid="25" name="Mendeley Recent Style Id 7_1">
    <vt:lpwstr>http://www.zotero.org/styles/modern-language-association</vt:lpwstr>
  </property>
  <property fmtid="{D5CDD505-2E9C-101B-9397-08002B2CF9AE}" pid="26" name="Mendeley Recent Style Name 7_1">
    <vt:lpwstr>Modern Language Association 8th edition</vt:lpwstr>
  </property>
  <property fmtid="{D5CDD505-2E9C-101B-9397-08002B2CF9AE}" pid="27" name="Mendeley Recent Style Id 8_1">
    <vt:lpwstr>http://www.zotero.org/styles/nature</vt:lpwstr>
  </property>
  <property fmtid="{D5CDD505-2E9C-101B-9397-08002B2CF9AE}" pid="28" name="Mendeley Recent Style Name 8_1">
    <vt:lpwstr>Nature</vt:lpwstr>
  </property>
  <property fmtid="{D5CDD505-2E9C-101B-9397-08002B2CF9AE}" pid="29" name="Mendeley Recent Style Id 9_1">
    <vt:lpwstr>http://www.zotero.org/styles/vancouver</vt:lpwstr>
  </property>
  <property fmtid="{D5CDD505-2E9C-101B-9397-08002B2CF9AE}" pid="30" name="Mendeley Recent Style Name 9_1">
    <vt:lpwstr>Vancouver</vt:lpwstr>
  </property>
</Properties>
</file>