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125A9" w14:textId="77777777" w:rsidR="00824E31" w:rsidRDefault="00824E31" w:rsidP="00527FA2">
      <w:pPr>
        <w:shd w:val="clear" w:color="auto" w:fill="FFFFFF"/>
        <w:autoSpaceDE w:val="0"/>
        <w:autoSpaceDN w:val="0"/>
        <w:adjustRightInd w:val="0"/>
        <w:spacing w:line="480" w:lineRule="auto"/>
        <w:ind w:firstLine="426"/>
        <w:jc w:val="center"/>
        <w:rPr>
          <w:rFonts w:eastAsia="GulliverRM"/>
          <w:b/>
          <w:color w:val="000000"/>
          <w:lang w:eastAsia="hr-HR"/>
        </w:rPr>
      </w:pPr>
      <w:bookmarkStart w:id="0" w:name="_GoBack"/>
      <w:r>
        <w:rPr>
          <w:rFonts w:eastAsia="GulliverRM"/>
          <w:b/>
          <w:color w:val="000000"/>
          <w:lang w:eastAsia="hr-HR"/>
        </w:rPr>
        <w:t>READY</w:t>
      </w:r>
      <w:bookmarkEnd w:id="0"/>
      <w:r>
        <w:rPr>
          <w:rFonts w:eastAsia="GulliverRM"/>
          <w:b/>
          <w:color w:val="000000"/>
          <w:lang w:eastAsia="hr-HR"/>
        </w:rPr>
        <w:t xml:space="preserve">-TO-USE </w:t>
      </w:r>
      <w:r w:rsidRPr="00F76969">
        <w:rPr>
          <w:rFonts w:eastAsia="GulliverRM"/>
          <w:b/>
          <w:color w:val="000000"/>
          <w:lang w:eastAsia="hr-HR"/>
        </w:rPr>
        <w:t xml:space="preserve">GREEN </w:t>
      </w:r>
      <w:r>
        <w:rPr>
          <w:rFonts w:eastAsia="GulliverRM"/>
          <w:b/>
          <w:color w:val="000000"/>
          <w:lang w:eastAsia="hr-HR"/>
        </w:rPr>
        <w:t>POLYPHENOL</w:t>
      </w:r>
      <w:r w:rsidRPr="00F76969">
        <w:rPr>
          <w:rFonts w:eastAsia="GulliverRM"/>
          <w:b/>
          <w:color w:val="000000"/>
          <w:lang w:eastAsia="hr-HR"/>
        </w:rPr>
        <w:t xml:space="preserve">IC EXTRACTS </w:t>
      </w:r>
      <w:r>
        <w:rPr>
          <w:rFonts w:eastAsia="GulliverRM"/>
          <w:b/>
          <w:color w:val="000000"/>
          <w:lang w:eastAsia="hr-HR"/>
        </w:rPr>
        <w:t xml:space="preserve">FROM </w:t>
      </w:r>
      <w:r w:rsidRPr="00F76969">
        <w:rPr>
          <w:rFonts w:eastAsia="GulliverRM"/>
          <w:b/>
          <w:color w:val="000000"/>
          <w:lang w:eastAsia="hr-HR"/>
        </w:rPr>
        <w:t>FOOD BY-PRODUCTS</w:t>
      </w:r>
    </w:p>
    <w:p w14:paraId="288E9159" w14:textId="77777777" w:rsidR="00824E31" w:rsidRDefault="00824E31" w:rsidP="00527FA2">
      <w:pPr>
        <w:shd w:val="clear" w:color="auto" w:fill="FFFFFF"/>
        <w:autoSpaceDE w:val="0"/>
        <w:autoSpaceDN w:val="0"/>
        <w:adjustRightInd w:val="0"/>
        <w:spacing w:line="480" w:lineRule="auto"/>
        <w:rPr>
          <w:color w:val="000000"/>
          <w:vertAlign w:val="superscript"/>
          <w:lang w:eastAsia="hr-HR"/>
        </w:rPr>
      </w:pPr>
      <w:r>
        <w:rPr>
          <w:color w:val="000000"/>
          <w:lang w:eastAsia="hr-HR"/>
        </w:rPr>
        <w:t>Manuela Panić</w:t>
      </w:r>
      <w:r>
        <w:rPr>
          <w:color w:val="000000"/>
          <w:vertAlign w:val="superscript"/>
          <w:lang w:eastAsia="hr-HR"/>
        </w:rPr>
        <w:t>a</w:t>
      </w:r>
      <w:r>
        <w:rPr>
          <w:color w:val="000000"/>
          <w:lang w:eastAsia="hr-HR"/>
        </w:rPr>
        <w:t xml:space="preserve">, </w:t>
      </w:r>
      <w:r>
        <w:t>Marijana Radić Stojković</w:t>
      </w:r>
      <w:r>
        <w:rPr>
          <w:vertAlign w:val="superscript"/>
        </w:rPr>
        <w:t>b</w:t>
      </w:r>
      <w:r>
        <w:t xml:space="preserve">, </w:t>
      </w:r>
      <w:r>
        <w:rPr>
          <w:color w:val="000000"/>
          <w:lang w:eastAsia="hr-HR"/>
        </w:rPr>
        <w:t>Klara Kraljić</w:t>
      </w:r>
      <w:r>
        <w:rPr>
          <w:color w:val="000000"/>
          <w:vertAlign w:val="superscript"/>
          <w:lang w:eastAsia="hr-HR"/>
        </w:rPr>
        <w:t>a</w:t>
      </w:r>
      <w:r>
        <w:rPr>
          <w:color w:val="000000"/>
          <w:lang w:eastAsia="hr-HR"/>
        </w:rPr>
        <w:t xml:space="preserve">, </w:t>
      </w:r>
      <w:r w:rsidRPr="00075A90">
        <w:rPr>
          <w:color w:val="000000"/>
          <w:lang w:eastAsia="hr-HR"/>
        </w:rPr>
        <w:t>Dubravka Škevin</w:t>
      </w:r>
      <w:r w:rsidRPr="00075A90">
        <w:rPr>
          <w:color w:val="000000"/>
          <w:vertAlign w:val="superscript"/>
          <w:lang w:eastAsia="hr-HR"/>
        </w:rPr>
        <w:t>a</w:t>
      </w:r>
      <w:r w:rsidRPr="00075A90">
        <w:rPr>
          <w:color w:val="000000"/>
          <w:lang w:eastAsia="hr-HR"/>
        </w:rPr>
        <w:t>, Ivana Radojčić Redovniković</w:t>
      </w:r>
      <w:r w:rsidRPr="00075A90">
        <w:rPr>
          <w:color w:val="000000"/>
          <w:vertAlign w:val="superscript"/>
          <w:lang w:eastAsia="hr-HR"/>
        </w:rPr>
        <w:t>a*</w:t>
      </w:r>
      <w:r>
        <w:rPr>
          <w:color w:val="000000"/>
          <w:lang w:eastAsia="hr-HR"/>
        </w:rPr>
        <w:t>,</w:t>
      </w:r>
      <w:r w:rsidR="00BE3731">
        <w:rPr>
          <w:color w:val="000000"/>
          <w:lang w:eastAsia="hr-HR"/>
        </w:rPr>
        <w:t xml:space="preserve"> Višnja Gaurina Srček</w:t>
      </w:r>
      <w:r w:rsidR="00C1453D">
        <w:rPr>
          <w:color w:val="000000"/>
          <w:vertAlign w:val="superscript"/>
          <w:lang w:eastAsia="hr-HR"/>
        </w:rPr>
        <w:t>a</w:t>
      </w:r>
      <w:r w:rsidR="00BE3731">
        <w:rPr>
          <w:color w:val="000000"/>
          <w:lang w:eastAsia="hr-HR"/>
        </w:rPr>
        <w:t xml:space="preserve">, </w:t>
      </w:r>
      <w:r>
        <w:rPr>
          <w:color w:val="000000"/>
          <w:lang w:eastAsia="hr-HR"/>
        </w:rPr>
        <w:t>Kristina Radošević</w:t>
      </w:r>
      <w:r>
        <w:rPr>
          <w:color w:val="000000"/>
          <w:vertAlign w:val="superscript"/>
          <w:lang w:eastAsia="hr-HR"/>
        </w:rPr>
        <w:t>a</w:t>
      </w:r>
    </w:p>
    <w:p w14:paraId="006ACBB8" w14:textId="77777777" w:rsidR="00824E31" w:rsidRDefault="00824E31" w:rsidP="00527FA2">
      <w:pPr>
        <w:spacing w:line="480" w:lineRule="auto"/>
        <w:rPr>
          <w:color w:val="000000"/>
          <w:vertAlign w:val="superscript"/>
          <w:lang w:eastAsia="hr-HR"/>
        </w:rPr>
      </w:pPr>
    </w:p>
    <w:p w14:paraId="1C15F0CB" w14:textId="77777777" w:rsidR="00824E31" w:rsidRPr="00075A90" w:rsidRDefault="00824E31" w:rsidP="00527FA2">
      <w:pPr>
        <w:spacing w:line="480" w:lineRule="auto"/>
        <w:rPr>
          <w:lang w:val="en-US" w:eastAsia="en-US"/>
        </w:rPr>
      </w:pPr>
      <w:r w:rsidRPr="00075A90">
        <w:rPr>
          <w:vertAlign w:val="superscript"/>
          <w:lang w:val="en-US" w:eastAsia="en-US"/>
        </w:rPr>
        <w:t>a</w:t>
      </w:r>
      <w:r w:rsidRPr="00075A90">
        <w:rPr>
          <w:lang w:val="en-US" w:eastAsia="en-US"/>
        </w:rPr>
        <w:t>Faculty of Food Technology and Biotechnol</w:t>
      </w:r>
      <w:r>
        <w:rPr>
          <w:lang w:val="en-US" w:eastAsia="en-US"/>
        </w:rPr>
        <w:t xml:space="preserve">ogy, </w:t>
      </w:r>
      <w:smartTag w:uri="urn:schemas-microsoft-com:office:smarttags" w:element="PlaceType">
        <w:r>
          <w:rPr>
            <w:lang w:val="en-US" w:eastAsia="en-US"/>
          </w:rPr>
          <w:t>University</w:t>
        </w:r>
      </w:smartTag>
      <w:r>
        <w:rPr>
          <w:lang w:val="en-US" w:eastAsia="en-US"/>
        </w:rPr>
        <w:t xml:space="preserve"> of </w:t>
      </w:r>
      <w:smartTag w:uri="urn:schemas-microsoft-com:office:smarttags" w:element="PlaceName">
        <w:r>
          <w:rPr>
            <w:lang w:val="en-US" w:eastAsia="en-US"/>
          </w:rPr>
          <w:t>Zagreb</w:t>
        </w:r>
      </w:smartTag>
      <w:r>
        <w:rPr>
          <w:lang w:val="en-US" w:eastAsia="en-US"/>
        </w:rPr>
        <w:t>, Pier</w:t>
      </w:r>
      <w:r w:rsidRPr="00075A90">
        <w:rPr>
          <w:lang w:val="en-US" w:eastAsia="en-US"/>
        </w:rPr>
        <w:t xml:space="preserve">otijeva 6, 10000 </w:t>
      </w:r>
      <w:smartTag w:uri="urn:schemas-microsoft-com:office:smarttags" w:element="City">
        <w:smartTag w:uri="urn:schemas-microsoft-com:office:smarttags" w:element="place">
          <w:smartTag w:uri="urn:schemas-microsoft-com:office:smarttags" w:element="City">
            <w:r w:rsidRPr="00075A90">
              <w:rPr>
                <w:lang w:val="en-US" w:eastAsia="en-US"/>
              </w:rPr>
              <w:t>Zagreb</w:t>
            </w:r>
          </w:smartTag>
          <w:r w:rsidRPr="00075A90">
            <w:rPr>
              <w:lang w:val="en-US" w:eastAsia="en-US"/>
            </w:rPr>
            <w:t xml:space="preserve">, </w:t>
          </w:r>
          <w:smartTag w:uri="urn:schemas-microsoft-com:office:smarttags" w:element="country-region">
            <w:r w:rsidRPr="00075A90">
              <w:rPr>
                <w:lang w:val="en-US" w:eastAsia="en-US"/>
              </w:rPr>
              <w:t>Croatia</w:t>
            </w:r>
          </w:smartTag>
        </w:smartTag>
      </w:smartTag>
    </w:p>
    <w:p w14:paraId="10C34FE7" w14:textId="77777777" w:rsidR="00824E31" w:rsidRPr="00924BA7" w:rsidRDefault="00824E31" w:rsidP="00527FA2">
      <w:pPr>
        <w:spacing w:line="480" w:lineRule="auto"/>
        <w:rPr>
          <w:rFonts w:cs="Calibri"/>
          <w:lang w:eastAsia="en-US"/>
        </w:rPr>
      </w:pPr>
      <w:r w:rsidRPr="00924BA7">
        <w:rPr>
          <w:rFonts w:cs="Calibri"/>
          <w:vertAlign w:val="superscript"/>
          <w:lang w:eastAsia="en-US"/>
        </w:rPr>
        <w:t>b</w:t>
      </w:r>
      <w:r w:rsidRPr="00924BA7">
        <w:rPr>
          <w:rFonts w:cs="Calibri"/>
          <w:lang w:eastAsia="en-US"/>
        </w:rPr>
        <w:t xml:space="preserve">Division of Organic Chemistry and Biochemistry, Ruđer Bošković Institute, </w:t>
      </w:r>
      <w:smartTag w:uri="urn:schemas-microsoft-com:office:smarttags" w:element="address">
        <w:smartTag w:uri="urn:schemas-microsoft-com:office:smarttags" w:element="Street">
          <w:r w:rsidRPr="00924BA7">
            <w:rPr>
              <w:rFonts w:cs="Calibri"/>
              <w:lang w:eastAsia="en-US"/>
            </w:rPr>
            <w:t>P. O. Box</w:t>
          </w:r>
        </w:smartTag>
        <w:r w:rsidRPr="00924BA7">
          <w:rPr>
            <w:rFonts w:cs="Calibri"/>
            <w:lang w:eastAsia="en-US"/>
          </w:rPr>
          <w:t xml:space="preserve"> 180</w:t>
        </w:r>
      </w:smartTag>
      <w:r w:rsidRPr="00924BA7">
        <w:rPr>
          <w:rFonts w:cs="Calibri"/>
          <w:lang w:eastAsia="en-US"/>
        </w:rPr>
        <w:t xml:space="preserve">, 10002 </w:t>
      </w:r>
      <w:smartTag w:uri="urn:schemas-microsoft-com:office:smarttags" w:element="place">
        <w:smartTag w:uri="urn:schemas-microsoft-com:office:smarttags" w:element="City">
          <w:r w:rsidRPr="00924BA7">
            <w:rPr>
              <w:rFonts w:cs="Calibri"/>
              <w:lang w:eastAsia="en-US"/>
            </w:rPr>
            <w:t>Zagreb</w:t>
          </w:r>
        </w:smartTag>
        <w:r w:rsidRPr="00924BA7">
          <w:rPr>
            <w:rFonts w:cs="Calibri"/>
            <w:lang w:eastAsia="en-US"/>
          </w:rPr>
          <w:t xml:space="preserve">, </w:t>
        </w:r>
        <w:smartTag w:uri="urn:schemas-microsoft-com:office:smarttags" w:element="country-region">
          <w:r w:rsidRPr="00924BA7">
            <w:rPr>
              <w:rFonts w:cs="Calibri"/>
              <w:lang w:eastAsia="en-US"/>
            </w:rPr>
            <w:t>Croatia</w:t>
          </w:r>
        </w:smartTag>
      </w:smartTag>
      <w:r w:rsidRPr="00924BA7">
        <w:rPr>
          <w:rFonts w:cs="Calibri"/>
          <w:lang w:eastAsia="en-US"/>
        </w:rPr>
        <w:t xml:space="preserve"> </w:t>
      </w:r>
    </w:p>
    <w:p w14:paraId="2FDCF9B8" w14:textId="77777777" w:rsidR="00824E31" w:rsidRPr="00924BA7" w:rsidRDefault="00824E31" w:rsidP="00281428">
      <w:pPr>
        <w:rPr>
          <w:rFonts w:cs="Calibri"/>
          <w:lang w:eastAsia="en-US"/>
        </w:rPr>
      </w:pPr>
    </w:p>
    <w:p w14:paraId="4B64CACB" w14:textId="77777777" w:rsidR="00824E31" w:rsidRDefault="00824E31" w:rsidP="00281428">
      <w:pPr>
        <w:rPr>
          <w:color w:val="000000"/>
          <w:lang w:eastAsia="hr-HR"/>
        </w:rPr>
      </w:pPr>
      <w:r w:rsidRPr="00075A90">
        <w:rPr>
          <w:rFonts w:cs="Calibri"/>
          <w:iCs/>
          <w:lang w:val="hr-HR" w:eastAsia="en-US"/>
        </w:rPr>
        <w:t>*Corresponding author:</w:t>
      </w:r>
      <w:r w:rsidRPr="00075A90">
        <w:rPr>
          <w:rFonts w:ascii="Calibri" w:hAnsi="Calibri"/>
          <w:lang w:val="hr-HR" w:eastAsia="en-US"/>
        </w:rPr>
        <w:t xml:space="preserve"> </w:t>
      </w:r>
      <w:r w:rsidRPr="00075A90">
        <w:rPr>
          <w:color w:val="000000"/>
          <w:lang w:eastAsia="hr-HR"/>
        </w:rPr>
        <w:t>Ivana Radojčić Redovniković</w:t>
      </w:r>
    </w:p>
    <w:p w14:paraId="74C49FC1" w14:textId="77777777" w:rsidR="00824E31" w:rsidRPr="00075A90" w:rsidRDefault="00824E31" w:rsidP="00281428">
      <w:pPr>
        <w:rPr>
          <w:color w:val="000000"/>
          <w:lang w:eastAsia="hr-HR"/>
        </w:rPr>
      </w:pPr>
      <w:r>
        <w:rPr>
          <w:color w:val="000000"/>
          <w:lang w:eastAsia="hr-HR"/>
        </w:rPr>
        <w:t>iradojci@pbf.hr</w:t>
      </w:r>
    </w:p>
    <w:p w14:paraId="363194B8" w14:textId="77777777" w:rsidR="00824E31" w:rsidRDefault="00824E31" w:rsidP="00281428">
      <w:pPr>
        <w:rPr>
          <w:rFonts w:cs="Calibri"/>
          <w:iCs/>
          <w:lang w:val="hr-HR" w:eastAsia="en-US"/>
        </w:rPr>
      </w:pPr>
    </w:p>
    <w:p w14:paraId="27231603" w14:textId="77777777" w:rsidR="00824E31" w:rsidRPr="00075A90" w:rsidRDefault="00824E31" w:rsidP="00281428">
      <w:pPr>
        <w:rPr>
          <w:rFonts w:cs="Calibri"/>
          <w:iCs/>
          <w:lang w:val="hr-HR" w:eastAsia="en-US"/>
        </w:rPr>
      </w:pPr>
    </w:p>
    <w:p w14:paraId="0810294A" w14:textId="77777777" w:rsidR="00824E31" w:rsidRPr="00FC02E1" w:rsidRDefault="00824E31" w:rsidP="00281428">
      <w:pPr>
        <w:shd w:val="clear" w:color="auto" w:fill="FFFFFF"/>
        <w:autoSpaceDE w:val="0"/>
        <w:autoSpaceDN w:val="0"/>
        <w:adjustRightInd w:val="0"/>
        <w:spacing w:line="480" w:lineRule="auto"/>
        <w:rPr>
          <w:b/>
          <w:color w:val="000000"/>
          <w:lang w:eastAsia="hr-HR"/>
        </w:rPr>
      </w:pPr>
      <w:r w:rsidRPr="00FC02E1">
        <w:rPr>
          <w:b/>
          <w:color w:val="000000"/>
          <w:lang w:eastAsia="hr-HR"/>
        </w:rPr>
        <w:t>Abstract</w:t>
      </w:r>
    </w:p>
    <w:p w14:paraId="6F0CB833" w14:textId="77777777" w:rsidR="00824E31" w:rsidRPr="002A3C20" w:rsidRDefault="00824E31" w:rsidP="00B54FE5">
      <w:pPr>
        <w:shd w:val="clear" w:color="auto" w:fill="FFFFFF"/>
        <w:autoSpaceDE w:val="0"/>
        <w:autoSpaceDN w:val="0"/>
        <w:spacing w:before="100" w:beforeAutospacing="1" w:after="100" w:afterAutospacing="1" w:line="480" w:lineRule="auto"/>
        <w:jc w:val="both"/>
        <w:rPr>
          <w:lang w:eastAsia="hr-HR"/>
        </w:rPr>
      </w:pPr>
      <w:r>
        <w:rPr>
          <w:color w:val="000000"/>
          <w:lang w:eastAsia="hr-HR"/>
        </w:rPr>
        <w:t xml:space="preserve">To </w:t>
      </w:r>
      <w:r>
        <w:rPr>
          <w:lang w:eastAsia="hr-HR"/>
        </w:rPr>
        <w:t>establish environmentally friendly polyphenolic extracts from grape and olive pomace</w:t>
      </w:r>
      <w:r>
        <w:rPr>
          <w:rFonts w:eastAsia="GulliverRM"/>
          <w:color w:val="000000"/>
          <w:lang w:eastAsia="hr-HR"/>
        </w:rPr>
        <w:t xml:space="preserve">, natural deep eutectic solvents (NADES) </w:t>
      </w:r>
      <w:r>
        <w:rPr>
          <w:lang w:eastAsia="hr-HR"/>
        </w:rPr>
        <w:t xml:space="preserve">were used coupled with alternative energy sources – ultrasound and microwave irradiation. Obtained extracts were characterized by HPLC analysis, while antioxidant capacity was determined by ORAC method. Furthermore, </w:t>
      </w:r>
      <w:r>
        <w:rPr>
          <w:i/>
          <w:lang w:eastAsia="hr-HR"/>
        </w:rPr>
        <w:t>in vitro</w:t>
      </w:r>
      <w:r>
        <w:rPr>
          <w:lang w:eastAsia="hr-HR"/>
        </w:rPr>
        <w:t xml:space="preserve"> cytotoxicity of prepared extracts was assessed by antiproliferation assay</w:t>
      </w:r>
      <w:r w:rsidRPr="00392CF9">
        <w:rPr>
          <w:lang w:eastAsia="hr-HR"/>
        </w:rPr>
        <w:t xml:space="preserve"> </w:t>
      </w:r>
      <w:r>
        <w:rPr>
          <w:lang w:eastAsia="hr-HR"/>
        </w:rPr>
        <w:t xml:space="preserve">on two tumour cell lines, whereas for </w:t>
      </w:r>
      <w:r>
        <w:t>investigation of type of cell death or cell cycle arrest a flow cytometric analysis was applied</w:t>
      </w:r>
      <w:r>
        <w:rPr>
          <w:lang w:eastAsia="hr-HR"/>
        </w:rPr>
        <w:t xml:space="preserve">. </w:t>
      </w:r>
      <w:r w:rsidRPr="00CA20C2">
        <w:rPr>
          <w:lang w:eastAsia="hr-HR"/>
        </w:rPr>
        <w:t xml:space="preserve">In addition, a detection of </w:t>
      </w:r>
      <w:r w:rsidR="00907494" w:rsidRPr="00907494">
        <w:rPr>
          <w:lang w:eastAsia="hr-HR"/>
        </w:rPr>
        <w:t xml:space="preserve">compounds with </w:t>
      </w:r>
      <w:r w:rsidR="00907494" w:rsidRPr="00907494">
        <w:rPr>
          <w:bCs/>
          <w:lang w:val="hr-HR" w:eastAsia="hr-HR"/>
        </w:rPr>
        <w:t>DNA/RNA</w:t>
      </w:r>
      <w:r w:rsidR="00907494" w:rsidRPr="00907494">
        <w:rPr>
          <w:lang w:val="hr-HR" w:eastAsia="hr-HR"/>
        </w:rPr>
        <w:t>-binding </w:t>
      </w:r>
      <w:r w:rsidR="00907494" w:rsidRPr="00907494">
        <w:rPr>
          <w:bCs/>
          <w:lang w:val="hr-HR" w:eastAsia="hr-HR"/>
        </w:rPr>
        <w:t>affinity</w:t>
      </w:r>
      <w:r w:rsidRPr="00CA20C2">
        <w:rPr>
          <w:lang w:eastAsia="hr-HR"/>
        </w:rPr>
        <w:t xml:space="preserve"> in extracts was investigated by UV/Vis and circular dichroism spectroscopy.</w:t>
      </w:r>
      <w:r>
        <w:rPr>
          <w:lang w:eastAsia="hr-HR"/>
        </w:rPr>
        <w:t xml:space="preserve"> Grape pomace extract in NADES showed to be the best of all extracts tested, with regard to extraction efficiency of polyphenolic compounds and related biological activities such as antioxidant and antiproliferative activity. Prepared polyphenol</w:t>
      </w:r>
      <w:r w:rsidRPr="002A3C20">
        <w:rPr>
          <w:lang w:eastAsia="hr-HR"/>
        </w:rPr>
        <w:t xml:space="preserve">ic extracts </w:t>
      </w:r>
      <w:r>
        <w:rPr>
          <w:lang w:eastAsia="hr-HR"/>
        </w:rPr>
        <w:t xml:space="preserve">in NADES </w:t>
      </w:r>
      <w:r w:rsidRPr="002A3C20">
        <w:rPr>
          <w:lang w:eastAsia="hr-HR"/>
        </w:rPr>
        <w:t xml:space="preserve">could be </w:t>
      </w:r>
      <w:r>
        <w:rPr>
          <w:lang w:eastAsia="hr-HR"/>
        </w:rPr>
        <w:t xml:space="preserve">considered as </w:t>
      </w:r>
      <w:r>
        <w:rPr>
          <w:lang w:eastAsia="hr-HR"/>
        </w:rPr>
        <w:lastRenderedPageBreak/>
        <w:t>ready-to-use</w:t>
      </w:r>
      <w:r w:rsidRPr="002A3C20">
        <w:rPr>
          <w:lang w:eastAsia="hr-HR"/>
        </w:rPr>
        <w:t xml:space="preserve"> in food and pharmaceutical industry without demanding and expensive downstream purification steps</w:t>
      </w:r>
      <w:r>
        <w:rPr>
          <w:lang w:eastAsia="hr-HR"/>
        </w:rPr>
        <w:t xml:space="preserve">. </w:t>
      </w:r>
    </w:p>
    <w:p w14:paraId="56035ED5" w14:textId="77777777" w:rsidR="00A76871" w:rsidRDefault="00824E31" w:rsidP="00A76871">
      <w:pPr>
        <w:shd w:val="clear" w:color="auto" w:fill="FFFFFF"/>
        <w:autoSpaceDE w:val="0"/>
        <w:autoSpaceDN w:val="0"/>
        <w:spacing w:before="100" w:beforeAutospacing="1" w:after="100" w:afterAutospacing="1" w:line="480" w:lineRule="auto"/>
        <w:rPr>
          <w:b/>
          <w:lang w:eastAsia="hr-HR"/>
        </w:rPr>
      </w:pPr>
      <w:r>
        <w:rPr>
          <w:b/>
          <w:lang w:eastAsia="hr-HR"/>
        </w:rPr>
        <w:t xml:space="preserve">Keywords: </w:t>
      </w:r>
      <w:r w:rsidRPr="00F1514E">
        <w:rPr>
          <w:lang w:eastAsia="hr-HR"/>
        </w:rPr>
        <w:t>biological activities</w:t>
      </w:r>
      <w:r>
        <w:rPr>
          <w:lang w:eastAsia="hr-HR"/>
        </w:rPr>
        <w:t>;</w:t>
      </w:r>
      <w:r w:rsidRPr="00EC23D3">
        <w:rPr>
          <w:lang w:eastAsia="hr-HR"/>
        </w:rPr>
        <w:t xml:space="preserve"> </w:t>
      </w:r>
      <w:r w:rsidRPr="00F1514E">
        <w:rPr>
          <w:lang w:eastAsia="hr-HR"/>
        </w:rPr>
        <w:t>grape pomace</w:t>
      </w:r>
      <w:r>
        <w:rPr>
          <w:lang w:eastAsia="hr-HR"/>
        </w:rPr>
        <w:t xml:space="preserve">; natural deep eutectic solvents; </w:t>
      </w:r>
      <w:r w:rsidRPr="00F1514E">
        <w:rPr>
          <w:lang w:eastAsia="hr-HR"/>
        </w:rPr>
        <w:t>olive pomace</w:t>
      </w:r>
      <w:r>
        <w:rPr>
          <w:lang w:eastAsia="hr-HR"/>
        </w:rPr>
        <w:t>;</w:t>
      </w:r>
      <w:r w:rsidRPr="00EC23D3">
        <w:rPr>
          <w:lang w:eastAsia="hr-HR"/>
        </w:rPr>
        <w:t xml:space="preserve"> </w:t>
      </w:r>
      <w:r w:rsidR="00A76871">
        <w:rPr>
          <w:lang w:eastAsia="hr-HR"/>
        </w:rPr>
        <w:t>polypolyphenolic compounds</w:t>
      </w:r>
    </w:p>
    <w:p w14:paraId="5A59F735" w14:textId="77777777" w:rsidR="00824E31" w:rsidRPr="00C225B5" w:rsidRDefault="00824E31" w:rsidP="0096290C">
      <w:pPr>
        <w:numPr>
          <w:ilvl w:val="0"/>
          <w:numId w:val="4"/>
        </w:numPr>
        <w:spacing w:after="160" w:line="259" w:lineRule="auto"/>
        <w:rPr>
          <w:color w:val="000000"/>
          <w:lang w:eastAsia="hr-HR"/>
        </w:rPr>
      </w:pPr>
      <w:r w:rsidRPr="00FC02E1">
        <w:rPr>
          <w:b/>
          <w:color w:val="000000"/>
          <w:lang w:eastAsia="hr-HR"/>
        </w:rPr>
        <w:t>Introduction</w:t>
      </w:r>
    </w:p>
    <w:p w14:paraId="486D8053" w14:textId="77777777" w:rsidR="00824E31" w:rsidRDefault="00824E31" w:rsidP="00281428">
      <w:pPr>
        <w:shd w:val="clear" w:color="auto" w:fill="FFFFFF"/>
        <w:autoSpaceDE w:val="0"/>
        <w:autoSpaceDN w:val="0"/>
        <w:adjustRightInd w:val="0"/>
        <w:spacing w:line="480" w:lineRule="auto"/>
        <w:rPr>
          <w:b/>
          <w:color w:val="000000"/>
          <w:lang w:eastAsia="hr-HR"/>
        </w:rPr>
      </w:pPr>
    </w:p>
    <w:p w14:paraId="2BE0C25A" w14:textId="77777777" w:rsidR="00824E31" w:rsidRPr="001B1795" w:rsidRDefault="00824E31" w:rsidP="0090490E">
      <w:pPr>
        <w:shd w:val="clear" w:color="auto" w:fill="FFFFFF"/>
        <w:autoSpaceDE w:val="0"/>
        <w:autoSpaceDN w:val="0"/>
        <w:adjustRightInd w:val="0"/>
        <w:spacing w:line="480" w:lineRule="auto"/>
        <w:jc w:val="both"/>
      </w:pPr>
      <w:r w:rsidRPr="00800D82">
        <w:rPr>
          <w:lang w:eastAsia="hr-HR"/>
        </w:rPr>
        <w:t xml:space="preserve">Food processing </w:t>
      </w:r>
      <w:r w:rsidRPr="00800D82">
        <w:rPr>
          <w:color w:val="000000"/>
          <w:lang w:eastAsia="hr-HR"/>
        </w:rPr>
        <w:t>generates a substantial volume of solid organic by-products.</w:t>
      </w:r>
      <w:r w:rsidRPr="00800D82">
        <w:rPr>
          <w:rFonts w:eastAsia="AdvTimes"/>
          <w:lang w:eastAsia="en-US"/>
        </w:rPr>
        <w:t xml:space="preserve"> </w:t>
      </w:r>
      <w:r w:rsidRPr="00800D82">
        <w:rPr>
          <w:rFonts w:eastAsia="GulliverRM"/>
          <w:color w:val="000000"/>
          <w:lang w:eastAsia="hr-HR"/>
        </w:rPr>
        <w:t xml:space="preserve">Only small amounts of these by-products are up-graded or recycled </w:t>
      </w:r>
      <w:r w:rsidRPr="00800D82">
        <w:rPr>
          <w:color w:val="000000"/>
          <w:lang w:eastAsia="hr-HR"/>
        </w:rPr>
        <w:t>and used usually for</w:t>
      </w:r>
      <w:r w:rsidRPr="00800D82">
        <w:rPr>
          <w:rFonts w:eastAsia="GulliverRM"/>
          <w:color w:val="000000"/>
          <w:lang w:eastAsia="hr-HR"/>
        </w:rPr>
        <w:t xml:space="preserve"> composting or even discarded in open areas potentially causing environmental problems (</w:t>
      </w:r>
      <w:r w:rsidR="00AC1706">
        <w:rPr>
          <w:rFonts w:eastAsia="GulliverRM"/>
          <w:color w:val="000000"/>
          <w:lang w:eastAsia="hr-HR"/>
        </w:rPr>
        <w:t xml:space="preserve">Chemat et al., 2012; </w:t>
      </w:r>
      <w:r w:rsidRPr="0055192D">
        <w:rPr>
          <w:rFonts w:eastAsia="GulliverRM"/>
          <w:color w:val="000000"/>
          <w:lang w:eastAsia="hr-HR"/>
        </w:rPr>
        <w:t>Russo et al., 201</w:t>
      </w:r>
      <w:r w:rsidR="007A79DC">
        <w:rPr>
          <w:rFonts w:eastAsia="GulliverRM"/>
          <w:color w:val="000000"/>
          <w:lang w:eastAsia="hr-HR"/>
        </w:rPr>
        <w:t>5</w:t>
      </w:r>
      <w:r w:rsidRPr="0055192D">
        <w:rPr>
          <w:rFonts w:eastAsia="GulliverRM"/>
          <w:lang w:eastAsia="hr-HR"/>
        </w:rPr>
        <w:t xml:space="preserve">). </w:t>
      </w:r>
      <w:r w:rsidRPr="0055192D">
        <w:t>The large quantity of waste generated from agricultural and f</w:t>
      </w:r>
      <w:r w:rsidRPr="00800D82">
        <w:t xml:space="preserve">ood production remains a great challenge and an opportunity for the food industry. The valorisation of this waste may include several options including extraction and isolation of bioactive compounds for utilisation in the food, cosmetic and pharmaceutical industries. The utilisation of bioactive compounds isolated from waste could reduce the risks and the costs </w:t>
      </w:r>
      <w:r>
        <w:t xml:space="preserve">of </w:t>
      </w:r>
      <w:r w:rsidRPr="007A79DC">
        <w:t>waste treatment, but moreover could potentially add more value in agricultural and food production (Kumar et al., 2017</w:t>
      </w:r>
      <w:r w:rsidRPr="00564C6D">
        <w:t xml:space="preserve">; </w:t>
      </w:r>
      <w:r w:rsidRPr="00564C6D">
        <w:rPr>
          <w:rStyle w:val="fontstyle21"/>
          <w:rFonts w:ascii="Times New Roman" w:hAnsi="Times New Roman"/>
          <w:sz w:val="24"/>
          <w:szCs w:val="24"/>
        </w:rPr>
        <w:t>Ravindran and Jaiswall, 2016</w:t>
      </w:r>
      <w:r w:rsidRPr="00800D82">
        <w:t xml:space="preserve">). </w:t>
      </w:r>
      <w:r>
        <w:t xml:space="preserve"> </w:t>
      </w:r>
      <w:r w:rsidRPr="00800D82">
        <w:rPr>
          <w:rFonts w:eastAsia="AdvTimes"/>
          <w:lang w:eastAsia="en-US"/>
        </w:rPr>
        <w:t xml:space="preserve">Among food industry, wine and oil by-products are the most abundant worldwide and </w:t>
      </w:r>
      <w:r w:rsidRPr="00800D82">
        <w:rPr>
          <w:rFonts w:eastAsia="GulliverRM"/>
          <w:lang w:eastAsia="hr-HR"/>
        </w:rPr>
        <w:t>have been</w:t>
      </w:r>
      <w:r w:rsidRPr="00800D82">
        <w:rPr>
          <w:rFonts w:eastAsia="GulliverRM"/>
          <w:color w:val="000000"/>
          <w:lang w:eastAsia="hr-HR"/>
        </w:rPr>
        <w:t xml:space="preserve"> </w:t>
      </w:r>
      <w:r>
        <w:rPr>
          <w:rFonts w:eastAsia="GulliverRM"/>
          <w:color w:val="000000"/>
          <w:lang w:eastAsia="hr-HR"/>
        </w:rPr>
        <w:t xml:space="preserve">lately often </w:t>
      </w:r>
      <w:r w:rsidRPr="00800D82">
        <w:rPr>
          <w:rFonts w:eastAsia="GulliverRM"/>
          <w:color w:val="000000"/>
          <w:lang w:eastAsia="hr-HR"/>
        </w:rPr>
        <w:t xml:space="preserve">evaluated as a source of </w:t>
      </w:r>
      <w:r w:rsidRPr="005F5EB5">
        <w:rPr>
          <w:rFonts w:eastAsia="GulliverRM"/>
          <w:color w:val="000000"/>
          <w:lang w:eastAsia="hr-HR"/>
        </w:rPr>
        <w:t xml:space="preserve">natural </w:t>
      </w:r>
      <w:r w:rsidRPr="005F5EB5">
        <w:t xml:space="preserve">bioactive compounds </w:t>
      </w:r>
      <w:r w:rsidRPr="000A506F">
        <w:t xml:space="preserve">NBCs </w:t>
      </w:r>
      <w:r w:rsidRPr="005F5EB5">
        <w:t>and/or</w:t>
      </w:r>
      <w:r w:rsidRPr="005F5EB5">
        <w:rPr>
          <w:rFonts w:eastAsia="GulliverRM"/>
          <w:color w:val="000000"/>
          <w:lang w:eastAsia="hr-HR"/>
        </w:rPr>
        <w:t xml:space="preserve"> natural antioxidants</w:t>
      </w:r>
      <w:r w:rsidRPr="005F5EB5">
        <w:t xml:space="preserve"> </w:t>
      </w:r>
      <w:r w:rsidRPr="005F5EB5">
        <w:rPr>
          <w:rFonts w:eastAsia="GulliverRM"/>
          <w:color w:val="000000"/>
          <w:lang w:eastAsia="hr-HR"/>
        </w:rPr>
        <w:t xml:space="preserve">due to high content of </w:t>
      </w:r>
      <w:r>
        <w:rPr>
          <w:rFonts w:eastAsia="GulliverRM"/>
          <w:color w:val="000000"/>
          <w:lang w:eastAsia="hr-HR"/>
        </w:rPr>
        <w:t>polyphenol</w:t>
      </w:r>
      <w:r w:rsidRPr="005F5EB5">
        <w:rPr>
          <w:rFonts w:eastAsia="GulliverRM"/>
          <w:color w:val="000000"/>
          <w:lang w:eastAsia="hr-HR"/>
        </w:rPr>
        <w:t>ics (</w:t>
      </w:r>
      <w:r w:rsidRPr="005F5EB5">
        <w:rPr>
          <w:rFonts w:eastAsia="GulliverRM"/>
          <w:lang w:eastAsia="hr-HR"/>
        </w:rPr>
        <w:t>Cioffi et al., 2010</w:t>
      </w:r>
      <w:r w:rsidRPr="005F5EB5">
        <w:rPr>
          <w:rFonts w:eastAsia="GulliverRM"/>
          <w:color w:val="000000"/>
          <w:lang w:eastAsia="hr-HR"/>
        </w:rPr>
        <w:t xml:space="preserve">). </w:t>
      </w:r>
      <w:r>
        <w:rPr>
          <w:color w:val="000000"/>
          <w:lang w:eastAsia="en-US"/>
        </w:rPr>
        <w:t>Polyphenol</w:t>
      </w:r>
      <w:r w:rsidRPr="005F5EB5">
        <w:rPr>
          <w:color w:val="000000"/>
          <w:lang w:eastAsia="en-US"/>
        </w:rPr>
        <w:t>ic compounds are the most abundant</w:t>
      </w:r>
      <w:r w:rsidRPr="00800D82">
        <w:rPr>
          <w:color w:val="000000"/>
          <w:lang w:eastAsia="en-US"/>
        </w:rPr>
        <w:t xml:space="preserve"> secondary metabolites of plants,</w:t>
      </w:r>
      <w:r>
        <w:rPr>
          <w:color w:val="000000"/>
          <w:lang w:eastAsia="en-US"/>
        </w:rPr>
        <w:t xml:space="preserve"> and </w:t>
      </w:r>
      <w:r w:rsidRPr="00800D82">
        <w:rPr>
          <w:color w:val="000000"/>
          <w:lang w:eastAsia="hr-HR"/>
        </w:rPr>
        <w:t>have drawn increasing attention due to marked effects in the prevention of various oxidative stress associated diseases such as cancer</w:t>
      </w:r>
      <w:r>
        <w:rPr>
          <w:color w:val="000000"/>
          <w:lang w:eastAsia="hr-HR"/>
        </w:rPr>
        <w:t xml:space="preserve">, </w:t>
      </w:r>
      <w:r w:rsidRPr="00045D7E">
        <w:rPr>
          <w:color w:val="000000"/>
          <w:lang w:eastAsia="hr-HR"/>
        </w:rPr>
        <w:t xml:space="preserve">Alzheimer, </w:t>
      </w:r>
      <w:r w:rsidRPr="001B1795">
        <w:rPr>
          <w:lang w:eastAsia="hr-HR"/>
        </w:rPr>
        <w:t>sepsis, diabetes, and cardiovascular disease (</w:t>
      </w:r>
      <w:r w:rsidR="000650F6" w:rsidRPr="001B1795">
        <w:rPr>
          <w:lang w:eastAsia="hr-HR"/>
        </w:rPr>
        <w:t>Xia et al., 2010</w:t>
      </w:r>
      <w:r w:rsidR="001B1795">
        <w:rPr>
          <w:lang w:eastAsia="hr-HR"/>
        </w:rPr>
        <w:t xml:space="preserve">; </w:t>
      </w:r>
      <w:r w:rsidRPr="001B1795">
        <w:rPr>
          <w:lang w:eastAsia="hr-HR"/>
        </w:rPr>
        <w:t>Manton et al, 2004).</w:t>
      </w:r>
    </w:p>
    <w:p w14:paraId="688CB422" w14:textId="77777777" w:rsidR="00824E31" w:rsidRPr="00475C3A" w:rsidRDefault="00824E31" w:rsidP="0090490E">
      <w:pPr>
        <w:shd w:val="clear" w:color="auto" w:fill="FFFFFF"/>
        <w:autoSpaceDE w:val="0"/>
        <w:autoSpaceDN w:val="0"/>
        <w:adjustRightInd w:val="0"/>
        <w:spacing w:line="480" w:lineRule="auto"/>
        <w:jc w:val="both"/>
        <w:rPr>
          <w:lang w:eastAsia="en-US"/>
        </w:rPr>
      </w:pPr>
      <w:r w:rsidRPr="00800D82">
        <w:t xml:space="preserve">Bioactive components present in agro-industrial waste can be recovered using various techniques but nowadays, this </w:t>
      </w:r>
      <w:r w:rsidRPr="00800D82">
        <w:rPr>
          <w:rFonts w:eastAsia="AdvGulliv-R"/>
          <w:color w:val="000000"/>
          <w:lang w:eastAsia="hr-HR"/>
        </w:rPr>
        <w:t xml:space="preserve">should be based on green and sustainable technologies by following the principles of green extraction. </w:t>
      </w:r>
      <w:r w:rsidRPr="00800D82">
        <w:rPr>
          <w:bCs/>
          <w:kern w:val="28"/>
        </w:rPr>
        <w:t>This can be achieved by: (</w:t>
      </w:r>
      <w:r w:rsidRPr="00800D82">
        <w:rPr>
          <w:bCs/>
          <w:i/>
          <w:kern w:val="28"/>
        </w:rPr>
        <w:t>i</w:t>
      </w:r>
      <w:r w:rsidRPr="00800D82">
        <w:rPr>
          <w:bCs/>
          <w:kern w:val="28"/>
        </w:rPr>
        <w:t xml:space="preserve">) improvements and </w:t>
      </w:r>
      <w:r w:rsidRPr="00800D82">
        <w:rPr>
          <w:bCs/>
          <w:kern w:val="28"/>
        </w:rPr>
        <w:lastRenderedPageBreak/>
        <w:t>optimization of existing processes; (</w:t>
      </w:r>
      <w:r w:rsidRPr="00800D82">
        <w:rPr>
          <w:bCs/>
          <w:i/>
          <w:kern w:val="28"/>
        </w:rPr>
        <w:t>ii</w:t>
      </w:r>
      <w:r w:rsidRPr="00800D82">
        <w:rPr>
          <w:bCs/>
          <w:kern w:val="28"/>
        </w:rPr>
        <w:t>) use of non-dedicated equipment; and (</w:t>
      </w:r>
      <w:r w:rsidRPr="00800D82">
        <w:rPr>
          <w:bCs/>
          <w:i/>
          <w:kern w:val="28"/>
        </w:rPr>
        <w:t>iii</w:t>
      </w:r>
      <w:r w:rsidRPr="00800D82">
        <w:rPr>
          <w:bCs/>
          <w:kern w:val="28"/>
        </w:rPr>
        <w:t xml:space="preserve">) innovations in the processes and </w:t>
      </w:r>
      <w:r w:rsidRPr="00264B1A">
        <w:rPr>
          <w:bCs/>
          <w:kern w:val="28"/>
        </w:rPr>
        <w:t xml:space="preserve">procedures used, including the </w:t>
      </w:r>
      <w:r>
        <w:rPr>
          <w:bCs/>
          <w:kern w:val="28"/>
        </w:rPr>
        <w:t>application</w:t>
      </w:r>
      <w:r w:rsidRPr="00264B1A">
        <w:rPr>
          <w:bCs/>
          <w:kern w:val="28"/>
        </w:rPr>
        <w:t xml:space="preserve"> of alternative solvents. </w:t>
      </w:r>
      <w:r w:rsidRPr="00264B1A">
        <w:rPr>
          <w:lang w:eastAsia="en-US"/>
        </w:rPr>
        <w:t xml:space="preserve">Various environment-friendly, tuneable and smart </w:t>
      </w:r>
      <w:r w:rsidRPr="00754FDA">
        <w:rPr>
          <w:lang w:eastAsia="en-US"/>
        </w:rPr>
        <w:t xml:space="preserve">solvents including natural deep eutectic solvents (NADES) have been </w:t>
      </w:r>
      <w:r w:rsidRPr="00E508DD">
        <w:rPr>
          <w:lang w:eastAsia="en-US"/>
        </w:rPr>
        <w:t>considered (</w:t>
      </w:r>
      <w:r>
        <w:rPr>
          <w:lang w:eastAsia="en-US"/>
        </w:rPr>
        <w:t>Cvjetko Bubalo et al., 2018</w:t>
      </w:r>
      <w:r w:rsidRPr="00E508DD">
        <w:rPr>
          <w:lang w:eastAsia="en-US"/>
        </w:rPr>
        <w:t>).</w:t>
      </w:r>
      <w:r w:rsidRPr="00754FDA">
        <w:rPr>
          <w:lang w:eastAsia="en-US"/>
        </w:rPr>
        <w:t xml:space="preserve"> Actually, NADES fully fits the principles of green chemistry and offer</w:t>
      </w:r>
      <w:r>
        <w:rPr>
          <w:lang w:eastAsia="en-US"/>
        </w:rPr>
        <w:t>s</w:t>
      </w:r>
      <w:r w:rsidRPr="00754FDA">
        <w:rPr>
          <w:lang w:eastAsia="en-US"/>
        </w:rPr>
        <w:t xml:space="preserve"> many advantages including low cost, readily available component, simple preparation, and a </w:t>
      </w:r>
      <w:r>
        <w:rPr>
          <w:lang w:eastAsia="en-US"/>
        </w:rPr>
        <w:t>good</w:t>
      </w:r>
      <w:r w:rsidRPr="00754FDA">
        <w:rPr>
          <w:lang w:eastAsia="en-US"/>
        </w:rPr>
        <w:t xml:space="preserve"> </w:t>
      </w:r>
      <w:r>
        <w:rPr>
          <w:lang w:eastAsia="en-US"/>
        </w:rPr>
        <w:t>eco</w:t>
      </w:r>
      <w:r w:rsidRPr="00754FDA">
        <w:rPr>
          <w:lang w:eastAsia="en-US"/>
        </w:rPr>
        <w:t xml:space="preserve">toxicity profile. NADES are prepared simply by mixing two or three component such as organic salts (quaternary ammonium or phosphonium salt) and hydrogen bond donor (HBD) including choline, amines, sugars, polyalcohol and carboxylic acids indicating that NADES with different physicochemical characteristic could be </w:t>
      </w:r>
      <w:r w:rsidRPr="00E508DD">
        <w:rPr>
          <w:lang w:eastAsia="en-US"/>
        </w:rPr>
        <w:t>prepared (Paiva et al., 2014). Another</w:t>
      </w:r>
      <w:r w:rsidRPr="00754FDA">
        <w:rPr>
          <w:lang w:eastAsia="en-US"/>
        </w:rPr>
        <w:t xml:space="preserve"> interesting feature of NADES is its potential biological activity since it was proposed that is possible</w:t>
      </w:r>
      <w:r>
        <w:rPr>
          <w:lang w:eastAsia="en-US"/>
        </w:rPr>
        <w:t xml:space="preserve"> to</w:t>
      </w:r>
      <w:r w:rsidRPr="00754FDA">
        <w:rPr>
          <w:lang w:eastAsia="en-US"/>
        </w:rPr>
        <w:t xml:space="preserve"> design NADES with specific biologically activity. For example, if you need solvent </w:t>
      </w:r>
      <w:r>
        <w:rPr>
          <w:lang w:eastAsia="en-US"/>
        </w:rPr>
        <w:t>with</w:t>
      </w:r>
      <w:r w:rsidRPr="00754FDA">
        <w:rPr>
          <w:lang w:eastAsia="en-US"/>
        </w:rPr>
        <w:t xml:space="preserve"> antioxidative or/and antitumor activity you could simpl</w:t>
      </w:r>
      <w:r>
        <w:rPr>
          <w:lang w:eastAsia="en-US"/>
        </w:rPr>
        <w:t>y</w:t>
      </w:r>
      <w:r w:rsidRPr="00754FDA">
        <w:rPr>
          <w:lang w:eastAsia="en-US"/>
        </w:rPr>
        <w:t xml:space="preserve"> prepare NADES with compounds that possess desire</w:t>
      </w:r>
      <w:r>
        <w:rPr>
          <w:lang w:eastAsia="en-US"/>
        </w:rPr>
        <w:t>d</w:t>
      </w:r>
      <w:r w:rsidRPr="00754FDA">
        <w:rPr>
          <w:lang w:eastAsia="en-US"/>
        </w:rPr>
        <w:t xml:space="preserve"> biologically active. Previous</w:t>
      </w:r>
      <w:r>
        <w:rPr>
          <w:lang w:eastAsia="en-US"/>
        </w:rPr>
        <w:t>ly,</w:t>
      </w:r>
      <w:r w:rsidRPr="00754FDA">
        <w:rPr>
          <w:lang w:eastAsia="en-US"/>
        </w:rPr>
        <w:t xml:space="preserve"> it was demonstrated that NADES </w:t>
      </w:r>
      <w:r>
        <w:rPr>
          <w:lang w:eastAsia="en-US"/>
        </w:rPr>
        <w:t xml:space="preserve">used for extraction purposes </w:t>
      </w:r>
      <w:r w:rsidRPr="00754FDA">
        <w:rPr>
          <w:lang w:eastAsia="en-US"/>
        </w:rPr>
        <w:t xml:space="preserve">could enhance the antioxidative activities of </w:t>
      </w:r>
      <w:r>
        <w:rPr>
          <w:lang w:eastAsia="en-US"/>
        </w:rPr>
        <w:t xml:space="preserve">obtained </w:t>
      </w:r>
      <w:r w:rsidRPr="00754FDA">
        <w:rPr>
          <w:lang w:eastAsia="en-US"/>
        </w:rPr>
        <w:t xml:space="preserve">plant extracts, which could be explained by the reactive oxygen species scavenging activities of the NADES itself or NADES forming compounds </w:t>
      </w:r>
      <w:r w:rsidRPr="00E508DD">
        <w:rPr>
          <w:lang w:eastAsia="en-US"/>
        </w:rPr>
        <w:t xml:space="preserve">(Nam, et al., </w:t>
      </w:r>
      <w:r w:rsidRPr="00E173FC">
        <w:rPr>
          <w:lang w:eastAsia="en-US"/>
        </w:rPr>
        <w:t>2015; Radošević et al., 2016). Furthermore</w:t>
      </w:r>
      <w:r>
        <w:rPr>
          <w:lang w:eastAsia="en-US"/>
        </w:rPr>
        <w:t>, s</w:t>
      </w:r>
      <w:r>
        <w:rPr>
          <w:bCs/>
          <w:lang w:eastAsia="en-US"/>
        </w:rPr>
        <w:t xml:space="preserve">ince </w:t>
      </w:r>
      <w:r w:rsidRPr="00754FDA">
        <w:rPr>
          <w:bCs/>
          <w:lang w:eastAsia="en-US"/>
        </w:rPr>
        <w:t>the components of NA</w:t>
      </w:r>
      <w:r>
        <w:rPr>
          <w:bCs/>
          <w:lang w:eastAsia="en-US"/>
        </w:rPr>
        <w:t>DES</w:t>
      </w:r>
      <w:r w:rsidRPr="00754FDA">
        <w:rPr>
          <w:bCs/>
          <w:lang w:eastAsia="en-US"/>
        </w:rPr>
        <w:t xml:space="preserve"> are abundant</w:t>
      </w:r>
      <w:r>
        <w:rPr>
          <w:bCs/>
          <w:lang w:eastAsia="en-US"/>
        </w:rPr>
        <w:t xml:space="preserve"> in the nature and are part of</w:t>
      </w:r>
      <w:r w:rsidRPr="00754FDA">
        <w:rPr>
          <w:bCs/>
          <w:lang w:eastAsia="en-US"/>
        </w:rPr>
        <w:t xml:space="preserve"> our daily diet</w:t>
      </w:r>
      <w:r>
        <w:rPr>
          <w:bCs/>
          <w:lang w:eastAsia="en-US"/>
        </w:rPr>
        <w:t>,</w:t>
      </w:r>
      <w:r w:rsidRPr="00754FDA">
        <w:rPr>
          <w:bCs/>
          <w:lang w:eastAsia="en-US"/>
        </w:rPr>
        <w:t xml:space="preserve"> </w:t>
      </w:r>
      <w:r>
        <w:rPr>
          <w:bCs/>
          <w:lang w:eastAsia="en-US"/>
        </w:rPr>
        <w:t>it</w:t>
      </w:r>
      <w:r w:rsidRPr="00754FDA">
        <w:rPr>
          <w:bCs/>
          <w:lang w:eastAsia="en-US"/>
        </w:rPr>
        <w:t xml:space="preserve"> </w:t>
      </w:r>
      <w:r>
        <w:rPr>
          <w:bCs/>
          <w:lang w:eastAsia="en-US"/>
        </w:rPr>
        <w:t xml:space="preserve">is suggested that </w:t>
      </w:r>
      <w:r w:rsidRPr="00754FDA">
        <w:rPr>
          <w:bCs/>
          <w:lang w:eastAsia="en-US"/>
        </w:rPr>
        <w:t xml:space="preserve">extract </w:t>
      </w:r>
      <w:r>
        <w:rPr>
          <w:bCs/>
          <w:lang w:eastAsia="en-US"/>
        </w:rPr>
        <w:t xml:space="preserve">obtained by NADES </w:t>
      </w:r>
      <w:r w:rsidRPr="00754FDA">
        <w:rPr>
          <w:bCs/>
          <w:lang w:eastAsia="en-US"/>
        </w:rPr>
        <w:t xml:space="preserve">may </w:t>
      </w:r>
      <w:r>
        <w:rPr>
          <w:bCs/>
          <w:lang w:eastAsia="en-US"/>
        </w:rPr>
        <w:t xml:space="preserve">be </w:t>
      </w:r>
      <w:r w:rsidRPr="00754FDA">
        <w:rPr>
          <w:bCs/>
          <w:lang w:eastAsia="en-US"/>
        </w:rPr>
        <w:t xml:space="preserve">directly used in food, pharmaceutical, cosmetical and agrochemical </w:t>
      </w:r>
      <w:r>
        <w:rPr>
          <w:bCs/>
          <w:lang w:eastAsia="en-US"/>
        </w:rPr>
        <w:t>products</w:t>
      </w:r>
      <w:r w:rsidRPr="00754FDA">
        <w:rPr>
          <w:bCs/>
          <w:lang w:eastAsia="en-US"/>
        </w:rPr>
        <w:t xml:space="preserve"> without the need for expensive downstream purification </w:t>
      </w:r>
      <w:r w:rsidRPr="00E173FC">
        <w:rPr>
          <w:bCs/>
          <w:lang w:eastAsia="en-US"/>
        </w:rPr>
        <w:t>steps (Dai et al. 2013).</w:t>
      </w:r>
      <w:r w:rsidRPr="00754FDA">
        <w:rPr>
          <w:bCs/>
          <w:lang w:eastAsia="en-US"/>
        </w:rPr>
        <w:t xml:space="preserve"> </w:t>
      </w:r>
      <w:r>
        <w:rPr>
          <w:bCs/>
          <w:lang w:eastAsia="en-US"/>
        </w:rPr>
        <w:t>Also, i</w:t>
      </w:r>
      <w:r w:rsidRPr="00754FDA">
        <w:rPr>
          <w:bCs/>
          <w:lang w:eastAsia="en-US"/>
        </w:rPr>
        <w:t>f we take in</w:t>
      </w:r>
      <w:r>
        <w:rPr>
          <w:bCs/>
          <w:lang w:eastAsia="en-US"/>
        </w:rPr>
        <w:t>to</w:t>
      </w:r>
      <w:r w:rsidRPr="00754FDA">
        <w:rPr>
          <w:bCs/>
          <w:lang w:eastAsia="en-US"/>
        </w:rPr>
        <w:t xml:space="preserve"> account that </w:t>
      </w:r>
      <w:r>
        <w:rPr>
          <w:bCs/>
          <w:lang w:eastAsia="en-US"/>
        </w:rPr>
        <w:t xml:space="preserve">nowadays </w:t>
      </w:r>
      <w:r w:rsidRPr="00754FDA">
        <w:rPr>
          <w:bCs/>
          <w:lang w:eastAsia="en-US"/>
        </w:rPr>
        <w:t xml:space="preserve">many people are </w:t>
      </w:r>
      <w:r>
        <w:rPr>
          <w:bCs/>
          <w:lang w:eastAsia="en-US"/>
        </w:rPr>
        <w:t xml:space="preserve">already </w:t>
      </w:r>
      <w:r w:rsidRPr="00754FDA">
        <w:rPr>
          <w:bCs/>
          <w:lang w:eastAsia="en-US"/>
        </w:rPr>
        <w:t xml:space="preserve">taking </w:t>
      </w:r>
      <w:r>
        <w:rPr>
          <w:bCs/>
          <w:lang w:eastAsia="en-US"/>
        </w:rPr>
        <w:t>f</w:t>
      </w:r>
      <w:r w:rsidRPr="00754FDA">
        <w:rPr>
          <w:bCs/>
          <w:lang w:eastAsia="en-US"/>
        </w:rPr>
        <w:t>ood supplement</w:t>
      </w:r>
      <w:r>
        <w:rPr>
          <w:bCs/>
          <w:lang w:eastAsia="en-US"/>
        </w:rPr>
        <w:t>s</w:t>
      </w:r>
      <w:r w:rsidRPr="00754FDA">
        <w:rPr>
          <w:bCs/>
          <w:lang w:eastAsia="en-US"/>
        </w:rPr>
        <w:t xml:space="preserve"> containing </w:t>
      </w:r>
      <w:r>
        <w:rPr>
          <w:bCs/>
          <w:lang w:eastAsia="en-US"/>
        </w:rPr>
        <w:t xml:space="preserve">NADES-forming </w:t>
      </w:r>
      <w:r w:rsidRPr="00754FDA">
        <w:rPr>
          <w:bCs/>
          <w:lang w:eastAsia="en-US"/>
        </w:rPr>
        <w:t>compounds (e.g. cholin</w:t>
      </w:r>
      <w:r w:rsidR="001B1795">
        <w:rPr>
          <w:bCs/>
          <w:lang w:eastAsia="en-US"/>
        </w:rPr>
        <w:t>e</w:t>
      </w:r>
      <w:r w:rsidRPr="00754FDA">
        <w:rPr>
          <w:bCs/>
          <w:lang w:eastAsia="en-US"/>
        </w:rPr>
        <w:t xml:space="preserve">, </w:t>
      </w:r>
      <w:r w:rsidRPr="00325A8E">
        <w:rPr>
          <w:bCs/>
          <w:lang w:eastAsia="en-US"/>
        </w:rPr>
        <w:t>citic acid,</w:t>
      </w:r>
      <w:r>
        <w:rPr>
          <w:bCs/>
          <w:lang w:eastAsia="en-US"/>
        </w:rPr>
        <w:t xml:space="preserve"> betaine, amino acids, etc.</w:t>
      </w:r>
      <w:r w:rsidRPr="00754FDA">
        <w:rPr>
          <w:bCs/>
          <w:lang w:eastAsia="en-US"/>
        </w:rPr>
        <w:t xml:space="preserve">) it could be </w:t>
      </w:r>
      <w:r w:rsidRPr="0006693B">
        <w:rPr>
          <w:bCs/>
          <w:lang w:eastAsia="en-US"/>
        </w:rPr>
        <w:t>anticipated</w:t>
      </w:r>
      <w:r w:rsidRPr="00754FDA">
        <w:rPr>
          <w:bCs/>
          <w:lang w:eastAsia="en-US"/>
        </w:rPr>
        <w:t xml:space="preserve"> </w:t>
      </w:r>
      <w:r w:rsidRPr="003D5A8B">
        <w:rPr>
          <w:bCs/>
          <w:lang w:eastAsia="en-US"/>
        </w:rPr>
        <w:t xml:space="preserve">that </w:t>
      </w:r>
      <w:r w:rsidRPr="00475C3A">
        <w:rPr>
          <w:bCs/>
          <w:lang w:eastAsia="en-US"/>
        </w:rPr>
        <w:t xml:space="preserve">NADES will be used in the future as safety solvent for food supplement preparation or as nutriceuticals (Silva et al., 2018). </w:t>
      </w:r>
    </w:p>
    <w:p w14:paraId="78E77A74" w14:textId="77777777" w:rsidR="00824E31" w:rsidRPr="00281428" w:rsidRDefault="00824E31" w:rsidP="007B64D1">
      <w:pPr>
        <w:spacing w:line="480" w:lineRule="auto"/>
        <w:jc w:val="both"/>
        <w:rPr>
          <w:lang w:eastAsia="en-US"/>
        </w:rPr>
      </w:pPr>
      <w:r w:rsidRPr="00475C3A">
        <w:rPr>
          <w:lang w:eastAsia="hr-HR"/>
        </w:rPr>
        <w:lastRenderedPageBreak/>
        <w:t xml:space="preserve">Based on aforementioned, potential biologically activity of </w:t>
      </w:r>
      <w:r w:rsidRPr="00475C3A">
        <w:rPr>
          <w:rFonts w:eastAsia="GulliverRM"/>
          <w:lang w:eastAsia="hr-HR"/>
        </w:rPr>
        <w:t>polyphenolic extracts prep</w:t>
      </w:r>
      <w:r w:rsidRPr="00DF6715">
        <w:rPr>
          <w:rFonts w:eastAsia="GulliverRM"/>
          <w:lang w:eastAsia="hr-HR"/>
        </w:rPr>
        <w:t>ared from grape and olive pomace according to the green chemistry</w:t>
      </w:r>
      <w:r w:rsidRPr="00DF6715" w:rsidDel="00BD64D1">
        <w:rPr>
          <w:rFonts w:eastAsia="GulliverRM"/>
          <w:lang w:eastAsia="hr-HR"/>
        </w:rPr>
        <w:t xml:space="preserve"> </w:t>
      </w:r>
      <w:r w:rsidRPr="00DF6715">
        <w:rPr>
          <w:rFonts w:eastAsia="GulliverRM"/>
          <w:lang w:eastAsia="hr-HR"/>
        </w:rPr>
        <w:t>principles were evaluated.</w:t>
      </w:r>
      <w:r w:rsidRPr="00DF6715">
        <w:rPr>
          <w:lang w:eastAsia="hr-HR"/>
        </w:rPr>
        <w:t xml:space="preserve"> </w:t>
      </w:r>
      <w:r w:rsidRPr="00DF6715">
        <w:t xml:space="preserve">Biological activities of </w:t>
      </w:r>
      <w:r w:rsidRPr="00DF6715">
        <w:rPr>
          <w:lang w:eastAsia="hr-HR"/>
        </w:rPr>
        <w:t>extracts prepared in NADES were valorised and compared to extracts obtained by ethanol, as a referent conventional solvent. Determination of biological</w:t>
      </w:r>
      <w:r>
        <w:rPr>
          <w:lang w:eastAsia="hr-HR"/>
        </w:rPr>
        <w:t xml:space="preserve"> activities included measurement of </w:t>
      </w:r>
      <w:r w:rsidRPr="00503F2E">
        <w:rPr>
          <w:lang w:eastAsia="hr-HR"/>
        </w:rPr>
        <w:t>the antioxidant capacity by ORAC (oxyge</w:t>
      </w:r>
      <w:r>
        <w:rPr>
          <w:lang w:eastAsia="hr-HR"/>
        </w:rPr>
        <w:t xml:space="preserve">n radical absorbance capacity), </w:t>
      </w:r>
      <w:r w:rsidRPr="00503F2E">
        <w:rPr>
          <w:i/>
          <w:lang w:eastAsia="hr-HR"/>
        </w:rPr>
        <w:t>in vitro</w:t>
      </w:r>
      <w:r>
        <w:rPr>
          <w:lang w:eastAsia="hr-HR"/>
        </w:rPr>
        <w:t xml:space="preserve"> analysis</w:t>
      </w:r>
      <w:r w:rsidRPr="005B0D70">
        <w:rPr>
          <w:lang w:eastAsia="hr-HR"/>
        </w:rPr>
        <w:t xml:space="preserve"> of cell populations undergoing oxidative stress</w:t>
      </w:r>
      <w:r>
        <w:rPr>
          <w:lang w:eastAsia="hr-HR"/>
        </w:rPr>
        <w:t xml:space="preserve"> and </w:t>
      </w:r>
      <w:r w:rsidRPr="00503F2E">
        <w:rPr>
          <w:i/>
          <w:lang w:eastAsia="hr-HR"/>
        </w:rPr>
        <w:t>in vitro</w:t>
      </w:r>
      <w:r w:rsidRPr="00503F2E">
        <w:rPr>
          <w:lang w:eastAsia="hr-HR"/>
        </w:rPr>
        <w:t xml:space="preserve"> cytotoxicity on </w:t>
      </w:r>
      <w:r w:rsidRPr="00281428">
        <w:rPr>
          <w:lang w:eastAsia="hr-HR"/>
        </w:rPr>
        <w:t xml:space="preserve">two tumour cell lines (HeLa and MCF-7). Also, </w:t>
      </w:r>
      <w:r w:rsidRPr="00281428">
        <w:t>to investigate possible mechanism of action related with observed cytotoxicity of prepared extracts a flow cytometric analysis was applied to determine type of cell death or cell cycle arrest</w:t>
      </w:r>
      <w:r w:rsidRPr="00281428">
        <w:rPr>
          <w:lang w:eastAsia="hr-HR"/>
        </w:rPr>
        <w:t xml:space="preserve">. </w:t>
      </w:r>
      <w:r w:rsidRPr="00281428">
        <w:rPr>
          <w:lang w:eastAsia="en-US"/>
        </w:rPr>
        <w:t xml:space="preserve">Furthermore, since DNA and RNA are the molecular targets for many drugs that are used in cancer and antimicrobial therapy (Hurley, 2002), extracts from grape and olive pomace were additionally screened for presence of </w:t>
      </w:r>
      <w:r w:rsidR="00EC3D60">
        <w:rPr>
          <w:lang w:eastAsia="en-US"/>
        </w:rPr>
        <w:t>compounds</w:t>
      </w:r>
      <w:r w:rsidRPr="00281428">
        <w:rPr>
          <w:lang w:eastAsia="en-US"/>
        </w:rPr>
        <w:t xml:space="preserve"> with </w:t>
      </w:r>
      <w:r w:rsidR="00A032C4" w:rsidRPr="00A032C4">
        <w:rPr>
          <w:bCs/>
          <w:lang w:val="hr-HR" w:eastAsia="en-US"/>
        </w:rPr>
        <w:t>DNA/RNA</w:t>
      </w:r>
      <w:r w:rsidR="00A032C4" w:rsidRPr="00A032C4">
        <w:rPr>
          <w:lang w:val="hr-HR" w:eastAsia="en-US"/>
        </w:rPr>
        <w:t>-binding </w:t>
      </w:r>
      <w:r w:rsidR="00A032C4" w:rsidRPr="00A032C4">
        <w:rPr>
          <w:bCs/>
          <w:lang w:val="hr-HR" w:eastAsia="en-US"/>
        </w:rPr>
        <w:t>affinity</w:t>
      </w:r>
      <w:r w:rsidR="00A032C4">
        <w:rPr>
          <w:bCs/>
          <w:lang w:val="hr-HR" w:eastAsia="en-US"/>
        </w:rPr>
        <w:t xml:space="preserve"> </w:t>
      </w:r>
      <w:r w:rsidRPr="00281428">
        <w:rPr>
          <w:lang w:eastAsia="en-US"/>
        </w:rPr>
        <w:t xml:space="preserve"> by using thermal melting of double-stranded (ds-)</w:t>
      </w:r>
      <w:r w:rsidR="00ED2D8F">
        <w:rPr>
          <w:lang w:eastAsia="en-US"/>
        </w:rPr>
        <w:t xml:space="preserve"> </w:t>
      </w:r>
      <w:r w:rsidRPr="00281428">
        <w:rPr>
          <w:lang w:eastAsia="en-US"/>
        </w:rPr>
        <w:t>polynucleotides and circular dichroism spectroscopy (Vujčić et al., 2017). Beside extracts, we also investigated interactions of DNA and RNA with each of DES constituents (choline chloride and citric acid) to evaluate their individual effect on the structure of those biomacromolecules. It is expected that based on all obtained results, the possible application of NADES as a good solvent for the preparation of a food supplement could be</w:t>
      </w:r>
      <w:r w:rsidRPr="00281428">
        <w:t xml:space="preserve"> </w:t>
      </w:r>
      <w:r w:rsidRPr="00281428">
        <w:rPr>
          <w:rFonts w:eastAsia="MS Mincho"/>
          <w:color w:val="000000"/>
          <w:lang w:eastAsia="ja-JP" w:bidi="he-IL"/>
        </w:rPr>
        <w:t>substantially</w:t>
      </w:r>
      <w:r w:rsidRPr="00281428">
        <w:rPr>
          <w:lang w:eastAsia="en-US"/>
        </w:rPr>
        <w:t xml:space="preserve"> discussed.</w:t>
      </w:r>
    </w:p>
    <w:p w14:paraId="6351A8E1" w14:textId="77777777" w:rsidR="00824E31" w:rsidRPr="00281428" w:rsidRDefault="00824E31" w:rsidP="00281428">
      <w:pPr>
        <w:rPr>
          <w:lang w:eastAsia="en-US"/>
        </w:rPr>
      </w:pPr>
    </w:p>
    <w:p w14:paraId="4EC89994" w14:textId="77777777" w:rsidR="00824E31" w:rsidRPr="00281428" w:rsidRDefault="00824E31" w:rsidP="00281428">
      <w:pPr>
        <w:rPr>
          <w:lang w:eastAsia="en-US"/>
        </w:rPr>
      </w:pPr>
    </w:p>
    <w:p w14:paraId="00B89471" w14:textId="77777777" w:rsidR="00824E31" w:rsidRDefault="00824E31" w:rsidP="0096290C">
      <w:pPr>
        <w:numPr>
          <w:ilvl w:val="0"/>
          <w:numId w:val="4"/>
        </w:numPr>
        <w:rPr>
          <w:b/>
          <w:lang w:eastAsia="en-US"/>
        </w:rPr>
      </w:pPr>
      <w:r w:rsidRPr="00411602">
        <w:rPr>
          <w:b/>
          <w:lang w:eastAsia="en-US"/>
        </w:rPr>
        <w:t>Materials and Methods</w:t>
      </w:r>
    </w:p>
    <w:p w14:paraId="44236614" w14:textId="77777777" w:rsidR="00824E31" w:rsidRPr="00411602" w:rsidRDefault="00824E31" w:rsidP="00281428">
      <w:pPr>
        <w:rPr>
          <w:b/>
          <w:lang w:eastAsia="en-US"/>
        </w:rPr>
      </w:pPr>
    </w:p>
    <w:p w14:paraId="1D0FDB7F" w14:textId="77777777" w:rsidR="00824E31" w:rsidRPr="00DF6715" w:rsidRDefault="00824E31" w:rsidP="0096290C">
      <w:pPr>
        <w:numPr>
          <w:ilvl w:val="1"/>
          <w:numId w:val="4"/>
        </w:numPr>
        <w:autoSpaceDE w:val="0"/>
        <w:autoSpaceDN w:val="0"/>
        <w:adjustRightInd w:val="0"/>
        <w:spacing w:after="160" w:line="480" w:lineRule="auto"/>
        <w:rPr>
          <w:i/>
          <w:lang w:eastAsia="hr-HR"/>
        </w:rPr>
      </w:pPr>
      <w:bookmarkStart w:id="1" w:name="_Toc355101846"/>
      <w:r w:rsidRPr="00DF6715">
        <w:rPr>
          <w:i/>
          <w:lang w:eastAsia="hr-HR"/>
        </w:rPr>
        <w:t xml:space="preserve">Chemicals and materials </w:t>
      </w:r>
    </w:p>
    <w:p w14:paraId="046447FE" w14:textId="77777777" w:rsidR="00824E31" w:rsidRPr="00DF6715" w:rsidRDefault="003E39B7" w:rsidP="0091684A">
      <w:pPr>
        <w:spacing w:line="480" w:lineRule="auto"/>
        <w:jc w:val="both"/>
        <w:rPr>
          <w:lang w:eastAsia="hr-HR"/>
        </w:rPr>
      </w:pPr>
      <w:r>
        <w:rPr>
          <w:rFonts w:eastAsia="AdvTimes"/>
          <w:lang w:eastAsia="hr-HR"/>
        </w:rPr>
        <w:t xml:space="preserve">All chemicals and standards </w:t>
      </w:r>
      <w:r w:rsidR="00824E31" w:rsidRPr="00DF6715">
        <w:rPr>
          <w:rFonts w:eastAsia="AdvTimes"/>
          <w:lang w:eastAsia="hr-HR"/>
        </w:rPr>
        <w:t>were purchased from Sigma (St. Louis, MO, USA)</w:t>
      </w:r>
      <w:r>
        <w:rPr>
          <w:rFonts w:eastAsia="AdvTimes"/>
          <w:lang w:eastAsia="hr-HR"/>
        </w:rPr>
        <w:t xml:space="preserve">, </w:t>
      </w:r>
      <w:r w:rsidRPr="00DF6715">
        <w:rPr>
          <w:rFonts w:eastAsia="AdvTimes"/>
          <w:lang w:eastAsia="hr-HR"/>
        </w:rPr>
        <w:t>Polypolyphenols AS (Sandnes, Norway)</w:t>
      </w:r>
      <w:r>
        <w:rPr>
          <w:rFonts w:eastAsia="AdvTimes"/>
          <w:lang w:eastAsia="hr-HR"/>
        </w:rPr>
        <w:t xml:space="preserve">, </w:t>
      </w:r>
      <w:r w:rsidRPr="00DF6715">
        <w:rPr>
          <w:rFonts w:eastAsia="AdvTimes"/>
          <w:lang w:eastAsia="hr-HR"/>
        </w:rPr>
        <w:t>Gibco Invitrogen Corporation (Paisley, UK)</w:t>
      </w:r>
      <w:r>
        <w:rPr>
          <w:rFonts w:eastAsia="AdvTimes"/>
          <w:lang w:eastAsia="hr-HR"/>
        </w:rPr>
        <w:t xml:space="preserve"> and </w:t>
      </w:r>
      <w:r w:rsidRPr="00DF6715">
        <w:rPr>
          <w:rFonts w:eastAsia="AdvTimes"/>
          <w:lang w:eastAsia="hr-HR"/>
        </w:rPr>
        <w:t>Gibco Invitrogen Corporation (Auckland, New Zealand)</w:t>
      </w:r>
      <w:r w:rsidR="00824E31" w:rsidRPr="00DF6715">
        <w:rPr>
          <w:rFonts w:eastAsia="AdvTimes"/>
          <w:lang w:eastAsia="hr-HR"/>
        </w:rPr>
        <w:t>. CellTiter 96</w:t>
      </w:r>
      <w:r w:rsidR="00824E31" w:rsidRPr="00DF6715">
        <w:rPr>
          <w:rFonts w:eastAsia="AdvTimes"/>
          <w:vertAlign w:val="superscript"/>
          <w:lang w:eastAsia="hr-HR"/>
        </w:rPr>
        <w:t xml:space="preserve">® </w:t>
      </w:r>
      <w:r w:rsidR="00824E31" w:rsidRPr="00DF6715">
        <w:rPr>
          <w:rFonts w:eastAsia="AdvTimes"/>
          <w:lang w:eastAsia="hr-HR"/>
        </w:rPr>
        <w:t>AQ</w:t>
      </w:r>
      <w:r w:rsidR="00824E31" w:rsidRPr="00DF6715">
        <w:rPr>
          <w:rFonts w:eastAsia="AdvTimes"/>
          <w:vertAlign w:val="subscript"/>
          <w:lang w:eastAsia="hr-HR"/>
        </w:rPr>
        <w:t xml:space="preserve">ueous </w:t>
      </w:r>
      <w:r w:rsidR="00824E31" w:rsidRPr="00DF6715">
        <w:rPr>
          <w:rFonts w:eastAsia="AdvTimes"/>
          <w:lang w:eastAsia="hr-HR"/>
        </w:rPr>
        <w:t xml:space="preserve">One Solution Cell Proliferation assay was purchased from Promega (USA), while measurement was done on the microplate reader (Tecan, Switzerland). </w:t>
      </w:r>
      <w:r w:rsidR="00824E31" w:rsidRPr="00DF6715">
        <w:rPr>
          <w:lang w:eastAsia="hr-HR"/>
        </w:rPr>
        <w:t xml:space="preserve"> The Muse</w:t>
      </w:r>
      <w:r w:rsidR="00824E31" w:rsidRPr="00DF6715">
        <w:rPr>
          <w:vertAlign w:val="superscript"/>
          <w:lang w:eastAsia="hr-HR"/>
        </w:rPr>
        <w:t>TM</w:t>
      </w:r>
      <w:r w:rsidR="00824E31" w:rsidRPr="00DF6715">
        <w:rPr>
          <w:lang w:eastAsia="hr-HR"/>
        </w:rPr>
        <w:t xml:space="preserve"> Annexin V &amp; Dead Cell Kit, Cell </w:t>
      </w:r>
      <w:r w:rsidR="00824E31" w:rsidRPr="00DF6715">
        <w:rPr>
          <w:lang w:eastAsia="hr-HR"/>
        </w:rPr>
        <w:lastRenderedPageBreak/>
        <w:t>Cycle Kit and Oxidative Stress Kit was purchased from Merck KGaA (Darmstadt, Germany), while related analyses were done using Muse</w:t>
      </w:r>
      <w:r w:rsidR="00824E31" w:rsidRPr="00DF6715">
        <w:rPr>
          <w:vertAlign w:val="superscript"/>
          <w:lang w:eastAsia="hr-HR"/>
        </w:rPr>
        <w:t>®</w:t>
      </w:r>
      <w:r w:rsidR="00824E31" w:rsidRPr="00DF6715">
        <w:rPr>
          <w:lang w:eastAsia="hr-HR"/>
        </w:rPr>
        <w:t xml:space="preserve"> Cell Analyser (EMD Milipore Corporation, Massachusetts, USA). Calf thymus DNA (ctDNA) and poly A</w:t>
      </w:r>
      <w:r w:rsidR="00E25683">
        <w:rPr>
          <w:lang w:eastAsia="hr-HR"/>
        </w:rPr>
        <w:t xml:space="preserve"> </w:t>
      </w:r>
      <w:r w:rsidR="00824E31" w:rsidRPr="00DF6715">
        <w:rPr>
          <w:lang w:eastAsia="hr-HR"/>
        </w:rPr>
        <w:t>–</w:t>
      </w:r>
      <w:r w:rsidR="00E25683">
        <w:rPr>
          <w:lang w:eastAsia="hr-HR"/>
        </w:rPr>
        <w:t xml:space="preserve"> </w:t>
      </w:r>
      <w:r w:rsidR="00824E31" w:rsidRPr="00DF6715">
        <w:rPr>
          <w:lang w:eastAsia="hr-HR"/>
        </w:rPr>
        <w:t xml:space="preserve">poly U </w:t>
      </w:r>
      <w:r w:rsidR="00E25683">
        <w:rPr>
          <w:lang w:eastAsia="hr-HR"/>
        </w:rPr>
        <w:t xml:space="preserve">(RNA) </w:t>
      </w:r>
      <w:r w:rsidR="00824E31" w:rsidRPr="00DF6715">
        <w:rPr>
          <w:lang w:eastAsia="hr-HR"/>
        </w:rPr>
        <w:t>were purchased from Sigma Aldrich.</w:t>
      </w:r>
    </w:p>
    <w:p w14:paraId="162A9F3C" w14:textId="77777777" w:rsidR="00824E31" w:rsidRPr="008300E4" w:rsidRDefault="00824E31" w:rsidP="0091684A">
      <w:pPr>
        <w:spacing w:line="480" w:lineRule="auto"/>
        <w:jc w:val="both"/>
        <w:rPr>
          <w:rFonts w:eastAsia="AdvTimes"/>
          <w:lang w:eastAsia="hr-HR"/>
        </w:rPr>
      </w:pPr>
      <w:r w:rsidRPr="00DF6715">
        <w:rPr>
          <w:rFonts w:eastAsia="AdvTimes"/>
          <w:lang w:eastAsia="hr-HR"/>
        </w:rPr>
        <w:t>Two</w:t>
      </w:r>
      <w:r w:rsidR="004217DC">
        <w:rPr>
          <w:rFonts w:eastAsia="AdvTimes"/>
          <w:lang w:eastAsia="hr-HR"/>
        </w:rPr>
        <w:t xml:space="preserve"> used</w:t>
      </w:r>
      <w:r w:rsidRPr="00DF6715">
        <w:rPr>
          <w:rFonts w:eastAsia="AdvTimes"/>
          <w:lang w:eastAsia="hr-HR"/>
        </w:rPr>
        <w:t xml:space="preserve"> adherent human cancer </w:t>
      </w:r>
      <w:r w:rsidRPr="008300E4">
        <w:rPr>
          <w:rFonts w:eastAsia="AdvTimes"/>
          <w:lang w:eastAsia="hr-HR"/>
        </w:rPr>
        <w:t>cell lines</w:t>
      </w:r>
      <w:r w:rsidR="004217DC" w:rsidRPr="008300E4">
        <w:rPr>
          <w:rFonts w:eastAsia="AdvTimes"/>
          <w:lang w:eastAsia="hr-HR"/>
        </w:rPr>
        <w:t xml:space="preserve"> </w:t>
      </w:r>
      <w:r w:rsidR="00D30B6D" w:rsidRPr="008300E4">
        <w:rPr>
          <w:rFonts w:eastAsia="AdvTimes"/>
          <w:lang w:eastAsia="hr-HR"/>
        </w:rPr>
        <w:t xml:space="preserve">(HeLa cell line derived from the cervical adenocarcinoma (ATCC No. CCL-2) and MCF-7 cell line derived from breast adenocarcinoma (ATCC No. HTB-22) </w:t>
      </w:r>
      <w:r w:rsidR="004217DC" w:rsidRPr="008300E4">
        <w:rPr>
          <w:rFonts w:eastAsia="AdvTimes"/>
          <w:lang w:eastAsia="hr-HR"/>
        </w:rPr>
        <w:t>were</w:t>
      </w:r>
      <w:r w:rsidRPr="008300E4">
        <w:rPr>
          <w:rFonts w:eastAsia="AdvTimes"/>
          <w:lang w:eastAsia="hr-HR"/>
        </w:rPr>
        <w:t xml:space="preserve"> obtained from the Ruđer Bošković Institute, (Zagreb, Croatia). Cells were </w:t>
      </w:r>
      <w:r w:rsidR="00D30B6D" w:rsidRPr="008300E4">
        <w:rPr>
          <w:rFonts w:eastAsia="AdvTimes"/>
          <w:lang w:eastAsia="hr-HR"/>
        </w:rPr>
        <w:t xml:space="preserve">cultured </w:t>
      </w:r>
      <w:r w:rsidRPr="008300E4">
        <w:rPr>
          <w:rFonts w:eastAsia="AdvTimes"/>
          <w:lang w:eastAsia="hr-HR"/>
        </w:rPr>
        <w:t xml:space="preserve">in </w:t>
      </w:r>
      <w:r w:rsidRPr="008300E4">
        <w:rPr>
          <w:lang w:eastAsia="hr-HR"/>
        </w:rPr>
        <w:t xml:space="preserve">BioLite petri dishes (Thermo Fisher Scientific, USA) </w:t>
      </w:r>
      <w:r w:rsidRPr="008300E4">
        <w:rPr>
          <w:rFonts w:eastAsia="AdvTimes"/>
          <w:lang w:eastAsia="hr-HR"/>
        </w:rPr>
        <w:t xml:space="preserve">in </w:t>
      </w:r>
      <w:r w:rsidR="00B56AA6" w:rsidRPr="008300E4">
        <w:rPr>
          <w:rFonts w:eastAsia="AdvTimes"/>
          <w:lang w:eastAsia="hr-HR"/>
        </w:rPr>
        <w:t xml:space="preserve">humidified atmosphere </w:t>
      </w:r>
      <w:r w:rsidR="00B56AA6">
        <w:rPr>
          <w:rFonts w:eastAsia="AdvTimes"/>
          <w:lang w:eastAsia="hr-HR"/>
        </w:rPr>
        <w:t>with</w:t>
      </w:r>
      <w:r w:rsidR="00B56AA6" w:rsidRPr="008300E4">
        <w:rPr>
          <w:rFonts w:eastAsia="AdvTimes"/>
          <w:lang w:eastAsia="hr-HR"/>
        </w:rPr>
        <w:t xml:space="preserve"> 5% CO</w:t>
      </w:r>
      <w:r w:rsidR="00B56AA6" w:rsidRPr="008300E4">
        <w:rPr>
          <w:rFonts w:eastAsia="AdvTimes"/>
          <w:vertAlign w:val="subscript"/>
          <w:lang w:eastAsia="hr-HR"/>
        </w:rPr>
        <w:t>2</w:t>
      </w:r>
      <w:r w:rsidR="00B56AA6" w:rsidRPr="008300E4">
        <w:rPr>
          <w:rFonts w:eastAsia="AdvTimes"/>
          <w:lang w:eastAsia="hr-HR"/>
        </w:rPr>
        <w:t xml:space="preserve"> at 37°C </w:t>
      </w:r>
      <w:r w:rsidR="00B56AA6">
        <w:rPr>
          <w:rFonts w:eastAsia="AdvTimes"/>
          <w:lang w:eastAsia="hr-HR"/>
        </w:rPr>
        <w:t xml:space="preserve">obtained by </w:t>
      </w:r>
      <w:r w:rsidRPr="008300E4">
        <w:rPr>
          <w:rFonts w:eastAsia="AdvTimes"/>
          <w:lang w:eastAsia="hr-HR"/>
        </w:rPr>
        <w:t>the incubator</w:t>
      </w:r>
      <w:r w:rsidR="00B56AA6">
        <w:rPr>
          <w:rFonts w:eastAsia="AdvTimes"/>
          <w:lang w:eastAsia="hr-HR"/>
        </w:rPr>
        <w:t>. I</w:t>
      </w:r>
      <w:r w:rsidRPr="008300E4">
        <w:rPr>
          <w:rFonts w:eastAsia="AdvTimes"/>
          <w:lang w:eastAsia="hr-HR"/>
        </w:rPr>
        <w:t>ndividual experiments were performed in 6-</w:t>
      </w:r>
      <w:r w:rsidR="008300E4">
        <w:rPr>
          <w:rFonts w:eastAsia="AdvTimes"/>
          <w:lang w:eastAsia="hr-HR"/>
        </w:rPr>
        <w:t>,</w:t>
      </w:r>
      <w:r w:rsidRPr="008300E4">
        <w:rPr>
          <w:rFonts w:eastAsia="AdvTimes"/>
          <w:lang w:eastAsia="hr-HR"/>
        </w:rPr>
        <w:t xml:space="preserve"> 12- or 96-</w:t>
      </w:r>
      <w:r w:rsidR="00D30B6D" w:rsidRPr="008300E4">
        <w:rPr>
          <w:rFonts w:eastAsia="AdvTimes"/>
          <w:lang w:eastAsia="hr-HR"/>
        </w:rPr>
        <w:t xml:space="preserve"> </w:t>
      </w:r>
      <w:r w:rsidRPr="008300E4">
        <w:rPr>
          <w:rFonts w:eastAsia="AdvTimes"/>
          <w:lang w:eastAsia="hr-HR"/>
        </w:rPr>
        <w:t xml:space="preserve">wells plates </w:t>
      </w:r>
      <w:r w:rsidRPr="008300E4">
        <w:rPr>
          <w:lang w:eastAsia="hr-HR"/>
        </w:rPr>
        <w:t>(Thermo Fisher Scientific, USA)</w:t>
      </w:r>
      <w:r w:rsidRPr="008300E4">
        <w:rPr>
          <w:rFonts w:eastAsia="AdvTimes"/>
          <w:lang w:eastAsia="hr-HR"/>
        </w:rPr>
        <w:t>.</w:t>
      </w:r>
    </w:p>
    <w:p w14:paraId="7C2B90F8" w14:textId="77777777" w:rsidR="00824E31" w:rsidRPr="00DF6715" w:rsidRDefault="00824E31" w:rsidP="0091684A">
      <w:pPr>
        <w:spacing w:line="480" w:lineRule="auto"/>
        <w:jc w:val="both"/>
        <w:rPr>
          <w:lang w:eastAsia="en-US"/>
        </w:rPr>
      </w:pPr>
      <w:r w:rsidRPr="00DF6715">
        <w:rPr>
          <w:lang w:eastAsia="en-US"/>
        </w:rPr>
        <w:t xml:space="preserve">Grape pomace was obtained from the Croatian native red grape cultivar, </w:t>
      </w:r>
      <w:r w:rsidRPr="00DF6715">
        <w:rPr>
          <w:i/>
          <w:lang w:eastAsia="en-US"/>
        </w:rPr>
        <w:t>Vitis vinifera</w:t>
      </w:r>
      <w:r w:rsidRPr="00DF6715">
        <w:rPr>
          <w:lang w:eastAsia="en-US"/>
        </w:rPr>
        <w:t xml:space="preserve"> cv. Plavac mali, originating from Dalmatia (Croatia southern vine- growing region), freeze-dried (Alpha 1-2 LD plus Christ, Germany) for </w:t>
      </w:r>
      <w:r>
        <w:rPr>
          <w:lang w:eastAsia="en-US"/>
        </w:rPr>
        <w:t xml:space="preserve">two days </w:t>
      </w:r>
      <w:r w:rsidR="004217DC">
        <w:rPr>
          <w:lang w:eastAsia="en-US"/>
        </w:rPr>
        <w:t xml:space="preserve">-, milled </w:t>
      </w:r>
      <w:r>
        <w:rPr>
          <w:lang w:eastAsia="en-US"/>
        </w:rPr>
        <w:t xml:space="preserve">and stored at </w:t>
      </w:r>
      <w:r w:rsidR="00983315">
        <w:rPr>
          <w:lang w:eastAsia="en-US"/>
        </w:rPr>
        <w:t xml:space="preserve"> 25°C</w:t>
      </w:r>
      <w:r w:rsidRPr="00DF6715">
        <w:rPr>
          <w:lang w:eastAsia="en-US"/>
        </w:rPr>
        <w:t xml:space="preserve"> </w:t>
      </w:r>
      <w:r w:rsidR="004217DC">
        <w:rPr>
          <w:lang w:eastAsia="en-US"/>
        </w:rPr>
        <w:t xml:space="preserve">in </w:t>
      </w:r>
      <w:r w:rsidR="004217DC" w:rsidRPr="004217DC">
        <w:rPr>
          <w:lang w:eastAsia="en-US"/>
        </w:rPr>
        <w:t>desiccator</w:t>
      </w:r>
      <w:r w:rsidR="004217DC">
        <w:rPr>
          <w:lang w:eastAsia="en-US"/>
        </w:rPr>
        <w:t xml:space="preserve"> </w:t>
      </w:r>
      <w:r w:rsidRPr="00DF6715">
        <w:rPr>
          <w:lang w:eastAsia="en-US"/>
        </w:rPr>
        <w:t xml:space="preserve">until </w:t>
      </w:r>
      <w:r w:rsidR="0001753B">
        <w:rPr>
          <w:lang w:eastAsia="en-US"/>
        </w:rPr>
        <w:t xml:space="preserve">preparation </w:t>
      </w:r>
      <w:r w:rsidR="004217DC">
        <w:rPr>
          <w:lang w:eastAsia="en-US"/>
        </w:rPr>
        <w:t>extract</w:t>
      </w:r>
      <w:r w:rsidR="0001753B">
        <w:rPr>
          <w:lang w:eastAsia="en-US"/>
        </w:rPr>
        <w:t>s</w:t>
      </w:r>
      <w:r w:rsidRPr="00DF6715">
        <w:rPr>
          <w:lang w:eastAsia="en-US"/>
        </w:rPr>
        <w:t xml:space="preserve"> </w:t>
      </w:r>
    </w:p>
    <w:p w14:paraId="2E656192" w14:textId="77777777" w:rsidR="00824E31" w:rsidRDefault="00824E31" w:rsidP="0091684A">
      <w:pPr>
        <w:spacing w:line="480" w:lineRule="auto"/>
        <w:jc w:val="both"/>
        <w:rPr>
          <w:lang w:eastAsia="en-US"/>
        </w:rPr>
      </w:pPr>
      <w:r w:rsidRPr="00DF6715">
        <w:rPr>
          <w:lang w:eastAsia="en-US"/>
        </w:rPr>
        <w:t>Olive pomace was obtained from the biggest Croatian olive mill company Agrolaguna d.d., Poreč, Croatia. Olive pomace from two phase extraction process was collected and immediately placed into the ov</w:t>
      </w:r>
      <w:r>
        <w:rPr>
          <w:lang w:eastAsia="en-US"/>
        </w:rPr>
        <w:t>en at 60</w:t>
      </w:r>
      <w:r w:rsidRPr="00DF6715">
        <w:rPr>
          <w:lang w:eastAsia="en-US"/>
        </w:rPr>
        <w:t>°C and dried for 7 days. Dried olive pomace was grinded us</w:t>
      </w:r>
      <w:r>
        <w:rPr>
          <w:lang w:eastAsia="en-US"/>
        </w:rPr>
        <w:t>ing disc mill and stored at -20</w:t>
      </w:r>
      <w:r w:rsidRPr="00DF6715">
        <w:rPr>
          <w:lang w:eastAsia="en-US"/>
        </w:rPr>
        <w:t>°C until analysis.</w:t>
      </w:r>
    </w:p>
    <w:p w14:paraId="025CF20A" w14:textId="77777777" w:rsidR="0027164C" w:rsidRPr="00DF6715" w:rsidRDefault="00D30B6D" w:rsidP="0091684A">
      <w:pPr>
        <w:spacing w:line="480" w:lineRule="auto"/>
        <w:jc w:val="both"/>
        <w:rPr>
          <w:lang w:eastAsia="en-US"/>
        </w:rPr>
      </w:pPr>
      <w:r w:rsidRPr="00D30B6D">
        <w:rPr>
          <w:lang w:eastAsia="hr-HR"/>
        </w:rPr>
        <w:t>Software Statistica V.12 (Statsoft Inc., Tulsa, OK, USA) was used for statistical analysis of all experimental results.</w:t>
      </w:r>
    </w:p>
    <w:p w14:paraId="42BE0E7F" w14:textId="77777777" w:rsidR="00824E31" w:rsidRDefault="00824E31" w:rsidP="00281428">
      <w:pPr>
        <w:spacing w:line="480" w:lineRule="auto"/>
        <w:rPr>
          <w:i/>
          <w:lang w:eastAsia="en-US"/>
        </w:rPr>
      </w:pPr>
    </w:p>
    <w:p w14:paraId="103F0611" w14:textId="77777777" w:rsidR="00824E31" w:rsidRPr="00912137" w:rsidRDefault="00824E31" w:rsidP="0096290C">
      <w:pPr>
        <w:numPr>
          <w:ilvl w:val="1"/>
          <w:numId w:val="4"/>
        </w:numPr>
        <w:spacing w:line="480" w:lineRule="auto"/>
        <w:rPr>
          <w:i/>
          <w:lang w:eastAsia="en-US"/>
        </w:rPr>
      </w:pPr>
      <w:r w:rsidRPr="00912137">
        <w:rPr>
          <w:i/>
          <w:lang w:eastAsia="en-US"/>
        </w:rPr>
        <w:t xml:space="preserve">Preparation of </w:t>
      </w:r>
      <w:r>
        <w:rPr>
          <w:i/>
          <w:lang w:eastAsia="en-US"/>
        </w:rPr>
        <w:t>NA</w:t>
      </w:r>
      <w:r w:rsidRPr="00912137">
        <w:rPr>
          <w:i/>
          <w:lang w:eastAsia="en-US"/>
        </w:rPr>
        <w:t xml:space="preserve">DES </w:t>
      </w:r>
    </w:p>
    <w:p w14:paraId="5CD8822E" w14:textId="77777777" w:rsidR="00824E31" w:rsidRDefault="00824E31" w:rsidP="0091684A">
      <w:pPr>
        <w:spacing w:line="480" w:lineRule="auto"/>
        <w:jc w:val="both"/>
        <w:rPr>
          <w:lang w:eastAsia="en-US"/>
        </w:rPr>
      </w:pPr>
      <w:r w:rsidRPr="00CF44BB">
        <w:rPr>
          <w:lang w:eastAsia="en-US"/>
        </w:rPr>
        <w:t xml:space="preserve">Choline chloride (ChCl) was dried </w:t>
      </w:r>
      <w:r w:rsidRPr="00912137">
        <w:rPr>
          <w:lang w:eastAsia="en-US"/>
        </w:rPr>
        <w:t xml:space="preserve">in a </w:t>
      </w:r>
      <w:r w:rsidRPr="00203A0A">
        <w:rPr>
          <w:lang w:eastAsia="en-US"/>
        </w:rPr>
        <w:t>vacuum concentrator (Savant SPD131DDA SpeedVac Concentrator)</w:t>
      </w:r>
      <w:r>
        <w:rPr>
          <w:lang w:eastAsia="en-US"/>
        </w:rPr>
        <w:t xml:space="preserve"> at 6</w:t>
      </w:r>
      <w:r w:rsidRPr="00912137">
        <w:rPr>
          <w:lang w:eastAsia="en-US"/>
        </w:rPr>
        <w:t xml:space="preserve">0 °C for 24 hours before use. </w:t>
      </w:r>
      <w:r>
        <w:rPr>
          <w:lang w:eastAsia="en-US"/>
        </w:rPr>
        <w:t xml:space="preserve">Choline chloride:citric acid (ChCit) was </w:t>
      </w:r>
      <w:r>
        <w:rPr>
          <w:lang w:eastAsia="en-US"/>
        </w:rPr>
        <w:lastRenderedPageBreak/>
        <w:t xml:space="preserve">prepared by mixing </w:t>
      </w:r>
      <w:r w:rsidRPr="00912137">
        <w:rPr>
          <w:lang w:eastAsia="en-US"/>
        </w:rPr>
        <w:t xml:space="preserve">ChCl and </w:t>
      </w:r>
      <w:r>
        <w:rPr>
          <w:lang w:eastAsia="en-US"/>
        </w:rPr>
        <w:t>Cit</w:t>
      </w:r>
      <w:r w:rsidRPr="00912137">
        <w:rPr>
          <w:lang w:eastAsia="en-US"/>
        </w:rPr>
        <w:t xml:space="preserve"> </w:t>
      </w:r>
      <w:r>
        <w:rPr>
          <w:lang w:eastAsia="en-US"/>
        </w:rPr>
        <w:t xml:space="preserve">in molar ration 2:1 with 30% </w:t>
      </w:r>
      <w:r w:rsidRPr="00912137">
        <w:rPr>
          <w:color w:val="000000"/>
          <w:lang w:eastAsia="en-US"/>
        </w:rPr>
        <w:t xml:space="preserve">of water </w:t>
      </w:r>
      <w:r w:rsidRPr="00CF44BB">
        <w:rPr>
          <w:color w:val="000000"/>
          <w:lang w:eastAsia="en-US"/>
        </w:rPr>
        <w:t xml:space="preserve">(v/v) </w:t>
      </w:r>
      <w:r>
        <w:rPr>
          <w:lang w:eastAsia="en-US"/>
        </w:rPr>
        <w:t xml:space="preserve">and stirred in a flask at 50 °C for 2 </w:t>
      </w:r>
      <w:r w:rsidRPr="00912137">
        <w:rPr>
          <w:lang w:eastAsia="en-US"/>
        </w:rPr>
        <w:t xml:space="preserve">hours until a homogeneous transparent colourless liquid was formed. </w:t>
      </w:r>
    </w:p>
    <w:p w14:paraId="79070DE7" w14:textId="77777777" w:rsidR="00824E31" w:rsidRPr="00912137" w:rsidRDefault="00824E31" w:rsidP="0091684A">
      <w:pPr>
        <w:spacing w:line="480" w:lineRule="auto"/>
        <w:rPr>
          <w:color w:val="000000"/>
          <w:lang w:eastAsia="en-US"/>
        </w:rPr>
      </w:pPr>
    </w:p>
    <w:p w14:paraId="1EAD460A" w14:textId="77777777" w:rsidR="00824E31" w:rsidRPr="00912137" w:rsidRDefault="00824E31" w:rsidP="0096290C">
      <w:pPr>
        <w:numPr>
          <w:ilvl w:val="1"/>
          <w:numId w:val="4"/>
        </w:numPr>
        <w:autoSpaceDE w:val="0"/>
        <w:autoSpaceDN w:val="0"/>
        <w:adjustRightInd w:val="0"/>
        <w:spacing w:after="160" w:line="480" w:lineRule="auto"/>
        <w:rPr>
          <w:bCs/>
          <w:i/>
          <w:lang w:eastAsia="en-US"/>
        </w:rPr>
      </w:pPr>
      <w:r w:rsidRPr="00912137">
        <w:rPr>
          <w:bCs/>
          <w:i/>
          <w:lang w:eastAsia="en-US"/>
        </w:rPr>
        <w:t xml:space="preserve">Preparation of extracts </w:t>
      </w:r>
    </w:p>
    <w:p w14:paraId="7864AF7E" w14:textId="77777777" w:rsidR="00824E31" w:rsidRDefault="00824E31" w:rsidP="007B64D1">
      <w:pPr>
        <w:spacing w:line="480" w:lineRule="auto"/>
        <w:jc w:val="both"/>
        <w:rPr>
          <w:rFonts w:ascii="Calibri" w:hAnsi="Calibri"/>
          <w:sz w:val="22"/>
          <w:szCs w:val="22"/>
          <w:lang w:eastAsia="en-US"/>
        </w:rPr>
      </w:pPr>
      <w:r w:rsidRPr="008B7D9F">
        <w:rPr>
          <w:bCs/>
        </w:rPr>
        <w:t xml:space="preserve">Extraction was performed </w:t>
      </w:r>
      <w:r w:rsidRPr="008B7D9F">
        <w:t xml:space="preserve">in an ultrasonic – microwave cooperative reactor (Lab Kits, MW-ER-01, Hong Kong). All extraction was conducted under </w:t>
      </w:r>
      <w:r w:rsidRPr="008B7D9F">
        <w:rPr>
          <w:bCs/>
        </w:rPr>
        <w:t xml:space="preserve">microwave power of 300 W, </w:t>
      </w:r>
      <w:r w:rsidRPr="008B7D9F">
        <w:t xml:space="preserve">ultrasound power 50W during 10 min. </w:t>
      </w:r>
      <w:r w:rsidRPr="008B7D9F">
        <w:rPr>
          <w:lang w:eastAsia="hr-HR"/>
        </w:rPr>
        <w:t>Solid-liquid ratios of</w:t>
      </w:r>
      <w:r>
        <w:rPr>
          <w:lang w:eastAsia="hr-HR"/>
        </w:rPr>
        <w:t xml:space="preserve"> </w:t>
      </w:r>
      <w:r w:rsidRPr="008B7D9F">
        <w:rPr>
          <w:lang w:eastAsia="hr-HR"/>
        </w:rPr>
        <w:t xml:space="preserve">0.05 g of freeze dried grape </w:t>
      </w:r>
      <w:r>
        <w:rPr>
          <w:lang w:eastAsia="hr-HR"/>
        </w:rPr>
        <w:t>or</w:t>
      </w:r>
      <w:r w:rsidRPr="008B7D9F">
        <w:rPr>
          <w:lang w:eastAsia="hr-HR"/>
        </w:rPr>
        <w:t xml:space="preserve"> olive pomace </w:t>
      </w:r>
      <w:r w:rsidRPr="008B7D9F">
        <w:rPr>
          <w:iCs/>
          <w:lang w:eastAsia="hr-HR"/>
        </w:rPr>
        <w:t>per</w:t>
      </w:r>
      <w:r w:rsidRPr="008B7D9F">
        <w:rPr>
          <w:i/>
          <w:iCs/>
          <w:lang w:eastAsia="hr-HR"/>
        </w:rPr>
        <w:t xml:space="preserve"> </w:t>
      </w:r>
      <w:r w:rsidRPr="008B7D9F">
        <w:rPr>
          <w:lang w:eastAsia="hr-HR"/>
        </w:rPr>
        <w:t xml:space="preserve">mL of ChCit or </w:t>
      </w:r>
      <w:r w:rsidRPr="008B7D9F">
        <w:rPr>
          <w:bCs/>
        </w:rPr>
        <w:t>aqueous ethanol (70% of ethanol, v/v)</w:t>
      </w:r>
      <w:r w:rsidRPr="008B7D9F">
        <w:rPr>
          <w:lang w:eastAsia="hr-HR"/>
        </w:rPr>
        <w:t xml:space="preserve"> were used for extraction. Then, extracts were centrifuged for 15 min at 5000 rpm and the supernatant was decanted </w:t>
      </w:r>
      <w:bookmarkStart w:id="2" w:name="OLE_LINK1"/>
      <w:bookmarkStart w:id="3" w:name="OLE_LINK2"/>
      <w:r w:rsidRPr="008B7D9F">
        <w:rPr>
          <w:lang w:eastAsia="en-US"/>
        </w:rPr>
        <w:t>and adjusted to a final volume of 10 mL (0.05 mg mL</w:t>
      </w:r>
      <w:r w:rsidRPr="008B7D9F">
        <w:rPr>
          <w:vertAlign w:val="superscript"/>
          <w:lang w:eastAsia="en-US"/>
        </w:rPr>
        <w:t>-1</w:t>
      </w:r>
      <w:r w:rsidRPr="008B7D9F">
        <w:rPr>
          <w:lang w:eastAsia="en-US"/>
        </w:rPr>
        <w:t xml:space="preserve">). </w:t>
      </w:r>
      <w:bookmarkEnd w:id="2"/>
      <w:bookmarkEnd w:id="3"/>
      <w:r w:rsidRPr="008B7D9F">
        <w:rPr>
          <w:rFonts w:ascii="Calibri" w:hAnsi="Calibri"/>
          <w:sz w:val="22"/>
          <w:szCs w:val="22"/>
          <w:lang w:eastAsia="en-US"/>
        </w:rPr>
        <w:t xml:space="preserve"> </w:t>
      </w:r>
    </w:p>
    <w:p w14:paraId="49AD6803" w14:textId="77777777" w:rsidR="008300E4" w:rsidRDefault="008300E4" w:rsidP="007B64D1">
      <w:pPr>
        <w:spacing w:line="480" w:lineRule="auto"/>
        <w:jc w:val="both"/>
        <w:rPr>
          <w:rFonts w:ascii="Calibri" w:hAnsi="Calibri"/>
          <w:sz w:val="22"/>
          <w:szCs w:val="22"/>
          <w:lang w:eastAsia="en-US"/>
        </w:rPr>
      </w:pPr>
    </w:p>
    <w:p w14:paraId="1C7C2305" w14:textId="77777777" w:rsidR="00824E31" w:rsidRPr="00B12CB9" w:rsidRDefault="00824E31" w:rsidP="0096290C">
      <w:pPr>
        <w:numPr>
          <w:ilvl w:val="1"/>
          <w:numId w:val="4"/>
        </w:numPr>
        <w:spacing w:line="480" w:lineRule="auto"/>
        <w:rPr>
          <w:i/>
          <w:lang w:val="en-US" w:eastAsia="en-US"/>
        </w:rPr>
      </w:pPr>
      <w:r w:rsidRPr="00B12CB9">
        <w:rPr>
          <w:i/>
          <w:lang w:val="en-US" w:eastAsia="en-US"/>
        </w:rPr>
        <w:t xml:space="preserve">HPLC analysis of polyphenolic compounds </w:t>
      </w:r>
    </w:p>
    <w:p w14:paraId="615827D1" w14:textId="77777777" w:rsidR="008300E4" w:rsidRDefault="00D81EF9" w:rsidP="008300E4">
      <w:pPr>
        <w:spacing w:line="480" w:lineRule="auto"/>
        <w:jc w:val="both"/>
        <w:rPr>
          <w:lang w:eastAsia="en-US"/>
        </w:rPr>
      </w:pPr>
      <w:r w:rsidRPr="00B12CB9">
        <w:rPr>
          <w:lang w:eastAsia="en-US"/>
        </w:rPr>
        <w:t>HPLC analys</w:t>
      </w:r>
      <w:r w:rsidR="00983315">
        <w:rPr>
          <w:lang w:eastAsia="en-US"/>
        </w:rPr>
        <w:t>e</w:t>
      </w:r>
      <w:r w:rsidRPr="00B12CB9">
        <w:rPr>
          <w:lang w:eastAsia="en-US"/>
        </w:rPr>
        <w:t>s were performed on the Agilent</w:t>
      </w:r>
      <w:r w:rsidR="00983315">
        <w:rPr>
          <w:lang w:eastAsia="en-US"/>
        </w:rPr>
        <w:t xml:space="preserve"> </w:t>
      </w:r>
      <w:r w:rsidRPr="00B12CB9">
        <w:rPr>
          <w:lang w:eastAsia="en-US"/>
        </w:rPr>
        <w:t>1200 Series HPLC system (Agilent, San Jose, CA, USA) equipped with a diode array detector (DAD)</w:t>
      </w:r>
      <w:r>
        <w:rPr>
          <w:lang w:eastAsia="en-US"/>
        </w:rPr>
        <w:t xml:space="preserve"> </w:t>
      </w:r>
      <w:r w:rsidR="00983315">
        <w:rPr>
          <w:lang w:eastAsia="en-US"/>
        </w:rPr>
        <w:t>and</w:t>
      </w:r>
      <w:r>
        <w:rPr>
          <w:lang w:eastAsia="en-US"/>
        </w:rPr>
        <w:t xml:space="preserve"> </w:t>
      </w:r>
      <w:r w:rsidRPr="00B12CB9">
        <w:rPr>
          <w:lang w:eastAsia="en-US"/>
        </w:rPr>
        <w:t xml:space="preserve">Phenomenex C18 column (Kinetex 150 mm × 4.6 mm, 2.6 </w:t>
      </w:r>
      <w:r>
        <w:rPr>
          <w:lang w:eastAsia="en-US"/>
        </w:rPr>
        <w:t>µ</w:t>
      </w:r>
      <w:r w:rsidRPr="00B12CB9">
        <w:rPr>
          <w:lang w:eastAsia="en-US"/>
        </w:rPr>
        <w:t>m, 100</w:t>
      </w:r>
      <w:r w:rsidR="008300E4">
        <w:rPr>
          <w:lang w:eastAsia="en-US"/>
        </w:rPr>
        <w:t xml:space="preserve"> </w:t>
      </w:r>
      <w:r w:rsidR="008300E4" w:rsidRPr="008300E4">
        <w:rPr>
          <w:lang w:eastAsia="en-US"/>
        </w:rPr>
        <w:t>Å</w:t>
      </w:r>
      <w:r w:rsidRPr="00B12CB9">
        <w:rPr>
          <w:lang w:eastAsia="en-US"/>
        </w:rPr>
        <w:t>)</w:t>
      </w:r>
      <w:r w:rsidR="008300E4">
        <w:rPr>
          <w:lang w:eastAsia="en-US"/>
        </w:rPr>
        <w:t>.</w:t>
      </w:r>
    </w:p>
    <w:p w14:paraId="0DFC7530" w14:textId="77777777" w:rsidR="00824E31" w:rsidRPr="00B12CB9" w:rsidRDefault="00D81EF9" w:rsidP="008300E4">
      <w:pPr>
        <w:spacing w:line="480" w:lineRule="auto"/>
        <w:jc w:val="both"/>
        <w:rPr>
          <w:lang w:eastAsia="en-US"/>
        </w:rPr>
      </w:pPr>
      <w:r w:rsidRPr="00B12CB9">
        <w:rPr>
          <w:lang w:eastAsia="en-US"/>
        </w:rPr>
        <w:t xml:space="preserve">Mobile phases for the separation of polyphenols were water/formic acid (99.9:0.1, v/v) (solvent A) and methanol/formic acid (99.9:0.1, v/v) (solvent B). </w:t>
      </w:r>
      <w:r w:rsidR="00C30713">
        <w:t xml:space="preserve">Prior to analysis, </w:t>
      </w:r>
      <w:r w:rsidR="00C30713">
        <w:rPr>
          <w:lang w:eastAsia="en-US"/>
        </w:rPr>
        <w:t>s</w:t>
      </w:r>
      <w:r w:rsidR="00824E31" w:rsidRPr="00B12CB9">
        <w:rPr>
          <w:lang w:eastAsia="en-US"/>
        </w:rPr>
        <w:t>amples</w:t>
      </w:r>
      <w:r>
        <w:rPr>
          <w:lang w:eastAsia="en-US"/>
        </w:rPr>
        <w:t xml:space="preserve"> </w:t>
      </w:r>
      <w:r w:rsidRPr="00B12CB9">
        <w:rPr>
          <w:lang w:eastAsia="en-US"/>
        </w:rPr>
        <w:t xml:space="preserve">were filtered through 0.22 </w:t>
      </w:r>
      <w:r>
        <w:rPr>
          <w:lang w:eastAsia="en-US"/>
        </w:rPr>
        <w:t>µ</w:t>
      </w:r>
      <w:r w:rsidRPr="00B12CB9">
        <w:rPr>
          <w:lang w:eastAsia="en-US"/>
        </w:rPr>
        <w:t>m PTFE (polytetrafluoroethylene) filters</w:t>
      </w:r>
      <w:r>
        <w:rPr>
          <w:lang w:eastAsia="en-US"/>
        </w:rPr>
        <w:t xml:space="preserve"> and analysed </w:t>
      </w:r>
      <w:r w:rsidRPr="00D81EF9">
        <w:rPr>
          <w:lang w:eastAsia="en-US"/>
        </w:rPr>
        <w:t xml:space="preserve">by a </w:t>
      </w:r>
      <w:r>
        <w:rPr>
          <w:lang w:eastAsia="en-US"/>
        </w:rPr>
        <w:t>HPLC</w:t>
      </w:r>
      <w:r w:rsidRPr="00D81EF9">
        <w:rPr>
          <w:lang w:eastAsia="en-US"/>
        </w:rPr>
        <w:t xml:space="preserve"> with following </w:t>
      </w:r>
      <w:bookmarkStart w:id="4" w:name="OLE_LINK3"/>
      <w:bookmarkStart w:id="5" w:name="OLE_LINK4"/>
      <w:r w:rsidR="00824E31" w:rsidRPr="00B12CB9">
        <w:rPr>
          <w:lang w:val="en-US" w:eastAsia="en-US"/>
        </w:rPr>
        <w:t xml:space="preserve">elution </w:t>
      </w:r>
      <w:bookmarkEnd w:id="4"/>
      <w:bookmarkEnd w:id="5"/>
      <w:r w:rsidR="00824E31" w:rsidRPr="00B12CB9">
        <w:rPr>
          <w:lang w:val="en-US" w:eastAsia="en-US"/>
        </w:rPr>
        <w:t xml:space="preserve">gradient </w:t>
      </w:r>
      <w:r w:rsidR="00824E31" w:rsidRPr="00B12CB9">
        <w:rPr>
          <w:lang w:eastAsia="en-US"/>
        </w:rPr>
        <w:t xml:space="preserve">according to solvent B: 0–3 min, 10%; 3–15 min, 10%–50%; 15–20 min, 50%-60%; 20–25 min, 60%-100%; 25-26 min 100%. </w:t>
      </w:r>
      <w:r>
        <w:rPr>
          <w:lang w:eastAsia="en-US"/>
        </w:rPr>
        <w:t>F</w:t>
      </w:r>
      <w:r w:rsidRPr="00B12CB9">
        <w:rPr>
          <w:lang w:eastAsia="en-US"/>
        </w:rPr>
        <w:t xml:space="preserve">low rate </w:t>
      </w:r>
      <w:r>
        <w:rPr>
          <w:lang w:eastAsia="en-US"/>
        </w:rPr>
        <w:t xml:space="preserve">was </w:t>
      </w:r>
      <w:r w:rsidRPr="00B12CB9">
        <w:rPr>
          <w:lang w:eastAsia="en-US"/>
        </w:rPr>
        <w:t>0.9 mL min</w:t>
      </w:r>
      <w:r w:rsidRPr="00B12CB9">
        <w:rPr>
          <w:vertAlign w:val="superscript"/>
          <w:lang w:eastAsia="en-US"/>
        </w:rPr>
        <w:t>-1</w:t>
      </w:r>
      <w:r>
        <w:rPr>
          <w:lang w:eastAsia="en-US"/>
        </w:rPr>
        <w:t xml:space="preserve">, </w:t>
      </w:r>
      <w:r w:rsidR="00824E31" w:rsidRPr="00B12CB9">
        <w:rPr>
          <w:lang w:eastAsia="en-US"/>
        </w:rPr>
        <w:t>The column temperature was kept at 30°C</w:t>
      </w:r>
      <w:r w:rsidR="0091684A">
        <w:rPr>
          <w:lang w:eastAsia="en-US"/>
        </w:rPr>
        <w:t xml:space="preserve"> </w:t>
      </w:r>
      <w:r w:rsidR="00824E31" w:rsidRPr="00B12CB9">
        <w:rPr>
          <w:lang w:eastAsia="en-US"/>
        </w:rPr>
        <w:t xml:space="preserve">and the autosampler at 4°C. </w:t>
      </w:r>
      <w:r>
        <w:rPr>
          <w:lang w:eastAsia="en-US"/>
        </w:rPr>
        <w:t xml:space="preserve">The retention times and </w:t>
      </w:r>
      <w:r w:rsidRPr="00B12CB9">
        <w:rPr>
          <w:lang w:eastAsia="en-US"/>
        </w:rPr>
        <w:t>spectral data</w:t>
      </w:r>
      <w:r>
        <w:rPr>
          <w:lang w:eastAsia="en-US"/>
        </w:rPr>
        <w:t xml:space="preserve"> </w:t>
      </w:r>
      <w:r w:rsidR="00810225" w:rsidRPr="00B12CB9">
        <w:rPr>
          <w:lang w:eastAsia="en-US"/>
        </w:rPr>
        <w:t>of polyphenolic compounds</w:t>
      </w:r>
      <w:r w:rsidR="00810225">
        <w:rPr>
          <w:lang w:eastAsia="en-US"/>
        </w:rPr>
        <w:t xml:space="preserve"> </w:t>
      </w:r>
      <w:r>
        <w:rPr>
          <w:lang w:eastAsia="en-US"/>
        </w:rPr>
        <w:t xml:space="preserve">were compared with external </w:t>
      </w:r>
      <w:r w:rsidR="00810225">
        <w:rPr>
          <w:lang w:eastAsia="en-US"/>
        </w:rPr>
        <w:t>standards. G</w:t>
      </w:r>
      <w:r w:rsidR="00810225" w:rsidRPr="00B12CB9">
        <w:rPr>
          <w:lang w:eastAsia="en-US"/>
        </w:rPr>
        <w:t>allic acid, hydroxytyrosol, tyrosol, catehin, vanillic acid, vanillin and pinoresinol</w:t>
      </w:r>
      <w:r>
        <w:rPr>
          <w:lang w:eastAsia="en-US"/>
        </w:rPr>
        <w:t xml:space="preserve"> </w:t>
      </w:r>
      <w:r w:rsidR="00810225" w:rsidRPr="00B12CB9">
        <w:rPr>
          <w:lang w:eastAsia="en-US"/>
        </w:rPr>
        <w:t>were</w:t>
      </w:r>
      <w:r w:rsidR="00810225">
        <w:rPr>
          <w:lang w:eastAsia="en-US"/>
        </w:rPr>
        <w:t xml:space="preserve"> </w:t>
      </w:r>
      <w:r w:rsidR="00824E31" w:rsidRPr="00B12CB9">
        <w:rPr>
          <w:lang w:eastAsia="en-US"/>
        </w:rPr>
        <w:t>identifi</w:t>
      </w:r>
      <w:r w:rsidR="00810225">
        <w:rPr>
          <w:lang w:eastAsia="en-US"/>
        </w:rPr>
        <w:t>ed</w:t>
      </w:r>
      <w:r w:rsidR="00824E31" w:rsidRPr="00B12CB9">
        <w:rPr>
          <w:lang w:eastAsia="en-US"/>
        </w:rPr>
        <w:t xml:space="preserve"> at 280</w:t>
      </w:r>
      <w:r w:rsidR="00810225">
        <w:rPr>
          <w:lang w:eastAsia="en-US"/>
        </w:rPr>
        <w:t xml:space="preserve"> nm</w:t>
      </w:r>
      <w:r w:rsidR="0091684A">
        <w:rPr>
          <w:lang w:eastAsia="en-US"/>
        </w:rPr>
        <w:t xml:space="preserve"> </w:t>
      </w:r>
      <w:r>
        <w:rPr>
          <w:lang w:eastAsia="en-US"/>
        </w:rPr>
        <w:t>and</w:t>
      </w:r>
      <w:r w:rsidR="0091684A">
        <w:rPr>
          <w:lang w:eastAsia="en-US"/>
        </w:rPr>
        <w:t xml:space="preserve"> </w:t>
      </w:r>
      <w:r w:rsidR="00810225" w:rsidRPr="00B12CB9">
        <w:rPr>
          <w:lang w:eastAsia="en-US"/>
        </w:rPr>
        <w:t>quercetin-3</w:t>
      </w:r>
      <w:r w:rsidR="00810225">
        <w:rPr>
          <w:lang w:eastAsia="en-US"/>
        </w:rPr>
        <w:t>-</w:t>
      </w:r>
      <w:r w:rsidR="00810225" w:rsidRPr="00146AC8">
        <w:rPr>
          <w:i/>
          <w:lang w:eastAsia="en-US"/>
        </w:rPr>
        <w:t>O</w:t>
      </w:r>
      <w:r w:rsidR="00810225" w:rsidRPr="00B12CB9">
        <w:rPr>
          <w:lang w:eastAsia="en-US"/>
        </w:rPr>
        <w:t xml:space="preserve">-glucoside </w:t>
      </w:r>
      <w:r w:rsidR="00810225">
        <w:rPr>
          <w:lang w:eastAsia="en-US"/>
        </w:rPr>
        <w:t xml:space="preserve">at </w:t>
      </w:r>
      <w:r w:rsidR="00824E31" w:rsidRPr="00B12CB9">
        <w:rPr>
          <w:lang w:eastAsia="en-US"/>
        </w:rPr>
        <w:t xml:space="preserve">360 </w:t>
      </w:r>
      <w:r w:rsidR="00810225">
        <w:rPr>
          <w:lang w:eastAsia="en-US"/>
        </w:rPr>
        <w:t xml:space="preserve">nm. </w:t>
      </w:r>
      <w:r w:rsidR="00983315">
        <w:rPr>
          <w:lang w:eastAsia="en-US"/>
        </w:rPr>
        <w:t xml:space="preserve">Polyphenols </w:t>
      </w:r>
      <w:r w:rsidR="00A414F3">
        <w:rPr>
          <w:lang w:eastAsia="en-US"/>
        </w:rPr>
        <w:t xml:space="preserve">were quantified considering </w:t>
      </w:r>
      <w:r w:rsidR="00A414F3">
        <w:rPr>
          <w:lang w:eastAsia="en-US"/>
        </w:rPr>
        <w:lastRenderedPageBreak/>
        <w:t>calibration curves</w:t>
      </w:r>
      <w:r w:rsidR="00983315">
        <w:rPr>
          <w:lang w:eastAsia="en-US"/>
        </w:rPr>
        <w:t xml:space="preserve"> of</w:t>
      </w:r>
      <w:r w:rsidR="00A414F3">
        <w:rPr>
          <w:lang w:eastAsia="en-US"/>
        </w:rPr>
        <w:t xml:space="preserve"> </w:t>
      </w:r>
      <w:r w:rsidR="002A7BE4" w:rsidRPr="00B12CB9">
        <w:rPr>
          <w:lang w:eastAsia="en-US"/>
        </w:rPr>
        <w:t>authentic</w:t>
      </w:r>
      <w:r w:rsidR="002A7BE4">
        <w:rPr>
          <w:lang w:eastAsia="en-US"/>
        </w:rPr>
        <w:t xml:space="preserve"> </w:t>
      </w:r>
      <w:r w:rsidR="002A7BE4" w:rsidRPr="00B12CB9">
        <w:rPr>
          <w:lang w:eastAsia="en-US"/>
        </w:rPr>
        <w:t xml:space="preserve">external standards </w:t>
      </w:r>
      <w:r w:rsidR="00A414F3">
        <w:rPr>
          <w:lang w:eastAsia="en-US"/>
        </w:rPr>
        <w:t>(</w:t>
      </w:r>
      <w:r w:rsidR="00A414F3" w:rsidRPr="00B12CB9">
        <w:rPr>
          <w:lang w:eastAsia="en-US"/>
        </w:rPr>
        <w:t>3-300 mg L</w:t>
      </w:r>
      <w:r w:rsidR="00A414F3" w:rsidRPr="00B12CB9">
        <w:rPr>
          <w:vertAlign w:val="superscript"/>
          <w:lang w:eastAsia="en-US"/>
        </w:rPr>
        <w:t>-1</w:t>
      </w:r>
      <w:r w:rsidR="00A414F3" w:rsidRPr="008300E4">
        <w:rPr>
          <w:lang w:eastAsia="en-US"/>
        </w:rPr>
        <w:t>)</w:t>
      </w:r>
      <w:r w:rsidR="00983315">
        <w:rPr>
          <w:lang w:eastAsia="en-US"/>
        </w:rPr>
        <w:t xml:space="preserve"> </w:t>
      </w:r>
      <w:r w:rsidR="00983315" w:rsidRPr="00AE6E15">
        <w:rPr>
          <w:lang w:eastAsia="en-US"/>
        </w:rPr>
        <w:t>at the wavelength of maximum absorbance</w:t>
      </w:r>
      <w:r w:rsidR="00983315">
        <w:rPr>
          <w:lang w:eastAsia="en-US"/>
        </w:rPr>
        <w:t>.</w:t>
      </w:r>
      <w:r w:rsidR="00A414F3">
        <w:rPr>
          <w:lang w:eastAsia="en-US"/>
        </w:rPr>
        <w:t xml:space="preserve"> </w:t>
      </w:r>
    </w:p>
    <w:p w14:paraId="29287A5F" w14:textId="77777777" w:rsidR="008B380F" w:rsidRDefault="00B56AA6" w:rsidP="007209B1">
      <w:pPr>
        <w:spacing w:line="480" w:lineRule="auto"/>
        <w:jc w:val="both"/>
        <w:rPr>
          <w:lang w:eastAsia="en-US"/>
        </w:rPr>
      </w:pPr>
      <w:r>
        <w:rPr>
          <w:lang w:eastAsia="en-US"/>
        </w:rPr>
        <w:t>I</w:t>
      </w:r>
      <w:r w:rsidR="002A7BE4">
        <w:rPr>
          <w:lang w:eastAsia="en-US"/>
        </w:rPr>
        <w:t xml:space="preserve">n </w:t>
      </w:r>
      <w:r w:rsidR="002A7BE4" w:rsidRPr="00B12CB9">
        <w:rPr>
          <w:lang w:eastAsia="en-US"/>
        </w:rPr>
        <w:t xml:space="preserve">filtered </w:t>
      </w:r>
      <w:r w:rsidR="002A7BE4">
        <w:rPr>
          <w:lang w:eastAsia="en-US"/>
        </w:rPr>
        <w:t xml:space="preserve">prepared grape pomace extracts </w:t>
      </w:r>
      <w:r>
        <w:rPr>
          <w:lang w:eastAsia="en-US"/>
        </w:rPr>
        <w:t xml:space="preserve">anthocyanins </w:t>
      </w:r>
      <w:r w:rsidR="002A7BE4">
        <w:rPr>
          <w:lang w:eastAsia="en-US"/>
        </w:rPr>
        <w:t xml:space="preserve">were also analysed. </w:t>
      </w:r>
      <w:r w:rsidR="00824E31" w:rsidRPr="00CE1AEF">
        <w:rPr>
          <w:lang w:eastAsia="en-US"/>
        </w:rPr>
        <w:t xml:space="preserve">Mobile phases were </w:t>
      </w:r>
      <w:r w:rsidR="00824E31" w:rsidRPr="00CE1AEF">
        <w:rPr>
          <w:lang w:val="en-US" w:eastAsia="en-US"/>
        </w:rPr>
        <w:t xml:space="preserve">water/formic acid (95:5, v/v) (solvent A) and acetonitrile/formic acid (95:5, v/v) (solvent B). </w:t>
      </w:r>
      <w:r w:rsidR="002A7BE4">
        <w:rPr>
          <w:lang w:val="en-US" w:eastAsia="en-US"/>
        </w:rPr>
        <w:t xml:space="preserve">Analyses were performed with the </w:t>
      </w:r>
      <w:r w:rsidR="00824E31" w:rsidRPr="00CE1AEF">
        <w:rPr>
          <w:lang w:val="en-US" w:eastAsia="en-US"/>
        </w:rPr>
        <w:t>following elution</w:t>
      </w:r>
      <w:r w:rsidR="00824E31" w:rsidRPr="00CE1AEF">
        <w:rPr>
          <w:lang w:eastAsia="en-US"/>
        </w:rPr>
        <w:t xml:space="preserve"> </w:t>
      </w:r>
      <w:r w:rsidR="004217DC">
        <w:rPr>
          <w:lang w:eastAsia="en-US"/>
        </w:rPr>
        <w:t>g</w:t>
      </w:r>
      <w:r w:rsidR="00824E31" w:rsidRPr="00CE1AEF">
        <w:rPr>
          <w:lang w:eastAsia="en-US"/>
        </w:rPr>
        <w:t xml:space="preserve">radient conditions, </w:t>
      </w:r>
      <w:r w:rsidR="00824E31" w:rsidRPr="00CE1AEF">
        <w:rPr>
          <w:lang w:val="en-US" w:eastAsia="en-US"/>
        </w:rPr>
        <w:t>according to solvent B</w:t>
      </w:r>
      <w:r w:rsidR="00824E31" w:rsidRPr="00CE1AEF">
        <w:rPr>
          <w:lang w:eastAsia="en-US"/>
        </w:rPr>
        <w:t>: 0-15.5 min, 10-35%; 15.5-16 min, 35%-100%, 16-17 min, 100%, 17-18 min, 100%-10%.</w:t>
      </w:r>
      <w:r w:rsidR="002A7BE4">
        <w:rPr>
          <w:lang w:eastAsia="en-US"/>
        </w:rPr>
        <w:t xml:space="preserve"> Flow rate was 0.9 mg mL</w:t>
      </w:r>
      <w:r w:rsidR="002A7BE4" w:rsidRPr="008300E4">
        <w:rPr>
          <w:vertAlign w:val="superscript"/>
          <w:lang w:eastAsia="en-US"/>
        </w:rPr>
        <w:t>-1</w:t>
      </w:r>
      <w:r w:rsidR="002A7BE4">
        <w:rPr>
          <w:lang w:eastAsia="en-US"/>
        </w:rPr>
        <w:t>.</w:t>
      </w:r>
      <w:r>
        <w:rPr>
          <w:lang w:eastAsia="en-US"/>
        </w:rPr>
        <w:t xml:space="preserve"> </w:t>
      </w:r>
      <w:r w:rsidR="00824E31" w:rsidRPr="00CE1AEF">
        <w:rPr>
          <w:lang w:eastAsia="en-US"/>
        </w:rPr>
        <w:t xml:space="preserve">The column temperature </w:t>
      </w:r>
      <w:r w:rsidR="002A7BE4">
        <w:rPr>
          <w:lang w:eastAsia="en-US"/>
        </w:rPr>
        <w:t xml:space="preserve">was </w:t>
      </w:r>
      <w:r w:rsidR="00824E31" w:rsidRPr="00CE1AEF">
        <w:rPr>
          <w:lang w:eastAsia="en-US"/>
        </w:rPr>
        <w:t xml:space="preserve">40°C, and the autosampler </w:t>
      </w:r>
      <w:r w:rsidR="002A7BE4">
        <w:rPr>
          <w:lang w:eastAsia="en-US"/>
        </w:rPr>
        <w:t xml:space="preserve">temperature </w:t>
      </w:r>
      <w:r w:rsidR="00824E31" w:rsidRPr="00CE1AEF">
        <w:rPr>
          <w:lang w:eastAsia="en-US"/>
        </w:rPr>
        <w:t xml:space="preserve">4°C. </w:t>
      </w:r>
      <w:r w:rsidR="008B380F">
        <w:rPr>
          <w:lang w:eastAsia="en-US"/>
        </w:rPr>
        <w:t>Anthocyanins</w:t>
      </w:r>
      <w:r w:rsidR="0091684A">
        <w:rPr>
          <w:lang w:eastAsia="en-US"/>
        </w:rPr>
        <w:t xml:space="preserve"> </w:t>
      </w:r>
      <w:r w:rsidR="0091684A" w:rsidRPr="00CE1AEF">
        <w:rPr>
          <w:lang w:eastAsia="en-US"/>
        </w:rPr>
        <w:t>(delphinidin-3-</w:t>
      </w:r>
      <w:r w:rsidR="0091684A" w:rsidRPr="00CE1AEF">
        <w:rPr>
          <w:i/>
          <w:lang w:eastAsia="en-US"/>
        </w:rPr>
        <w:t>O</w:t>
      </w:r>
      <w:r w:rsidR="0091684A" w:rsidRPr="00CE1AEF">
        <w:rPr>
          <w:lang w:eastAsia="en-US"/>
        </w:rPr>
        <w:t>-monoglucoside, petunidin-3-</w:t>
      </w:r>
      <w:r w:rsidR="0091684A" w:rsidRPr="00CE1AEF">
        <w:rPr>
          <w:i/>
          <w:lang w:eastAsia="en-US"/>
        </w:rPr>
        <w:t>O</w:t>
      </w:r>
      <w:r w:rsidR="0091684A" w:rsidRPr="00CE1AEF">
        <w:rPr>
          <w:lang w:eastAsia="en-US"/>
        </w:rPr>
        <w:t>-monoglucoside, peonidin-3-</w:t>
      </w:r>
      <w:r w:rsidR="0091684A" w:rsidRPr="00CE1AEF">
        <w:rPr>
          <w:i/>
          <w:lang w:eastAsia="en-US"/>
        </w:rPr>
        <w:t>O</w:t>
      </w:r>
      <w:r w:rsidR="0091684A" w:rsidRPr="00CE1AEF">
        <w:rPr>
          <w:lang w:eastAsia="en-US"/>
        </w:rPr>
        <w:t>-monoglucoside, malvidin-3-</w:t>
      </w:r>
      <w:r w:rsidR="0091684A" w:rsidRPr="00CE1AEF">
        <w:rPr>
          <w:i/>
          <w:lang w:eastAsia="en-US"/>
        </w:rPr>
        <w:t>O</w:t>
      </w:r>
      <w:r w:rsidR="0091684A" w:rsidRPr="00CE1AEF">
        <w:rPr>
          <w:lang w:eastAsia="en-US"/>
        </w:rPr>
        <w:t>-monoglucoside, peonidin-3-acetylmonoglucosides, malvidin-3-acetylmonoglucosides, cyanidin-3-(6-</w:t>
      </w:r>
      <w:r w:rsidR="0091684A" w:rsidRPr="00CE1AEF">
        <w:rPr>
          <w:i/>
          <w:lang w:eastAsia="en-US"/>
        </w:rPr>
        <w:t>O</w:t>
      </w:r>
      <w:r w:rsidR="0091684A" w:rsidRPr="00CE1AEF">
        <w:rPr>
          <w:lang w:eastAsia="en-US"/>
        </w:rPr>
        <w:t>-p-coumaroyl)monoglucosides, peonidin -3-(6-</w:t>
      </w:r>
      <w:r w:rsidR="0091684A" w:rsidRPr="00CE1AEF">
        <w:rPr>
          <w:i/>
          <w:lang w:eastAsia="en-US"/>
        </w:rPr>
        <w:t>O</w:t>
      </w:r>
      <w:r w:rsidR="0091684A" w:rsidRPr="00CE1AEF">
        <w:rPr>
          <w:lang w:eastAsia="en-US"/>
        </w:rPr>
        <w:t>-p-coumaroyl)monoglucosides and malvidin-3-(6-</w:t>
      </w:r>
      <w:r w:rsidR="0091684A" w:rsidRPr="00CE1AEF">
        <w:rPr>
          <w:i/>
          <w:lang w:eastAsia="en-US"/>
        </w:rPr>
        <w:t>O</w:t>
      </w:r>
      <w:r w:rsidR="0091684A" w:rsidRPr="00CE1AEF">
        <w:rPr>
          <w:lang w:eastAsia="en-US"/>
        </w:rPr>
        <w:t>-p-coumaroyl)monoglucosides)</w:t>
      </w:r>
      <w:r w:rsidR="0091684A">
        <w:t xml:space="preserve"> </w:t>
      </w:r>
      <w:r w:rsidR="008B380F">
        <w:rPr>
          <w:lang w:eastAsia="en-US"/>
        </w:rPr>
        <w:t>were detected</w:t>
      </w:r>
      <w:r w:rsidR="0061228A">
        <w:rPr>
          <w:lang w:eastAsia="en-US"/>
        </w:rPr>
        <w:t xml:space="preserve"> and </w:t>
      </w:r>
      <w:r w:rsidR="008B380F">
        <w:rPr>
          <w:lang w:eastAsia="en-US"/>
        </w:rPr>
        <w:t xml:space="preserve">identified </w:t>
      </w:r>
      <w:r w:rsidR="0061228A" w:rsidRPr="00CE1AEF">
        <w:rPr>
          <w:lang w:eastAsia="en-US"/>
        </w:rPr>
        <w:t>compari</w:t>
      </w:r>
      <w:r w:rsidR="0061228A">
        <w:rPr>
          <w:lang w:eastAsia="en-US"/>
        </w:rPr>
        <w:t xml:space="preserve">ng </w:t>
      </w:r>
      <w:r w:rsidR="0061228A" w:rsidRPr="00CE1AEF">
        <w:rPr>
          <w:lang w:eastAsia="en-US"/>
        </w:rPr>
        <w:t xml:space="preserve">their retention times and spectral data </w:t>
      </w:r>
      <w:r w:rsidR="0061228A">
        <w:rPr>
          <w:lang w:eastAsia="en-US"/>
        </w:rPr>
        <w:t xml:space="preserve">with </w:t>
      </w:r>
      <w:r w:rsidR="0061228A" w:rsidRPr="00CE1AEF">
        <w:rPr>
          <w:lang w:eastAsia="en-US"/>
        </w:rPr>
        <w:t>authentic</w:t>
      </w:r>
      <w:r w:rsidR="0061228A">
        <w:rPr>
          <w:lang w:eastAsia="en-US"/>
        </w:rPr>
        <w:t xml:space="preserve"> </w:t>
      </w:r>
      <w:r w:rsidR="0061228A" w:rsidRPr="00B12CB9">
        <w:rPr>
          <w:lang w:eastAsia="en-US"/>
        </w:rPr>
        <w:t>external</w:t>
      </w:r>
      <w:r w:rsidR="0061228A" w:rsidRPr="00CE1AEF">
        <w:rPr>
          <w:lang w:eastAsia="en-US"/>
        </w:rPr>
        <w:t xml:space="preserve"> standards</w:t>
      </w:r>
      <w:r w:rsidR="00983315">
        <w:rPr>
          <w:lang w:eastAsia="en-US"/>
        </w:rPr>
        <w:t>,</w:t>
      </w:r>
      <w:r w:rsidR="00983315">
        <w:t xml:space="preserve"> and</w:t>
      </w:r>
      <w:r w:rsidR="008300E4">
        <w:t xml:space="preserve"> </w:t>
      </w:r>
      <w:r w:rsidR="001A5CEA">
        <w:rPr>
          <w:lang w:eastAsia="en-US"/>
        </w:rPr>
        <w:t xml:space="preserve">were </w:t>
      </w:r>
      <w:r w:rsidR="001A5CEA" w:rsidRPr="00CE1AEF">
        <w:rPr>
          <w:lang w:eastAsia="en-US"/>
        </w:rPr>
        <w:t>quantifi</w:t>
      </w:r>
      <w:r w:rsidR="001A5CEA">
        <w:rPr>
          <w:lang w:eastAsia="en-US"/>
        </w:rPr>
        <w:t>ed</w:t>
      </w:r>
      <w:r w:rsidR="00824E31" w:rsidRPr="00CE1AEF">
        <w:rPr>
          <w:lang w:eastAsia="en-US"/>
        </w:rPr>
        <w:t xml:space="preserve"> </w:t>
      </w:r>
      <w:r w:rsidR="00B40D43">
        <w:t xml:space="preserve">with external standard calibration curve </w:t>
      </w:r>
      <w:r w:rsidR="00B40D43" w:rsidRPr="00CE1AEF">
        <w:rPr>
          <w:lang w:eastAsia="en-US"/>
        </w:rPr>
        <w:t>(3-300 mg L</w:t>
      </w:r>
      <w:r w:rsidR="00B40D43" w:rsidRPr="00CE1AEF">
        <w:rPr>
          <w:vertAlign w:val="superscript"/>
          <w:lang w:eastAsia="en-US"/>
        </w:rPr>
        <w:t>-1</w:t>
      </w:r>
      <w:r w:rsidR="00B40D43" w:rsidRPr="00CE1AEF">
        <w:rPr>
          <w:lang w:eastAsia="en-US"/>
        </w:rPr>
        <w:t>)</w:t>
      </w:r>
      <w:r w:rsidR="00B40D43">
        <w:rPr>
          <w:lang w:eastAsia="en-US"/>
        </w:rPr>
        <w:t xml:space="preserve"> </w:t>
      </w:r>
      <w:r w:rsidR="00B40D43">
        <w:t>of</w:t>
      </w:r>
      <w:r w:rsidR="004217DC">
        <w:t xml:space="preserve"> malvidin-3-</w:t>
      </w:r>
      <w:r w:rsidR="004217DC" w:rsidRPr="008300E4">
        <w:rPr>
          <w:i/>
        </w:rPr>
        <w:t>O</w:t>
      </w:r>
      <w:r w:rsidR="004217DC">
        <w:t>-</w:t>
      </w:r>
      <w:r w:rsidR="001A5CEA">
        <w:t>mono</w:t>
      </w:r>
      <w:r w:rsidR="004217DC">
        <w:t>glucoside</w:t>
      </w:r>
      <w:r w:rsidR="00AE6E15" w:rsidRPr="00AE6E15">
        <w:rPr>
          <w:lang w:eastAsia="en-US"/>
        </w:rPr>
        <w:t>, at the wavelength of maximum absorbance (520 nm)</w:t>
      </w:r>
      <w:r w:rsidR="008300E4">
        <w:rPr>
          <w:lang w:eastAsia="en-US"/>
        </w:rPr>
        <w:t>.</w:t>
      </w:r>
    </w:p>
    <w:p w14:paraId="10EB5060" w14:textId="77777777" w:rsidR="00824E31" w:rsidRPr="00CE1AEF" w:rsidRDefault="008B380F" w:rsidP="008300E4">
      <w:pPr>
        <w:spacing w:line="480" w:lineRule="auto"/>
        <w:rPr>
          <w:lang w:eastAsia="en-US"/>
        </w:rPr>
      </w:pPr>
      <w:r w:rsidRPr="00CE1AEF">
        <w:rPr>
          <w:lang w:eastAsia="en-US"/>
        </w:rPr>
        <w:t>HPLC analys</w:t>
      </w:r>
      <w:r>
        <w:rPr>
          <w:lang w:eastAsia="en-US"/>
        </w:rPr>
        <w:t>e</w:t>
      </w:r>
      <w:r w:rsidRPr="00CE1AEF">
        <w:rPr>
          <w:lang w:eastAsia="en-US"/>
        </w:rPr>
        <w:t>s were conducted in triplicate.</w:t>
      </w:r>
      <w:r w:rsidR="008300E4">
        <w:rPr>
          <w:lang w:eastAsia="en-US"/>
        </w:rPr>
        <w:t xml:space="preserve"> </w:t>
      </w:r>
      <w:r w:rsidR="00824E31" w:rsidRPr="00CE1AEF">
        <w:rPr>
          <w:lang w:eastAsia="en-US"/>
        </w:rPr>
        <w:t xml:space="preserve">Content of anthocyanins </w:t>
      </w:r>
      <w:r>
        <w:rPr>
          <w:lang w:eastAsia="en-US"/>
        </w:rPr>
        <w:t xml:space="preserve">and polyphenols </w:t>
      </w:r>
      <w:r w:rsidR="00824E31" w:rsidRPr="00CE1AEF">
        <w:rPr>
          <w:lang w:eastAsia="en-US"/>
        </w:rPr>
        <w:t>were expressed as mg of compound per kg of dry weight (DW).</w:t>
      </w:r>
    </w:p>
    <w:p w14:paraId="2E773FC1" w14:textId="77777777" w:rsidR="00824E31" w:rsidRPr="00CE1AEF" w:rsidRDefault="00824E31" w:rsidP="00281428">
      <w:pPr>
        <w:spacing w:line="480" w:lineRule="auto"/>
        <w:rPr>
          <w:lang w:eastAsia="en-US"/>
        </w:rPr>
      </w:pPr>
    </w:p>
    <w:p w14:paraId="2FD59087" w14:textId="77777777" w:rsidR="00824E31" w:rsidRPr="00CE1AEF" w:rsidRDefault="00824E31" w:rsidP="0096290C">
      <w:pPr>
        <w:numPr>
          <w:ilvl w:val="1"/>
          <w:numId w:val="4"/>
        </w:numPr>
        <w:spacing w:line="480" w:lineRule="auto"/>
        <w:rPr>
          <w:i/>
        </w:rPr>
      </w:pPr>
      <w:r w:rsidRPr="00CE1AEF">
        <w:rPr>
          <w:i/>
        </w:rPr>
        <w:t xml:space="preserve">Oxygen Radical Absorbance Capacity Assay (ORAC) </w:t>
      </w:r>
    </w:p>
    <w:p w14:paraId="2F165479" w14:textId="77777777" w:rsidR="00824E31" w:rsidRPr="00CE1AEF" w:rsidRDefault="00824E31" w:rsidP="0091684A">
      <w:pPr>
        <w:spacing w:line="480" w:lineRule="auto"/>
        <w:jc w:val="both"/>
        <w:rPr>
          <w:lang w:eastAsia="en-US"/>
        </w:rPr>
      </w:pPr>
      <w:r w:rsidRPr="00CE1AEF">
        <w:t xml:space="preserve">ORAC was determined according to the </w:t>
      </w:r>
      <w:r w:rsidRPr="00CE1AEF">
        <w:rPr>
          <w:iCs/>
        </w:rPr>
        <w:t xml:space="preserve">Ninfali et. al, </w:t>
      </w:r>
      <w:r w:rsidRPr="00CE1AEF">
        <w:t>2005</w:t>
      </w:r>
      <w:r w:rsidR="001A5CEA">
        <w:t xml:space="preserve"> and</w:t>
      </w:r>
      <w:r w:rsidR="001A5CEA" w:rsidRPr="00CE1AEF">
        <w:t xml:space="preserve"> results were expressed as </w:t>
      </w:r>
      <w:r w:rsidR="001A5CEA">
        <w:t>relative ORAC values</w:t>
      </w:r>
      <w:r w:rsidR="001A5CEA" w:rsidRPr="00CE1AEF">
        <w:t xml:space="preserve"> (µmolTE g</w:t>
      </w:r>
      <w:r w:rsidR="001A5CEA" w:rsidRPr="00CE1AEF">
        <w:rPr>
          <w:vertAlign w:val="superscript"/>
        </w:rPr>
        <w:t>-1</w:t>
      </w:r>
      <w:r w:rsidR="001A5CEA" w:rsidRPr="00CE1AEF">
        <w:t xml:space="preserve"> dw)</w:t>
      </w:r>
      <w:r w:rsidRPr="00CE1AEF">
        <w:t xml:space="preserve">. </w:t>
      </w:r>
      <w:r w:rsidR="00C30713" w:rsidRPr="00AC1DD6">
        <w:rPr>
          <w:kern w:val="24"/>
        </w:rPr>
        <w:t xml:space="preserve">The assay was </w:t>
      </w:r>
      <w:r w:rsidR="00C30713">
        <w:rPr>
          <w:kern w:val="24"/>
        </w:rPr>
        <w:t xml:space="preserve">conducted in a </w:t>
      </w:r>
      <w:r w:rsidR="00C30713" w:rsidRPr="00C160EB">
        <w:rPr>
          <w:kern w:val="24"/>
        </w:rPr>
        <w:t>quartz stones</w:t>
      </w:r>
      <w:r w:rsidR="00C30713">
        <w:rPr>
          <w:kern w:val="24"/>
        </w:rPr>
        <w:t xml:space="preserve"> with 3 mL of reaction mixture with </w:t>
      </w:r>
      <w:r w:rsidR="00C30713" w:rsidRPr="00AC1DD6">
        <w:rPr>
          <w:kern w:val="24"/>
        </w:rPr>
        <w:t>2.25 mL of fluorescein sodium salt</w:t>
      </w:r>
      <w:r w:rsidR="00C30713">
        <w:rPr>
          <w:kern w:val="24"/>
        </w:rPr>
        <w:t xml:space="preserve"> (</w:t>
      </w:r>
      <w:r w:rsidR="00C30713" w:rsidRPr="00AC1DD6">
        <w:rPr>
          <w:kern w:val="24"/>
        </w:rPr>
        <w:t xml:space="preserve">0.04 </w:t>
      </w:r>
      <w:r w:rsidR="00C30713">
        <w:rPr>
          <w:kern w:val="24"/>
        </w:rPr>
        <w:t>μmol L</w:t>
      </w:r>
      <w:r w:rsidR="00C30713" w:rsidRPr="00604D95">
        <w:rPr>
          <w:kern w:val="24"/>
          <w:vertAlign w:val="superscript"/>
        </w:rPr>
        <w:t>-1</w:t>
      </w:r>
      <w:r w:rsidR="00C30713">
        <w:rPr>
          <w:kern w:val="24"/>
        </w:rPr>
        <w:t xml:space="preserve">) in </w:t>
      </w:r>
      <w:r w:rsidR="00C30713" w:rsidRPr="00AC1DD6">
        <w:rPr>
          <w:kern w:val="24"/>
        </w:rPr>
        <w:t>sodium phosphate buffer (0.075 M</w:t>
      </w:r>
      <w:r w:rsidR="00C30713">
        <w:rPr>
          <w:kern w:val="24"/>
        </w:rPr>
        <w:t>,</w:t>
      </w:r>
      <w:r w:rsidR="00C30713" w:rsidRPr="00AC1DD6">
        <w:rPr>
          <w:kern w:val="24"/>
        </w:rPr>
        <w:t xml:space="preserve"> pH 7.0), and 0.375 mL diluted NADES</w:t>
      </w:r>
      <w:r w:rsidR="00C30713">
        <w:rPr>
          <w:kern w:val="24"/>
        </w:rPr>
        <w:t>,</w:t>
      </w:r>
      <w:r w:rsidR="0091684A">
        <w:rPr>
          <w:kern w:val="24"/>
        </w:rPr>
        <w:t xml:space="preserve"> </w:t>
      </w:r>
      <w:r w:rsidR="00C30713" w:rsidRPr="00AC1DD6">
        <w:rPr>
          <w:kern w:val="24"/>
        </w:rPr>
        <w:t>Trolox</w:t>
      </w:r>
      <w:r w:rsidR="00C30713">
        <w:rPr>
          <w:kern w:val="24"/>
        </w:rPr>
        <w:t xml:space="preserve"> (25 μmol L</w:t>
      </w:r>
      <w:r w:rsidR="00C30713" w:rsidRPr="00604D95">
        <w:rPr>
          <w:kern w:val="24"/>
          <w:vertAlign w:val="superscript"/>
        </w:rPr>
        <w:t>-1</w:t>
      </w:r>
      <w:r w:rsidR="00C30713">
        <w:rPr>
          <w:kern w:val="24"/>
        </w:rPr>
        <w:t>)</w:t>
      </w:r>
      <w:r w:rsidR="00C30713" w:rsidRPr="00AC1DD6">
        <w:rPr>
          <w:kern w:val="24"/>
        </w:rPr>
        <w:t xml:space="preserve"> as standard</w:t>
      </w:r>
      <w:r w:rsidR="00C30713">
        <w:rPr>
          <w:kern w:val="24"/>
        </w:rPr>
        <w:t xml:space="preserve"> or 0.075 M sodium phosphate buffer (pH 7) as blank control</w:t>
      </w:r>
      <w:r w:rsidR="00C30713" w:rsidRPr="00AC1DD6">
        <w:rPr>
          <w:kern w:val="24"/>
        </w:rPr>
        <w:t xml:space="preserve">. </w:t>
      </w:r>
      <w:r w:rsidRPr="00CE1AEF">
        <w:t>The reaction mixtures were incubated for 30 min at 37°C</w:t>
      </w:r>
      <w:r w:rsidR="00C30713">
        <w:t>, and a</w:t>
      </w:r>
      <w:r w:rsidR="00C30713">
        <w:rPr>
          <w:kern w:val="24"/>
        </w:rPr>
        <w:t xml:space="preserve">fter incubation </w:t>
      </w:r>
      <w:r w:rsidR="00C30713" w:rsidRPr="00AC1DD6">
        <w:rPr>
          <w:kern w:val="24"/>
        </w:rPr>
        <w:t>for 30 min at 37°C</w:t>
      </w:r>
      <w:r w:rsidR="00C30713">
        <w:rPr>
          <w:kern w:val="24"/>
        </w:rPr>
        <w:t>,</w:t>
      </w:r>
      <w:r w:rsidR="00C30713" w:rsidRPr="00AC1DD6">
        <w:rPr>
          <w:kern w:val="24"/>
        </w:rPr>
        <w:t xml:space="preserve"> 0.375 mL </w:t>
      </w:r>
      <w:r w:rsidR="00C30713">
        <w:rPr>
          <w:kern w:val="24"/>
        </w:rPr>
        <w:t xml:space="preserve">of </w:t>
      </w:r>
      <w:r w:rsidR="0091684A" w:rsidRPr="00AC1DD6">
        <w:rPr>
          <w:kern w:val="24"/>
        </w:rPr>
        <w:t>AAPH</w:t>
      </w:r>
      <w:r w:rsidR="0091684A">
        <w:rPr>
          <w:kern w:val="24"/>
        </w:rPr>
        <w:t xml:space="preserve"> </w:t>
      </w:r>
      <w:r w:rsidR="0091684A">
        <w:rPr>
          <w:kern w:val="24"/>
        </w:rPr>
        <w:lastRenderedPageBreak/>
        <w:t>was</w:t>
      </w:r>
      <w:r w:rsidR="00C30713">
        <w:rPr>
          <w:kern w:val="24"/>
        </w:rPr>
        <w:t xml:space="preserve"> added. </w:t>
      </w:r>
      <w:r w:rsidR="00C30713" w:rsidRPr="00AC1DD6">
        <w:rPr>
          <w:kern w:val="24"/>
        </w:rPr>
        <w:t xml:space="preserve">Fluorescence was </w:t>
      </w:r>
      <w:r w:rsidR="00C30713">
        <w:rPr>
          <w:kern w:val="24"/>
        </w:rPr>
        <w:t xml:space="preserve">recorded </w:t>
      </w:r>
      <w:r w:rsidR="00C30713" w:rsidRPr="00AC1DD6">
        <w:rPr>
          <w:kern w:val="24"/>
        </w:rPr>
        <w:t>every minute up to value zero by a Varian Cary Eclipse Spectrofluorimeter (Palo Alto, CA, USA)</w:t>
      </w:r>
      <w:r w:rsidR="00C30713">
        <w:rPr>
          <w:kern w:val="24"/>
        </w:rPr>
        <w:t xml:space="preserve"> with</w:t>
      </w:r>
      <w:r w:rsidR="00C30713" w:rsidRPr="00AC1DD6">
        <w:rPr>
          <w:kern w:val="24"/>
        </w:rPr>
        <w:t xml:space="preserve"> 485 nm excitation</w:t>
      </w:r>
      <w:r w:rsidR="00C30713">
        <w:rPr>
          <w:kern w:val="24"/>
        </w:rPr>
        <w:t xml:space="preserve"> and</w:t>
      </w:r>
      <w:r w:rsidR="00C30713" w:rsidRPr="00AC1DD6">
        <w:rPr>
          <w:kern w:val="24"/>
        </w:rPr>
        <w:t xml:space="preserve"> 520 nm emission.</w:t>
      </w:r>
    </w:p>
    <w:bookmarkEnd w:id="1"/>
    <w:p w14:paraId="06B38019" w14:textId="77777777" w:rsidR="00824E31" w:rsidRPr="00CE1AEF" w:rsidRDefault="00824E31" w:rsidP="00281428">
      <w:pPr>
        <w:spacing w:line="480" w:lineRule="auto"/>
        <w:rPr>
          <w:lang w:eastAsia="hr-HR"/>
        </w:rPr>
      </w:pPr>
    </w:p>
    <w:p w14:paraId="2F460644" w14:textId="77777777" w:rsidR="00824E31" w:rsidRPr="00CE1AEF" w:rsidRDefault="00824E31" w:rsidP="0096290C">
      <w:pPr>
        <w:numPr>
          <w:ilvl w:val="1"/>
          <w:numId w:val="4"/>
        </w:numPr>
        <w:autoSpaceDE w:val="0"/>
        <w:autoSpaceDN w:val="0"/>
        <w:adjustRightInd w:val="0"/>
        <w:spacing w:line="480" w:lineRule="auto"/>
        <w:rPr>
          <w:i/>
          <w:lang w:eastAsia="hr-HR"/>
        </w:rPr>
      </w:pPr>
      <w:r w:rsidRPr="00CE1AEF">
        <w:rPr>
          <w:i/>
          <w:lang w:eastAsia="hr-HR"/>
        </w:rPr>
        <w:t>Determination of antiproliferative activity by cytotoxicity assay</w:t>
      </w:r>
    </w:p>
    <w:p w14:paraId="2C6B279C" w14:textId="77777777" w:rsidR="00824E31" w:rsidRDefault="00824E31" w:rsidP="0091684A">
      <w:pPr>
        <w:autoSpaceDE w:val="0"/>
        <w:autoSpaceDN w:val="0"/>
        <w:adjustRightInd w:val="0"/>
        <w:spacing w:line="480" w:lineRule="auto"/>
        <w:jc w:val="both"/>
        <w:rPr>
          <w:lang w:eastAsia="hr-HR"/>
        </w:rPr>
      </w:pPr>
      <w:r>
        <w:rPr>
          <w:lang w:eastAsia="hr-HR"/>
        </w:rPr>
        <w:t xml:space="preserve">Antiproliferative activity of the grape and olive pomace extracts prepared in NADES and ethanol were evaluated </w:t>
      </w:r>
      <w:r w:rsidRPr="000C3BFB">
        <w:rPr>
          <w:i/>
          <w:lang w:eastAsia="hr-HR"/>
        </w:rPr>
        <w:t>in vitro</w:t>
      </w:r>
      <w:r>
        <w:rPr>
          <w:lang w:eastAsia="hr-HR"/>
        </w:rPr>
        <w:t xml:space="preserve"> against two adherent human tumour cell lines by the CellTiter 96</w:t>
      </w:r>
      <w:r w:rsidRPr="000C3BFB">
        <w:rPr>
          <w:vertAlign w:val="superscript"/>
          <w:lang w:eastAsia="hr-HR"/>
        </w:rPr>
        <w:t>®</w:t>
      </w:r>
      <w:r>
        <w:rPr>
          <w:lang w:eastAsia="hr-HR"/>
        </w:rPr>
        <w:t xml:space="preserve"> AQ</w:t>
      </w:r>
      <w:r w:rsidRPr="000C3BFB">
        <w:rPr>
          <w:vertAlign w:val="subscript"/>
          <w:lang w:eastAsia="hr-HR"/>
        </w:rPr>
        <w:t>ueous</w:t>
      </w:r>
      <w:r>
        <w:rPr>
          <w:lang w:eastAsia="hr-HR"/>
        </w:rPr>
        <w:t xml:space="preserve"> One Solution Cell Proliferation (MTS) assay. HeLa and MCF-7 cells were cultured in DMEM supplemented with 5% FBS and maintained in BioLite petri dishes in the incubator with humidified atmosphere and 5% CO</w:t>
      </w:r>
      <w:r w:rsidRPr="000C3BFB">
        <w:rPr>
          <w:vertAlign w:val="subscript"/>
          <w:lang w:eastAsia="hr-HR"/>
        </w:rPr>
        <w:t>2</w:t>
      </w:r>
      <w:r>
        <w:rPr>
          <w:lang w:eastAsia="hr-HR"/>
        </w:rPr>
        <w:t xml:space="preserve"> at 37 °C. Individual experiments to test cytotoxicity of the prepared extracts were performed in BioLite 96-wells plates seeded with exponentially growing cells at the concentration (~3x10</w:t>
      </w:r>
      <w:r w:rsidRPr="000C3BFB">
        <w:rPr>
          <w:vertAlign w:val="superscript"/>
          <w:lang w:eastAsia="hr-HR"/>
        </w:rPr>
        <w:t>4</w:t>
      </w:r>
      <w:r>
        <w:rPr>
          <w:lang w:eastAsia="hr-HR"/>
        </w:rPr>
        <w:t xml:space="preserve"> cells per well in 100 µL of media) and incubated for 24 h, after which the treatment was done. Grape and olive pomace extracts (GPCCit, OPCCit, GPEtOH and OPEtOH), extraction solvents (ChCit, EtOH) and NADES-forming compounds (Ch, Cit) were diluted in the culture medium when applied to the cells so the final volume ratio was 1%, 5% and 10% (v/v), while control cells were non-treated cells. Upon 72 hours of treatment, the CellTiter 96</w:t>
      </w:r>
      <w:r w:rsidRPr="000C3BFB">
        <w:rPr>
          <w:vertAlign w:val="superscript"/>
          <w:lang w:eastAsia="hr-HR"/>
        </w:rPr>
        <w:t>®</w:t>
      </w:r>
      <w:r>
        <w:rPr>
          <w:lang w:eastAsia="hr-HR"/>
        </w:rPr>
        <w:t xml:space="preserve"> AQ</w:t>
      </w:r>
      <w:r w:rsidRPr="000C3BFB">
        <w:rPr>
          <w:vertAlign w:val="subscript"/>
          <w:lang w:eastAsia="hr-HR"/>
        </w:rPr>
        <w:t>ueous</w:t>
      </w:r>
      <w:r>
        <w:rPr>
          <w:lang w:eastAsia="hr-HR"/>
        </w:rPr>
        <w:t xml:space="preserve"> One Solution Cell Proliferation assay was preformed according to the manufacturer's instructions with minor modification. Briefly, 10 µL of the CellTiter 96</w:t>
      </w:r>
      <w:r w:rsidRPr="00DC5045">
        <w:rPr>
          <w:vertAlign w:val="superscript"/>
          <w:lang w:eastAsia="hr-HR"/>
        </w:rPr>
        <w:t>®</w:t>
      </w:r>
      <w:r>
        <w:rPr>
          <w:lang w:eastAsia="hr-HR"/>
        </w:rPr>
        <w:t xml:space="preserve"> AQ</w:t>
      </w:r>
      <w:r w:rsidRPr="00DC5045">
        <w:rPr>
          <w:vertAlign w:val="subscript"/>
          <w:lang w:eastAsia="hr-HR"/>
        </w:rPr>
        <w:t>ueous</w:t>
      </w:r>
      <w:r>
        <w:rPr>
          <w:lang w:eastAsia="hr-HR"/>
        </w:rPr>
        <w:t xml:space="preserve"> One Solution Cell Proliferation reagent was added to each well, and cells were incubated for further 3h, after which absorbance at 490 nm was measured on the microplate reader. Cell viability was expressed as percentage of treated versus control cells. The experiments were performed three times with five parallels for each volume ratio and data were expressed as the means ± S.D. </w:t>
      </w:r>
    </w:p>
    <w:p w14:paraId="25DB5B66" w14:textId="77777777" w:rsidR="00824E31" w:rsidRDefault="00824E31" w:rsidP="00281428">
      <w:pPr>
        <w:autoSpaceDE w:val="0"/>
        <w:autoSpaceDN w:val="0"/>
        <w:adjustRightInd w:val="0"/>
        <w:spacing w:line="480" w:lineRule="auto"/>
        <w:rPr>
          <w:lang w:eastAsia="hr-HR"/>
        </w:rPr>
      </w:pPr>
    </w:p>
    <w:p w14:paraId="6B4E15B8" w14:textId="77777777" w:rsidR="00824E31" w:rsidRPr="00B9162A" w:rsidRDefault="00824E31" w:rsidP="0096290C">
      <w:pPr>
        <w:widowControl w:val="0"/>
        <w:numPr>
          <w:ilvl w:val="1"/>
          <w:numId w:val="4"/>
        </w:numPr>
        <w:spacing w:line="480" w:lineRule="auto"/>
        <w:rPr>
          <w:color w:val="000000"/>
          <w:lang w:eastAsia="hr-HR"/>
        </w:rPr>
      </w:pPr>
      <w:r w:rsidRPr="00B9162A">
        <w:rPr>
          <w:i/>
          <w:color w:val="000000"/>
          <w:lang w:eastAsia="hr-HR"/>
        </w:rPr>
        <w:t xml:space="preserve">Evaluation of cell death </w:t>
      </w:r>
      <w:r>
        <w:rPr>
          <w:i/>
          <w:color w:val="000000"/>
          <w:lang w:eastAsia="hr-HR"/>
        </w:rPr>
        <w:t xml:space="preserve">and cell cycle arrest </w:t>
      </w:r>
      <w:r w:rsidRPr="00B9162A">
        <w:rPr>
          <w:i/>
          <w:color w:val="000000"/>
          <w:lang w:eastAsia="hr-HR"/>
        </w:rPr>
        <w:t>by flowcytometric analysis</w:t>
      </w:r>
    </w:p>
    <w:p w14:paraId="2DA4207E" w14:textId="77777777" w:rsidR="00824E31" w:rsidRDefault="00824E31" w:rsidP="0028644F">
      <w:pPr>
        <w:widowControl w:val="0"/>
        <w:spacing w:line="480" w:lineRule="auto"/>
        <w:jc w:val="both"/>
        <w:rPr>
          <w:color w:val="000000"/>
          <w:lang w:eastAsia="hr-HR"/>
        </w:rPr>
      </w:pPr>
      <w:r w:rsidRPr="002C0D7A">
        <w:rPr>
          <w:color w:val="000000"/>
          <w:lang w:eastAsia="hr-HR"/>
        </w:rPr>
        <w:t>Quantitative analysis of live, apoptotic and death cells treated with extracts</w:t>
      </w:r>
      <w:r>
        <w:rPr>
          <w:color w:val="000000"/>
          <w:lang w:eastAsia="hr-HR"/>
        </w:rPr>
        <w:t xml:space="preserve"> obtained in NADES </w:t>
      </w:r>
      <w:r>
        <w:rPr>
          <w:color w:val="000000"/>
          <w:lang w:eastAsia="hr-HR"/>
        </w:rPr>
        <w:lastRenderedPageBreak/>
        <w:t>and ethanol</w:t>
      </w:r>
      <w:r w:rsidRPr="002C0D7A">
        <w:rPr>
          <w:color w:val="000000"/>
          <w:lang w:eastAsia="hr-HR"/>
        </w:rPr>
        <w:t xml:space="preserve"> was done by Muse</w:t>
      </w:r>
      <w:r w:rsidRPr="000C3BFB">
        <w:rPr>
          <w:color w:val="000000"/>
          <w:vertAlign w:val="superscript"/>
          <w:lang w:eastAsia="hr-HR"/>
        </w:rPr>
        <w:t>®</w:t>
      </w:r>
      <w:r w:rsidRPr="002C0D7A">
        <w:rPr>
          <w:color w:val="000000"/>
          <w:lang w:eastAsia="hr-HR"/>
        </w:rPr>
        <w:t xml:space="preserve"> Cell Analyser using Muse</w:t>
      </w:r>
      <w:r w:rsidRPr="000C3BFB">
        <w:rPr>
          <w:color w:val="000000"/>
          <w:vertAlign w:val="superscript"/>
          <w:lang w:eastAsia="hr-HR"/>
        </w:rPr>
        <w:t>TM</w:t>
      </w:r>
      <w:r w:rsidRPr="002C0D7A">
        <w:rPr>
          <w:color w:val="000000"/>
          <w:lang w:eastAsia="hr-HR"/>
        </w:rPr>
        <w:t xml:space="preserve"> Annexin V &amp; Dead Cell Kit according to the manufacturer’s specifications. Briefly, HeLa cells were seeded into a 6-well culture plates at a density of 5 x 10</w:t>
      </w:r>
      <w:r w:rsidRPr="000C3BFB">
        <w:rPr>
          <w:color w:val="000000"/>
          <w:vertAlign w:val="superscript"/>
          <w:lang w:eastAsia="hr-HR"/>
        </w:rPr>
        <w:t>4</w:t>
      </w:r>
      <w:r>
        <w:rPr>
          <w:color w:val="000000"/>
          <w:lang w:eastAsia="hr-HR"/>
        </w:rPr>
        <w:t xml:space="preserve"> cells mL</w:t>
      </w:r>
      <w:r w:rsidRPr="000C3BFB">
        <w:rPr>
          <w:color w:val="000000"/>
          <w:vertAlign w:val="superscript"/>
          <w:lang w:eastAsia="hr-HR"/>
        </w:rPr>
        <w:t>-1</w:t>
      </w:r>
      <w:r>
        <w:rPr>
          <w:color w:val="000000"/>
          <w:lang w:eastAsia="hr-HR"/>
        </w:rPr>
        <w:t xml:space="preserve"> (2 mL</w:t>
      </w:r>
      <w:r w:rsidRPr="002C0D7A">
        <w:rPr>
          <w:color w:val="000000"/>
          <w:lang w:eastAsia="hr-HR"/>
        </w:rPr>
        <w:t xml:space="preserve"> per well) and </w:t>
      </w:r>
      <w:r w:rsidRPr="00545F99">
        <w:rPr>
          <w:color w:val="000000"/>
          <w:lang w:eastAsia="hr-HR"/>
        </w:rPr>
        <w:t xml:space="preserve">after overnight growth </w:t>
      </w:r>
      <w:r>
        <w:rPr>
          <w:color w:val="000000"/>
          <w:lang w:eastAsia="hr-HR"/>
        </w:rPr>
        <w:t xml:space="preserve">cells were </w:t>
      </w:r>
      <w:r w:rsidRPr="002C0D7A">
        <w:rPr>
          <w:color w:val="000000"/>
          <w:lang w:eastAsia="hr-HR"/>
        </w:rPr>
        <w:t xml:space="preserve">treated with </w:t>
      </w:r>
      <w:r>
        <w:rPr>
          <w:color w:val="000000"/>
          <w:lang w:eastAsia="hr-HR"/>
        </w:rPr>
        <w:t>5% (v/v) of extracts</w:t>
      </w:r>
      <w:r w:rsidRPr="002C0D7A">
        <w:rPr>
          <w:color w:val="000000"/>
          <w:lang w:eastAsia="hr-HR"/>
        </w:rPr>
        <w:t xml:space="preserve"> for 72 h. After treatment, both floating and adherent cells were collected, centrifuged (600 g min</w:t>
      </w:r>
      <w:r w:rsidRPr="000C3BFB">
        <w:rPr>
          <w:color w:val="000000"/>
          <w:vertAlign w:val="superscript"/>
          <w:lang w:eastAsia="hr-HR"/>
        </w:rPr>
        <w:t>-1</w:t>
      </w:r>
      <w:r w:rsidRPr="002C0D7A">
        <w:rPr>
          <w:color w:val="000000"/>
          <w:lang w:eastAsia="hr-HR"/>
        </w:rPr>
        <w:t>) and suspended in cell culture medium to adjust the cell concentration according to the manufac</w:t>
      </w:r>
      <w:r>
        <w:rPr>
          <w:color w:val="000000"/>
          <w:lang w:eastAsia="hr-HR"/>
        </w:rPr>
        <w:t>turer’s protocol. Then, a 100 µL</w:t>
      </w:r>
      <w:r w:rsidRPr="002C0D7A">
        <w:rPr>
          <w:color w:val="000000"/>
          <w:lang w:eastAsia="hr-HR"/>
        </w:rPr>
        <w:t xml:space="preserve"> aliquots of cell suspens</w:t>
      </w:r>
      <w:r>
        <w:rPr>
          <w:color w:val="000000"/>
          <w:lang w:eastAsia="hr-HR"/>
        </w:rPr>
        <w:t>ion were added to 100 µL</w:t>
      </w:r>
      <w:r w:rsidRPr="002C0D7A">
        <w:rPr>
          <w:color w:val="000000"/>
          <w:lang w:eastAsia="hr-HR"/>
        </w:rPr>
        <w:t xml:space="preserve"> of Muse</w:t>
      </w:r>
      <w:r w:rsidRPr="000C3BFB">
        <w:rPr>
          <w:color w:val="000000"/>
          <w:vertAlign w:val="superscript"/>
          <w:lang w:eastAsia="hr-HR"/>
        </w:rPr>
        <w:t>TM</w:t>
      </w:r>
      <w:r w:rsidRPr="002C0D7A">
        <w:rPr>
          <w:color w:val="000000"/>
          <w:lang w:eastAsia="hr-HR"/>
        </w:rPr>
        <w:t xml:space="preserve"> Annexin V &amp; Dead Cell Reagent and incubated in the dark for 20 minutes at room temperature. The cells were then analysed using the Muse</w:t>
      </w:r>
      <w:r w:rsidRPr="000C3BFB">
        <w:rPr>
          <w:color w:val="000000"/>
          <w:vertAlign w:val="superscript"/>
          <w:lang w:eastAsia="hr-HR"/>
        </w:rPr>
        <w:t xml:space="preserve">® </w:t>
      </w:r>
      <w:r w:rsidRPr="002C0D7A">
        <w:rPr>
          <w:color w:val="000000"/>
          <w:lang w:eastAsia="hr-HR"/>
        </w:rPr>
        <w:t xml:space="preserve">Cell Analyser. Each </w:t>
      </w:r>
      <w:r>
        <w:rPr>
          <w:color w:val="000000"/>
          <w:lang w:eastAsia="hr-HR"/>
        </w:rPr>
        <w:t xml:space="preserve">sample was </w:t>
      </w:r>
      <w:r w:rsidRPr="002C0D7A">
        <w:rPr>
          <w:color w:val="000000"/>
          <w:lang w:eastAsia="hr-HR"/>
        </w:rPr>
        <w:t xml:space="preserve">tested </w:t>
      </w:r>
      <w:r>
        <w:rPr>
          <w:color w:val="000000"/>
          <w:lang w:eastAsia="hr-HR"/>
        </w:rPr>
        <w:t>in</w:t>
      </w:r>
      <w:r w:rsidRPr="002C0D7A">
        <w:rPr>
          <w:color w:val="000000"/>
          <w:lang w:eastAsia="hr-HR"/>
        </w:rPr>
        <w:t xml:space="preserve"> a duplicate and each experiment was performed twice. The Muse</w:t>
      </w:r>
      <w:r w:rsidRPr="000C3BFB">
        <w:rPr>
          <w:color w:val="000000"/>
          <w:vertAlign w:val="superscript"/>
          <w:lang w:eastAsia="hr-HR"/>
        </w:rPr>
        <w:t xml:space="preserve">TM </w:t>
      </w:r>
      <w:r w:rsidRPr="002C0D7A">
        <w:rPr>
          <w:color w:val="000000"/>
          <w:lang w:eastAsia="hr-HR"/>
        </w:rPr>
        <w:t>Annexin V &amp; Dead Cell Assay detect phosphatidylserine on the external membrane of apoptotic cells by Annexin V-PE binding, while 7-aminoactinomycin D (7-AAD) is used as a dead cell marker</w:t>
      </w:r>
      <w:r>
        <w:rPr>
          <w:color w:val="000000"/>
          <w:lang w:eastAsia="hr-HR"/>
        </w:rPr>
        <w:t xml:space="preserve">. Based on that, this assay </w:t>
      </w:r>
      <w:r w:rsidRPr="002C0D7A">
        <w:rPr>
          <w:color w:val="000000"/>
          <w:lang w:eastAsia="hr-HR"/>
        </w:rPr>
        <w:t>detect</w:t>
      </w:r>
      <w:r>
        <w:rPr>
          <w:color w:val="000000"/>
          <w:lang w:eastAsia="hr-HR"/>
        </w:rPr>
        <w:t>s</w:t>
      </w:r>
      <w:r w:rsidRPr="002C0D7A">
        <w:rPr>
          <w:color w:val="000000"/>
          <w:lang w:eastAsia="hr-HR"/>
        </w:rPr>
        <w:t xml:space="preserve"> four distinctive populations of cells: live (Annexin V negative and 7-AAD negative), early apoptotic (Annexin V positive and 7-AAD negative), late stage apoptotic (Annexin V positive and 7-AAD positive) and dead cells, mostly nuclear debris (Annexin V negative and 7-AAD positive).</w:t>
      </w:r>
    </w:p>
    <w:p w14:paraId="0C7F43F0" w14:textId="77777777" w:rsidR="00824E31" w:rsidRDefault="00824E31" w:rsidP="0028644F">
      <w:pPr>
        <w:widowControl w:val="0"/>
        <w:spacing w:line="480" w:lineRule="auto"/>
        <w:jc w:val="both"/>
        <w:rPr>
          <w:color w:val="000000"/>
          <w:lang w:eastAsia="hr-HR"/>
        </w:rPr>
      </w:pPr>
      <w:r w:rsidRPr="008E2019">
        <w:rPr>
          <w:color w:val="000000"/>
          <w:lang w:eastAsia="hr-HR"/>
        </w:rPr>
        <w:t xml:space="preserve">The Muse™ Cell Cycle Kit </w:t>
      </w:r>
      <w:r>
        <w:rPr>
          <w:color w:val="000000"/>
          <w:lang w:eastAsia="hr-HR"/>
        </w:rPr>
        <w:t xml:space="preserve">coupled with </w:t>
      </w:r>
      <w:r w:rsidRPr="008E2019">
        <w:rPr>
          <w:color w:val="000000"/>
          <w:lang w:eastAsia="hr-HR"/>
        </w:rPr>
        <w:t>the Muse</w:t>
      </w:r>
      <w:r w:rsidRPr="000C3BFB">
        <w:rPr>
          <w:color w:val="000000"/>
          <w:vertAlign w:val="superscript"/>
          <w:lang w:eastAsia="hr-HR"/>
        </w:rPr>
        <w:t>®</w:t>
      </w:r>
      <w:r w:rsidRPr="008E2019">
        <w:rPr>
          <w:color w:val="000000"/>
          <w:lang w:eastAsia="hr-HR"/>
        </w:rPr>
        <w:t>Cell Analyzer enables</w:t>
      </w:r>
      <w:r>
        <w:rPr>
          <w:color w:val="000000"/>
          <w:lang w:eastAsia="hr-HR"/>
        </w:rPr>
        <w:t xml:space="preserve"> </w:t>
      </w:r>
      <w:r w:rsidRPr="008E2019">
        <w:rPr>
          <w:color w:val="000000"/>
          <w:lang w:eastAsia="hr-HR"/>
        </w:rPr>
        <w:t>quantitative information on cell cycle distribution</w:t>
      </w:r>
      <w:r>
        <w:rPr>
          <w:color w:val="000000"/>
          <w:lang w:eastAsia="hr-HR"/>
        </w:rPr>
        <w:t>.</w:t>
      </w:r>
      <w:r w:rsidRPr="008E2019">
        <w:rPr>
          <w:color w:val="000000"/>
          <w:lang w:eastAsia="hr-HR"/>
        </w:rPr>
        <w:t xml:space="preserve"> The assay utilizes PI-based staining of DNA content to discriminate and measure the percentage of cells in each phase</w:t>
      </w:r>
      <w:r>
        <w:rPr>
          <w:color w:val="000000"/>
          <w:lang w:eastAsia="hr-HR"/>
        </w:rPr>
        <w:t xml:space="preserve"> of</w:t>
      </w:r>
      <w:r w:rsidRPr="008E2019">
        <w:rPr>
          <w:color w:val="000000"/>
          <w:lang w:eastAsia="hr-HR"/>
        </w:rPr>
        <w:t xml:space="preserve"> cell cycle (G0/G1, S, and G2/M). </w:t>
      </w:r>
      <w:r>
        <w:rPr>
          <w:color w:val="000000"/>
          <w:lang w:eastAsia="hr-HR"/>
        </w:rPr>
        <w:t xml:space="preserve">Analysis was done </w:t>
      </w:r>
      <w:r w:rsidRPr="008E2019">
        <w:rPr>
          <w:color w:val="000000"/>
          <w:lang w:eastAsia="hr-HR"/>
        </w:rPr>
        <w:t>according to the manufacturer’s specifications</w:t>
      </w:r>
      <w:r>
        <w:rPr>
          <w:color w:val="000000"/>
          <w:lang w:eastAsia="hr-HR"/>
        </w:rPr>
        <w:t xml:space="preserve">. HeLa cells were seeded and treated as described for cell death analysis. After 72 hours of treatment, </w:t>
      </w:r>
      <w:r w:rsidRPr="008E2019">
        <w:rPr>
          <w:color w:val="000000"/>
          <w:lang w:eastAsia="hr-HR"/>
        </w:rPr>
        <w:t>adherent cells</w:t>
      </w:r>
      <w:r>
        <w:rPr>
          <w:color w:val="000000"/>
          <w:lang w:eastAsia="hr-HR"/>
        </w:rPr>
        <w:t xml:space="preserve"> were </w:t>
      </w:r>
      <w:r w:rsidRPr="008E2019">
        <w:rPr>
          <w:color w:val="000000"/>
          <w:lang w:eastAsia="hr-HR"/>
        </w:rPr>
        <w:t>harvest</w:t>
      </w:r>
      <w:r>
        <w:rPr>
          <w:color w:val="000000"/>
          <w:lang w:eastAsia="hr-HR"/>
        </w:rPr>
        <w:t xml:space="preserve">ed using trypsin-EDTA solution </w:t>
      </w:r>
      <w:r w:rsidRPr="008E2019">
        <w:rPr>
          <w:color w:val="000000"/>
          <w:lang w:eastAsia="hr-HR"/>
        </w:rPr>
        <w:t xml:space="preserve">to dissociate the cells from the </w:t>
      </w:r>
      <w:r>
        <w:rPr>
          <w:color w:val="000000"/>
          <w:lang w:eastAsia="hr-HR"/>
        </w:rPr>
        <w:t>culture plates</w:t>
      </w:r>
      <w:r w:rsidRPr="008E2019">
        <w:rPr>
          <w:color w:val="000000"/>
          <w:lang w:eastAsia="hr-HR"/>
        </w:rPr>
        <w:t xml:space="preserve"> and </w:t>
      </w:r>
      <w:r>
        <w:rPr>
          <w:color w:val="000000"/>
          <w:lang w:eastAsia="hr-HR"/>
        </w:rPr>
        <w:t>obtain</w:t>
      </w:r>
      <w:r w:rsidRPr="008E2019">
        <w:rPr>
          <w:color w:val="000000"/>
          <w:lang w:eastAsia="hr-HR"/>
        </w:rPr>
        <w:t xml:space="preserve"> single-cell suspensions. </w:t>
      </w:r>
      <w:r>
        <w:rPr>
          <w:color w:val="000000"/>
          <w:lang w:eastAsia="hr-HR"/>
        </w:rPr>
        <w:t>Further step, after</w:t>
      </w:r>
      <w:r w:rsidRPr="008E2019">
        <w:rPr>
          <w:color w:val="000000"/>
          <w:lang w:eastAsia="hr-HR"/>
        </w:rPr>
        <w:t xml:space="preserve"> adjust</w:t>
      </w:r>
      <w:r>
        <w:rPr>
          <w:color w:val="000000"/>
          <w:lang w:eastAsia="hr-HR"/>
        </w:rPr>
        <w:t>ing</w:t>
      </w:r>
      <w:r w:rsidRPr="008E2019">
        <w:rPr>
          <w:color w:val="000000"/>
          <w:lang w:eastAsia="hr-HR"/>
        </w:rPr>
        <w:t xml:space="preserve"> the cell concentration according</w:t>
      </w:r>
      <w:r>
        <w:rPr>
          <w:color w:val="000000"/>
          <w:lang w:eastAsia="hr-HR"/>
        </w:rPr>
        <w:t xml:space="preserve"> to the manufacturer’s protocol, was f</w:t>
      </w:r>
      <w:r w:rsidRPr="008E2019">
        <w:rPr>
          <w:color w:val="000000"/>
          <w:lang w:eastAsia="hr-HR"/>
        </w:rPr>
        <w:t xml:space="preserve">ixing </w:t>
      </w:r>
      <w:r>
        <w:rPr>
          <w:color w:val="000000"/>
          <w:lang w:eastAsia="hr-HR"/>
        </w:rPr>
        <w:t>of s</w:t>
      </w:r>
      <w:r w:rsidRPr="008E2019">
        <w:rPr>
          <w:color w:val="000000"/>
          <w:lang w:eastAsia="hr-HR"/>
        </w:rPr>
        <w:t>amples</w:t>
      </w:r>
      <w:r>
        <w:rPr>
          <w:color w:val="000000"/>
          <w:lang w:eastAsia="hr-HR"/>
        </w:rPr>
        <w:t xml:space="preserve"> by ice-cold 70% ethanol. Such f</w:t>
      </w:r>
      <w:r w:rsidRPr="008E2019">
        <w:rPr>
          <w:color w:val="000000"/>
          <w:lang w:eastAsia="hr-HR"/>
        </w:rPr>
        <w:t xml:space="preserve">ixed cells are stable for 2 to 3 months at –20°C. </w:t>
      </w:r>
      <w:r>
        <w:rPr>
          <w:color w:val="000000"/>
          <w:lang w:eastAsia="hr-HR"/>
        </w:rPr>
        <w:t>At the day of analysis, s</w:t>
      </w:r>
      <w:r w:rsidRPr="008E2019">
        <w:rPr>
          <w:color w:val="000000"/>
          <w:lang w:eastAsia="hr-HR"/>
        </w:rPr>
        <w:t xml:space="preserve">taining </w:t>
      </w:r>
      <w:r>
        <w:rPr>
          <w:color w:val="000000"/>
          <w:lang w:eastAsia="hr-HR"/>
        </w:rPr>
        <w:t>p</w:t>
      </w:r>
      <w:r w:rsidRPr="008E2019">
        <w:rPr>
          <w:color w:val="000000"/>
          <w:lang w:eastAsia="hr-HR"/>
        </w:rPr>
        <w:t>rotocol</w:t>
      </w:r>
      <w:r>
        <w:rPr>
          <w:color w:val="000000"/>
          <w:lang w:eastAsia="hr-HR"/>
        </w:rPr>
        <w:t xml:space="preserve"> was done, which ends up with sus</w:t>
      </w:r>
      <w:r w:rsidRPr="008E2019">
        <w:rPr>
          <w:color w:val="000000"/>
          <w:lang w:eastAsia="hr-HR"/>
        </w:rPr>
        <w:t>pending</w:t>
      </w:r>
      <w:r>
        <w:rPr>
          <w:color w:val="000000"/>
          <w:lang w:eastAsia="hr-HR"/>
        </w:rPr>
        <w:t xml:space="preserve"> of the cell pellet in 200 </w:t>
      </w:r>
      <w:r w:rsidRPr="008E2019">
        <w:rPr>
          <w:color w:val="000000"/>
          <w:lang w:eastAsia="hr-HR"/>
        </w:rPr>
        <w:t>μ</w:t>
      </w:r>
      <w:r>
        <w:rPr>
          <w:color w:val="000000"/>
          <w:lang w:eastAsia="hr-HR"/>
        </w:rPr>
        <w:t xml:space="preserve">L </w:t>
      </w:r>
      <w:r w:rsidRPr="008E2019">
        <w:rPr>
          <w:color w:val="000000"/>
          <w:lang w:eastAsia="hr-HR"/>
        </w:rPr>
        <w:t>of Muse™ Cell Cycle Reagent</w:t>
      </w:r>
      <w:r>
        <w:rPr>
          <w:color w:val="000000"/>
          <w:lang w:eastAsia="hr-HR"/>
        </w:rPr>
        <w:t xml:space="preserve"> and </w:t>
      </w:r>
      <w:r>
        <w:rPr>
          <w:color w:val="000000"/>
          <w:lang w:eastAsia="hr-HR"/>
        </w:rPr>
        <w:lastRenderedPageBreak/>
        <w:t xml:space="preserve">incubation of samples </w:t>
      </w:r>
      <w:r w:rsidRPr="008E2019">
        <w:rPr>
          <w:color w:val="000000"/>
          <w:lang w:eastAsia="hr-HR"/>
        </w:rPr>
        <w:t>for 30 minutes at room tem</w:t>
      </w:r>
      <w:r>
        <w:rPr>
          <w:color w:val="000000"/>
          <w:lang w:eastAsia="hr-HR"/>
        </w:rPr>
        <w:t xml:space="preserve">perature, protected from light. After that </w:t>
      </w:r>
      <w:r w:rsidRPr="008E2019">
        <w:rPr>
          <w:color w:val="000000"/>
          <w:lang w:eastAsia="hr-HR"/>
        </w:rPr>
        <w:t xml:space="preserve">sample </w:t>
      </w:r>
      <w:r>
        <w:rPr>
          <w:color w:val="000000"/>
          <w:lang w:eastAsia="hr-HR"/>
        </w:rPr>
        <w:t xml:space="preserve">is ready for </w:t>
      </w:r>
      <w:r w:rsidRPr="008E2019">
        <w:rPr>
          <w:color w:val="000000"/>
          <w:lang w:eastAsia="hr-HR"/>
        </w:rPr>
        <w:t>analysis on Muse™ Cell Analyzer.</w:t>
      </w:r>
    </w:p>
    <w:p w14:paraId="095E1094" w14:textId="77777777" w:rsidR="00824E31" w:rsidRDefault="00824E31" w:rsidP="00281428">
      <w:pPr>
        <w:widowControl w:val="0"/>
        <w:spacing w:line="480" w:lineRule="auto"/>
        <w:rPr>
          <w:color w:val="000000"/>
          <w:lang w:eastAsia="hr-HR"/>
        </w:rPr>
      </w:pPr>
    </w:p>
    <w:p w14:paraId="78AEAEB1" w14:textId="77777777" w:rsidR="00824E31" w:rsidRDefault="00824E31" w:rsidP="0096290C">
      <w:pPr>
        <w:widowControl w:val="0"/>
        <w:numPr>
          <w:ilvl w:val="1"/>
          <w:numId w:val="4"/>
        </w:numPr>
        <w:spacing w:line="480" w:lineRule="auto"/>
        <w:rPr>
          <w:i/>
          <w:color w:val="000000"/>
          <w:lang w:eastAsia="hr-HR"/>
        </w:rPr>
      </w:pPr>
      <w:r w:rsidRPr="000668FB">
        <w:rPr>
          <w:i/>
          <w:color w:val="000000"/>
          <w:lang w:eastAsia="hr-HR"/>
        </w:rPr>
        <w:t>Evaluation of oxidative stress by flowcytometric analysis</w:t>
      </w:r>
    </w:p>
    <w:p w14:paraId="6070AD97" w14:textId="77777777" w:rsidR="00824E31" w:rsidRDefault="00824E31" w:rsidP="0028644F">
      <w:pPr>
        <w:widowControl w:val="0"/>
        <w:spacing w:line="480" w:lineRule="auto"/>
        <w:jc w:val="both"/>
        <w:rPr>
          <w:color w:val="000000"/>
          <w:lang w:eastAsia="hr-HR"/>
        </w:rPr>
      </w:pPr>
      <w:r w:rsidRPr="000668FB">
        <w:rPr>
          <w:color w:val="000000"/>
          <w:lang w:eastAsia="hr-HR"/>
        </w:rPr>
        <w:t>The Muse</w:t>
      </w:r>
      <w:r w:rsidRPr="000C3BFB">
        <w:rPr>
          <w:color w:val="000000"/>
          <w:vertAlign w:val="superscript"/>
          <w:lang w:eastAsia="hr-HR"/>
        </w:rPr>
        <w:t>®</w:t>
      </w:r>
      <w:r w:rsidRPr="000668FB">
        <w:rPr>
          <w:color w:val="000000"/>
          <w:lang w:eastAsia="hr-HR"/>
        </w:rPr>
        <w:t xml:space="preserve"> Oxidative Stress Kit </w:t>
      </w:r>
      <w:r>
        <w:rPr>
          <w:color w:val="000000"/>
          <w:lang w:eastAsia="hr-HR"/>
        </w:rPr>
        <w:t>was used in here to measure</w:t>
      </w:r>
      <w:r w:rsidRPr="000668FB">
        <w:rPr>
          <w:color w:val="000000"/>
          <w:lang w:eastAsia="hr-HR"/>
        </w:rPr>
        <w:t xml:space="preserve"> percentage of </w:t>
      </w:r>
      <w:r>
        <w:rPr>
          <w:color w:val="000000"/>
          <w:lang w:eastAsia="hr-HR"/>
        </w:rPr>
        <w:t>ROS(+) cells in order to determine antioxidative potential of extracts toward HeLa cells, in which oxidative stress was induced by H</w:t>
      </w:r>
      <w:r w:rsidRPr="000C3BFB">
        <w:rPr>
          <w:color w:val="000000"/>
          <w:vertAlign w:val="subscript"/>
          <w:lang w:eastAsia="hr-HR"/>
        </w:rPr>
        <w:t>2</w:t>
      </w:r>
      <w:r>
        <w:rPr>
          <w:color w:val="000000"/>
          <w:lang w:eastAsia="hr-HR"/>
        </w:rPr>
        <w:t>O</w:t>
      </w:r>
      <w:r w:rsidRPr="000C3BFB">
        <w:rPr>
          <w:color w:val="000000"/>
          <w:vertAlign w:val="subscript"/>
          <w:lang w:eastAsia="hr-HR"/>
        </w:rPr>
        <w:t>2</w:t>
      </w:r>
      <w:r>
        <w:rPr>
          <w:color w:val="000000"/>
          <w:lang w:eastAsia="hr-HR"/>
        </w:rPr>
        <w:t xml:space="preserve">. </w:t>
      </w:r>
      <w:r w:rsidRPr="000668FB">
        <w:rPr>
          <w:color w:val="000000"/>
          <w:lang w:eastAsia="hr-HR"/>
        </w:rPr>
        <w:t xml:space="preserve"> The Muse</w:t>
      </w:r>
      <w:r w:rsidRPr="000C3BFB">
        <w:rPr>
          <w:color w:val="000000"/>
          <w:vertAlign w:val="superscript"/>
          <w:lang w:eastAsia="hr-HR"/>
        </w:rPr>
        <w:t>®</w:t>
      </w:r>
      <w:r w:rsidRPr="000668FB">
        <w:rPr>
          <w:color w:val="000000"/>
          <w:lang w:eastAsia="hr-HR"/>
        </w:rPr>
        <w:t xml:space="preserve"> Oxidative Stress Reagent is based on dihydroethidium (DHE), </w:t>
      </w:r>
      <w:r>
        <w:rPr>
          <w:color w:val="000000"/>
          <w:lang w:eastAsia="hr-HR"/>
        </w:rPr>
        <w:t>which is often used for the</w:t>
      </w:r>
      <w:r w:rsidRPr="000668FB">
        <w:rPr>
          <w:color w:val="000000"/>
          <w:lang w:eastAsia="hr-HR"/>
        </w:rPr>
        <w:t xml:space="preserve"> detection </w:t>
      </w:r>
      <w:r>
        <w:rPr>
          <w:color w:val="000000"/>
          <w:lang w:eastAsia="hr-HR"/>
        </w:rPr>
        <w:t xml:space="preserve">of </w:t>
      </w:r>
      <w:r w:rsidRPr="000668FB">
        <w:rPr>
          <w:color w:val="000000"/>
          <w:lang w:eastAsia="hr-HR"/>
        </w:rPr>
        <w:t xml:space="preserve">reactive oxidative species in cellular populations. </w:t>
      </w:r>
      <w:r w:rsidRPr="002C0D7A">
        <w:rPr>
          <w:color w:val="000000"/>
          <w:lang w:eastAsia="hr-HR"/>
        </w:rPr>
        <w:t xml:space="preserve">HeLa cells were seeded into a </w:t>
      </w:r>
      <w:r>
        <w:rPr>
          <w:color w:val="000000"/>
          <w:lang w:eastAsia="hr-HR"/>
        </w:rPr>
        <w:t>12</w:t>
      </w:r>
      <w:r w:rsidRPr="002C0D7A">
        <w:rPr>
          <w:color w:val="000000"/>
          <w:lang w:eastAsia="hr-HR"/>
        </w:rPr>
        <w:t>-well culture plates at a density of 5 x 10</w:t>
      </w:r>
      <w:r w:rsidRPr="00631A17">
        <w:rPr>
          <w:color w:val="000000"/>
          <w:vertAlign w:val="superscript"/>
          <w:lang w:eastAsia="hr-HR"/>
        </w:rPr>
        <w:t>4</w:t>
      </w:r>
      <w:r>
        <w:rPr>
          <w:color w:val="000000"/>
          <w:lang w:eastAsia="hr-HR"/>
        </w:rPr>
        <w:t xml:space="preserve"> cells mL</w:t>
      </w:r>
      <w:r w:rsidRPr="00631A17">
        <w:rPr>
          <w:color w:val="000000"/>
          <w:vertAlign w:val="superscript"/>
          <w:lang w:eastAsia="hr-HR"/>
        </w:rPr>
        <w:t>-1</w:t>
      </w:r>
      <w:r w:rsidRPr="002C0D7A">
        <w:rPr>
          <w:color w:val="000000"/>
          <w:lang w:eastAsia="hr-HR"/>
        </w:rPr>
        <w:t xml:space="preserve"> (</w:t>
      </w:r>
      <w:r>
        <w:rPr>
          <w:color w:val="000000"/>
          <w:lang w:eastAsia="hr-HR"/>
        </w:rPr>
        <w:t>1</w:t>
      </w:r>
      <w:r w:rsidRPr="002C0D7A">
        <w:rPr>
          <w:color w:val="000000"/>
          <w:lang w:eastAsia="hr-HR"/>
        </w:rPr>
        <w:t xml:space="preserve"> m</w:t>
      </w:r>
      <w:r>
        <w:rPr>
          <w:color w:val="000000"/>
          <w:lang w:eastAsia="hr-HR"/>
        </w:rPr>
        <w:t>L</w:t>
      </w:r>
      <w:r w:rsidRPr="002C0D7A">
        <w:rPr>
          <w:color w:val="000000"/>
          <w:lang w:eastAsia="hr-HR"/>
        </w:rPr>
        <w:t xml:space="preserve"> per well) and </w:t>
      </w:r>
      <w:r>
        <w:rPr>
          <w:color w:val="000000"/>
          <w:lang w:eastAsia="hr-HR"/>
        </w:rPr>
        <w:t>after overnight growth pre-</w:t>
      </w:r>
      <w:r w:rsidRPr="002C0D7A">
        <w:rPr>
          <w:color w:val="000000"/>
          <w:lang w:eastAsia="hr-HR"/>
        </w:rPr>
        <w:t xml:space="preserve">treated with </w:t>
      </w:r>
      <w:r>
        <w:rPr>
          <w:color w:val="000000"/>
          <w:lang w:eastAsia="hr-HR"/>
        </w:rPr>
        <w:t>5% (v/v) of extracts</w:t>
      </w:r>
      <w:r w:rsidRPr="002C0D7A">
        <w:rPr>
          <w:color w:val="000000"/>
          <w:lang w:eastAsia="hr-HR"/>
        </w:rPr>
        <w:t xml:space="preserve"> for </w:t>
      </w:r>
      <w:r>
        <w:rPr>
          <w:color w:val="000000"/>
          <w:lang w:eastAsia="hr-HR"/>
        </w:rPr>
        <w:t>24</w:t>
      </w:r>
      <w:r w:rsidRPr="002C0D7A">
        <w:rPr>
          <w:color w:val="000000"/>
          <w:lang w:eastAsia="hr-HR"/>
        </w:rPr>
        <w:t xml:space="preserve"> h. </w:t>
      </w:r>
      <w:r>
        <w:rPr>
          <w:color w:val="000000"/>
          <w:lang w:eastAsia="hr-HR"/>
        </w:rPr>
        <w:t>A</w:t>
      </w:r>
      <w:r w:rsidRPr="00545F99">
        <w:rPr>
          <w:color w:val="000000"/>
          <w:lang w:eastAsia="hr-HR"/>
        </w:rPr>
        <w:t>fter pre-treatment</w:t>
      </w:r>
      <w:r>
        <w:rPr>
          <w:color w:val="000000"/>
          <w:lang w:eastAsia="hr-HR"/>
        </w:rPr>
        <w:t xml:space="preserve"> oxidative stress was induced by 100 µM H</w:t>
      </w:r>
      <w:r w:rsidRPr="000C3BFB">
        <w:rPr>
          <w:color w:val="000000"/>
          <w:vertAlign w:val="subscript"/>
          <w:lang w:eastAsia="hr-HR"/>
        </w:rPr>
        <w:t>2</w:t>
      </w:r>
      <w:r>
        <w:rPr>
          <w:color w:val="000000"/>
          <w:lang w:eastAsia="hr-HR"/>
        </w:rPr>
        <w:t>O</w:t>
      </w:r>
      <w:r w:rsidRPr="000C3BFB">
        <w:rPr>
          <w:color w:val="000000"/>
          <w:vertAlign w:val="subscript"/>
          <w:lang w:eastAsia="hr-HR"/>
        </w:rPr>
        <w:t>2</w:t>
      </w:r>
      <w:r>
        <w:rPr>
          <w:color w:val="000000"/>
          <w:lang w:eastAsia="hr-HR"/>
        </w:rPr>
        <w:t xml:space="preserve"> for further 24 hours, after which preparation of samples for </w:t>
      </w:r>
      <w:r w:rsidRPr="000C3BFB">
        <w:rPr>
          <w:color w:val="000000"/>
          <w:lang w:eastAsia="hr-HR"/>
        </w:rPr>
        <w:t>flowcytometric analysis was done</w:t>
      </w:r>
      <w:r>
        <w:rPr>
          <w:color w:val="000000"/>
          <w:lang w:eastAsia="hr-HR"/>
        </w:rPr>
        <w:t xml:space="preserve"> </w:t>
      </w:r>
      <w:r w:rsidRPr="002C0D7A">
        <w:rPr>
          <w:color w:val="000000"/>
          <w:lang w:eastAsia="hr-HR"/>
        </w:rPr>
        <w:t>according to the manufacturer’s specifications</w:t>
      </w:r>
      <w:r>
        <w:rPr>
          <w:color w:val="000000"/>
          <w:lang w:eastAsia="hr-HR"/>
        </w:rPr>
        <w:t xml:space="preserve">. Briefly, </w:t>
      </w:r>
      <w:r w:rsidRPr="000668FB">
        <w:rPr>
          <w:color w:val="000000"/>
          <w:lang w:eastAsia="hr-HR"/>
        </w:rPr>
        <w:t xml:space="preserve">adherent </w:t>
      </w:r>
      <w:r>
        <w:rPr>
          <w:color w:val="000000"/>
          <w:lang w:eastAsia="hr-HR"/>
        </w:rPr>
        <w:t xml:space="preserve">HeLa </w:t>
      </w:r>
      <w:r w:rsidRPr="000668FB">
        <w:rPr>
          <w:color w:val="000000"/>
          <w:lang w:eastAsia="hr-HR"/>
        </w:rPr>
        <w:t>cells</w:t>
      </w:r>
      <w:r>
        <w:rPr>
          <w:color w:val="000000"/>
          <w:lang w:eastAsia="hr-HR"/>
        </w:rPr>
        <w:t xml:space="preserve"> were </w:t>
      </w:r>
      <w:r w:rsidRPr="000668FB">
        <w:rPr>
          <w:color w:val="000000"/>
          <w:lang w:eastAsia="hr-HR"/>
        </w:rPr>
        <w:t>dissociat</w:t>
      </w:r>
      <w:r>
        <w:rPr>
          <w:color w:val="000000"/>
          <w:lang w:eastAsia="hr-HR"/>
        </w:rPr>
        <w:t>ed</w:t>
      </w:r>
      <w:r w:rsidRPr="000668FB">
        <w:rPr>
          <w:color w:val="000000"/>
          <w:lang w:eastAsia="hr-HR"/>
        </w:rPr>
        <w:t xml:space="preserve"> from the flask </w:t>
      </w:r>
      <w:r>
        <w:rPr>
          <w:color w:val="000000"/>
          <w:lang w:eastAsia="hr-HR"/>
        </w:rPr>
        <w:t xml:space="preserve">by trypsine-EDTA solution after which </w:t>
      </w:r>
      <w:r w:rsidRPr="0085196C">
        <w:rPr>
          <w:color w:val="000000"/>
          <w:lang w:eastAsia="hr-HR"/>
        </w:rPr>
        <w:t xml:space="preserve">cell concentration </w:t>
      </w:r>
      <w:r>
        <w:rPr>
          <w:color w:val="000000"/>
          <w:lang w:eastAsia="hr-HR"/>
        </w:rPr>
        <w:t xml:space="preserve">was </w:t>
      </w:r>
      <w:r w:rsidRPr="0085196C">
        <w:rPr>
          <w:color w:val="000000"/>
          <w:lang w:eastAsia="hr-HR"/>
        </w:rPr>
        <w:t>adjust</w:t>
      </w:r>
      <w:r>
        <w:rPr>
          <w:color w:val="000000"/>
          <w:lang w:eastAsia="hr-HR"/>
        </w:rPr>
        <w:t>ed and c</w:t>
      </w:r>
      <w:r w:rsidRPr="000668FB">
        <w:rPr>
          <w:color w:val="000000"/>
          <w:lang w:eastAsia="hr-HR"/>
        </w:rPr>
        <w:t xml:space="preserve">ell samples </w:t>
      </w:r>
      <w:r>
        <w:rPr>
          <w:color w:val="000000"/>
          <w:lang w:eastAsia="hr-HR"/>
        </w:rPr>
        <w:t>were p</w:t>
      </w:r>
      <w:r w:rsidRPr="000668FB">
        <w:rPr>
          <w:color w:val="000000"/>
          <w:lang w:eastAsia="hr-HR"/>
        </w:rPr>
        <w:t>repare</w:t>
      </w:r>
      <w:r>
        <w:rPr>
          <w:color w:val="000000"/>
          <w:lang w:eastAsia="hr-HR"/>
        </w:rPr>
        <w:t xml:space="preserve">d in 1X Assay Buffer before proceeding with staining protocol. Mixture of cells and </w:t>
      </w:r>
      <w:r w:rsidRPr="007156B4">
        <w:rPr>
          <w:color w:val="000000"/>
          <w:lang w:eastAsia="hr-HR"/>
        </w:rPr>
        <w:t>Muse</w:t>
      </w:r>
      <w:r w:rsidRPr="007156B4">
        <w:rPr>
          <w:color w:val="000000"/>
          <w:vertAlign w:val="superscript"/>
          <w:lang w:eastAsia="hr-HR"/>
        </w:rPr>
        <w:t>®</w:t>
      </w:r>
      <w:r w:rsidRPr="007156B4">
        <w:rPr>
          <w:color w:val="000000"/>
          <w:lang w:eastAsia="hr-HR"/>
        </w:rPr>
        <w:t xml:space="preserve"> Oxidative Stress Reagent</w:t>
      </w:r>
      <w:r>
        <w:rPr>
          <w:color w:val="000000"/>
          <w:lang w:eastAsia="hr-HR"/>
        </w:rPr>
        <w:t xml:space="preserve"> was i</w:t>
      </w:r>
      <w:r w:rsidRPr="000668FB">
        <w:rPr>
          <w:color w:val="000000"/>
          <w:lang w:eastAsia="hr-HR"/>
        </w:rPr>
        <w:t>ncubate</w:t>
      </w:r>
      <w:r>
        <w:rPr>
          <w:color w:val="000000"/>
          <w:lang w:eastAsia="hr-HR"/>
        </w:rPr>
        <w:t>d</w:t>
      </w:r>
      <w:r w:rsidRPr="000668FB">
        <w:rPr>
          <w:color w:val="000000"/>
          <w:lang w:eastAsia="hr-HR"/>
        </w:rPr>
        <w:t xml:space="preserve"> </w:t>
      </w:r>
      <w:r>
        <w:rPr>
          <w:color w:val="000000"/>
          <w:lang w:eastAsia="hr-HR"/>
        </w:rPr>
        <w:t>f</w:t>
      </w:r>
      <w:r w:rsidRPr="000668FB">
        <w:rPr>
          <w:color w:val="000000"/>
          <w:lang w:eastAsia="hr-HR"/>
        </w:rPr>
        <w:t>or 30 minutes at 37°C</w:t>
      </w:r>
      <w:r>
        <w:rPr>
          <w:color w:val="000000"/>
          <w:lang w:eastAsia="hr-HR"/>
        </w:rPr>
        <w:t xml:space="preserve">, after which samples were analysed </w:t>
      </w:r>
      <w:r w:rsidRPr="000668FB">
        <w:rPr>
          <w:color w:val="000000"/>
          <w:lang w:eastAsia="hr-HR"/>
        </w:rPr>
        <w:t>on the Muse</w:t>
      </w:r>
      <w:r w:rsidRPr="00DC5045">
        <w:rPr>
          <w:color w:val="000000"/>
          <w:vertAlign w:val="superscript"/>
          <w:lang w:eastAsia="hr-HR"/>
        </w:rPr>
        <w:t>®</w:t>
      </w:r>
      <w:r w:rsidRPr="000668FB">
        <w:rPr>
          <w:color w:val="000000"/>
          <w:lang w:eastAsia="hr-HR"/>
        </w:rPr>
        <w:t xml:space="preserve"> Cell Analyzer.</w:t>
      </w:r>
    </w:p>
    <w:p w14:paraId="5DC06C45" w14:textId="77777777" w:rsidR="00824E31" w:rsidRDefault="00824E31" w:rsidP="00281428">
      <w:pPr>
        <w:widowControl w:val="0"/>
        <w:spacing w:line="480" w:lineRule="auto"/>
        <w:rPr>
          <w:color w:val="000000"/>
          <w:lang w:eastAsia="hr-HR"/>
        </w:rPr>
      </w:pPr>
    </w:p>
    <w:p w14:paraId="3A067AEB" w14:textId="77777777" w:rsidR="00824E31" w:rsidRPr="000D1774" w:rsidRDefault="008C5C8B" w:rsidP="0096290C">
      <w:pPr>
        <w:numPr>
          <w:ilvl w:val="1"/>
          <w:numId w:val="4"/>
        </w:numPr>
        <w:spacing w:line="480" w:lineRule="auto"/>
        <w:rPr>
          <w:rFonts w:eastAsia="AdvTimes"/>
          <w:bCs/>
          <w:lang w:val="en-US" w:eastAsia="hr-HR"/>
        </w:rPr>
      </w:pPr>
      <w:r>
        <w:rPr>
          <w:rFonts w:eastAsia="AdvTimes"/>
          <w:bCs/>
          <w:i/>
          <w:lang w:val="en-US" w:eastAsia="hr-HR"/>
        </w:rPr>
        <w:t xml:space="preserve"> </w:t>
      </w:r>
      <w:r w:rsidR="00824E31" w:rsidRPr="000D1774">
        <w:rPr>
          <w:rFonts w:eastAsia="AdvTimes"/>
          <w:bCs/>
          <w:i/>
          <w:lang w:val="en-US" w:eastAsia="hr-HR"/>
        </w:rPr>
        <w:t>Spectroscopic experiments</w:t>
      </w:r>
    </w:p>
    <w:p w14:paraId="25A659C5" w14:textId="66764A8D" w:rsidR="00824E31" w:rsidRDefault="00824E31" w:rsidP="0091684A">
      <w:pPr>
        <w:spacing w:line="480" w:lineRule="auto"/>
        <w:jc w:val="both"/>
        <w:rPr>
          <w:rFonts w:eastAsia="AdvTimes"/>
          <w:lang w:eastAsia="hr-HR"/>
        </w:rPr>
      </w:pPr>
      <w:r w:rsidRPr="006D6EFA">
        <w:rPr>
          <w:rFonts w:eastAsia="AdvTimes"/>
          <w:bCs/>
          <w:lang w:val="en-US" w:eastAsia="hr-HR"/>
        </w:rPr>
        <w:t xml:space="preserve">The </w:t>
      </w:r>
      <w:r w:rsidR="004723CC">
        <w:rPr>
          <w:rFonts w:eastAsia="AdvTimes"/>
          <w:bCs/>
          <w:lang w:val="en-US" w:eastAsia="hr-HR"/>
        </w:rPr>
        <w:t xml:space="preserve">UV/Vis </w:t>
      </w:r>
      <w:r w:rsidR="009C12B1">
        <w:rPr>
          <w:rFonts w:eastAsia="AdvTimes"/>
          <w:bCs/>
          <w:lang w:val="en-US" w:eastAsia="hr-HR"/>
        </w:rPr>
        <w:t xml:space="preserve">and </w:t>
      </w:r>
      <w:r w:rsidR="009C12B1" w:rsidRPr="006D6EFA">
        <w:rPr>
          <w:rFonts w:eastAsia="AdvTimes"/>
          <w:bCs/>
          <w:lang w:val="en-US" w:eastAsia="hr-HR"/>
        </w:rPr>
        <w:t xml:space="preserve">circular dichroism (CD) </w:t>
      </w:r>
      <w:r w:rsidR="007D7515">
        <w:rPr>
          <w:rFonts w:eastAsia="AdvTimes"/>
          <w:bCs/>
          <w:lang w:val="en-US" w:eastAsia="hr-HR"/>
        </w:rPr>
        <w:t xml:space="preserve">experiments </w:t>
      </w:r>
      <w:r w:rsidRPr="006D6EFA">
        <w:rPr>
          <w:rFonts w:eastAsia="AdvTimes"/>
          <w:bCs/>
          <w:lang w:val="en-US" w:eastAsia="hr-HR"/>
        </w:rPr>
        <w:t xml:space="preserve">were </w:t>
      </w:r>
      <w:r w:rsidR="00661887" w:rsidRPr="00661887">
        <w:rPr>
          <w:rFonts w:eastAsia="AdvTimes"/>
          <w:bCs/>
          <w:lang w:val="en-US" w:eastAsia="hr-HR"/>
        </w:rPr>
        <w:t>conducted</w:t>
      </w:r>
      <w:r w:rsidRPr="006D6EFA">
        <w:rPr>
          <w:rFonts w:eastAsia="AdvTimes"/>
          <w:bCs/>
          <w:lang w:val="en-US" w:eastAsia="hr-HR"/>
        </w:rPr>
        <w:t xml:space="preserve"> on Varian Cary 100 Bio </w:t>
      </w:r>
      <w:r w:rsidR="009C12B1">
        <w:rPr>
          <w:rFonts w:eastAsia="AdvTimes"/>
          <w:bCs/>
          <w:lang w:val="en-US" w:eastAsia="hr-HR"/>
        </w:rPr>
        <w:t xml:space="preserve">and </w:t>
      </w:r>
      <w:r w:rsidRPr="006D6EFA">
        <w:rPr>
          <w:rFonts w:eastAsia="AdvTimes"/>
          <w:bCs/>
          <w:lang w:val="en-US" w:eastAsia="hr-HR"/>
        </w:rPr>
        <w:t>on JASCO J815 spectrophotometer</w:t>
      </w:r>
      <w:r w:rsidR="007D7515">
        <w:rPr>
          <w:rFonts w:eastAsia="AdvTimes"/>
          <w:bCs/>
          <w:lang w:val="en-US" w:eastAsia="hr-HR"/>
        </w:rPr>
        <w:t>s, respectively</w:t>
      </w:r>
      <w:r w:rsidRPr="006D6EFA">
        <w:rPr>
          <w:rFonts w:eastAsia="AdvTimes"/>
          <w:bCs/>
          <w:lang w:val="en-US" w:eastAsia="hr-HR"/>
        </w:rPr>
        <w:t xml:space="preserve">. </w:t>
      </w:r>
      <w:r w:rsidR="000D1774">
        <w:rPr>
          <w:rFonts w:eastAsia="AdvTimes"/>
          <w:bCs/>
          <w:lang w:val="en-US" w:eastAsia="hr-HR"/>
        </w:rPr>
        <w:t>DNA and RNA</w:t>
      </w:r>
      <w:r w:rsidR="000D1774" w:rsidRPr="006D6EFA">
        <w:rPr>
          <w:rFonts w:eastAsia="AdvTimes"/>
          <w:bCs/>
          <w:lang w:val="en-US" w:eastAsia="hr-HR"/>
        </w:rPr>
        <w:t xml:space="preserve"> </w:t>
      </w:r>
      <w:r w:rsidRPr="006D6EFA">
        <w:rPr>
          <w:rFonts w:eastAsia="AdvTimes"/>
          <w:bCs/>
          <w:lang w:val="en-US" w:eastAsia="hr-HR"/>
        </w:rPr>
        <w:t xml:space="preserve">were </w:t>
      </w:r>
      <w:r w:rsidR="000D1774">
        <w:rPr>
          <w:rFonts w:eastAsia="AdvTimes"/>
          <w:bCs/>
          <w:lang w:val="en-US" w:eastAsia="hr-HR"/>
        </w:rPr>
        <w:t>prepared</w:t>
      </w:r>
      <w:r w:rsidR="000D1774" w:rsidRPr="006D6EFA">
        <w:rPr>
          <w:rFonts w:eastAsia="AdvTimes"/>
          <w:bCs/>
          <w:lang w:val="en-US" w:eastAsia="hr-HR"/>
        </w:rPr>
        <w:t xml:space="preserve"> </w:t>
      </w:r>
      <w:r w:rsidRPr="006D6EFA">
        <w:rPr>
          <w:rFonts w:eastAsia="AdvTimes"/>
          <w:bCs/>
          <w:lang w:val="en-US" w:eastAsia="hr-HR"/>
        </w:rPr>
        <w:t xml:space="preserve">in </w:t>
      </w:r>
      <w:r w:rsidR="004723CC">
        <w:rPr>
          <w:rFonts w:eastAsia="AdvTimes"/>
          <w:bCs/>
          <w:lang w:val="en-US" w:eastAsia="hr-HR"/>
        </w:rPr>
        <w:t xml:space="preserve">sodium </w:t>
      </w:r>
      <w:r w:rsidRPr="006D6EFA">
        <w:rPr>
          <w:rFonts w:eastAsia="AdvTimes"/>
          <w:bCs/>
          <w:lang w:val="en-US" w:eastAsia="hr-HR"/>
        </w:rPr>
        <w:t xml:space="preserve">cacodylate buffer, </w:t>
      </w:r>
      <w:r w:rsidRPr="00E610E0">
        <w:rPr>
          <w:rFonts w:eastAsia="AdvTimes"/>
          <w:bCs/>
          <w:i/>
          <w:lang w:val="en-US" w:eastAsia="hr-HR"/>
        </w:rPr>
        <w:t>I</w:t>
      </w:r>
      <w:r w:rsidRPr="006D6EFA">
        <w:rPr>
          <w:rFonts w:eastAsia="AdvTimes"/>
          <w:bCs/>
          <w:lang w:val="en-US" w:eastAsia="hr-HR"/>
        </w:rPr>
        <w:t>=0.05 mol dm</w:t>
      </w:r>
      <w:r w:rsidRPr="00DD72C0">
        <w:rPr>
          <w:rFonts w:eastAsia="AdvTimes"/>
          <w:bCs/>
          <w:vertAlign w:val="superscript"/>
          <w:lang w:val="en-US" w:eastAsia="hr-HR"/>
        </w:rPr>
        <w:t>-3</w:t>
      </w:r>
      <w:r w:rsidRPr="006D6EFA">
        <w:rPr>
          <w:rFonts w:eastAsia="AdvTimes"/>
          <w:bCs/>
          <w:lang w:val="en-US" w:eastAsia="hr-HR"/>
        </w:rPr>
        <w:t>, pH 7.0</w:t>
      </w:r>
      <w:r w:rsidR="000D1774">
        <w:rPr>
          <w:rFonts w:eastAsia="AdvTimes"/>
          <w:bCs/>
          <w:lang w:val="en-US" w:eastAsia="hr-HR"/>
        </w:rPr>
        <w:t xml:space="preserve"> and their</w:t>
      </w:r>
      <w:r w:rsidRPr="006D6EFA">
        <w:rPr>
          <w:rFonts w:eastAsia="AdvTimes"/>
          <w:bCs/>
          <w:lang w:val="en-US" w:eastAsia="hr-HR"/>
        </w:rPr>
        <w:t xml:space="preserve"> concentration</w:t>
      </w:r>
      <w:r w:rsidR="000D1774">
        <w:rPr>
          <w:rFonts w:eastAsia="AdvTimes"/>
          <w:bCs/>
          <w:lang w:val="en-US" w:eastAsia="hr-HR"/>
        </w:rPr>
        <w:t>s</w:t>
      </w:r>
      <w:r w:rsidRPr="006D6EFA">
        <w:rPr>
          <w:rFonts w:eastAsia="AdvTimes"/>
          <w:bCs/>
          <w:lang w:val="en-US" w:eastAsia="hr-HR"/>
        </w:rPr>
        <w:t xml:space="preserve"> </w:t>
      </w:r>
      <w:r w:rsidR="000D1774" w:rsidRPr="006D6EFA">
        <w:rPr>
          <w:rFonts w:eastAsia="AdvTimes"/>
          <w:bCs/>
          <w:lang w:val="en-US" w:eastAsia="hr-HR"/>
        </w:rPr>
        <w:t>w</w:t>
      </w:r>
      <w:r w:rsidR="000D1774">
        <w:rPr>
          <w:rFonts w:eastAsia="AdvTimes"/>
          <w:bCs/>
          <w:lang w:val="en-US" w:eastAsia="hr-HR"/>
        </w:rPr>
        <w:t>ere</w:t>
      </w:r>
      <w:r w:rsidR="000D1774" w:rsidRPr="006D6EFA">
        <w:rPr>
          <w:rFonts w:eastAsia="AdvTimes"/>
          <w:bCs/>
          <w:lang w:val="en-US" w:eastAsia="hr-HR"/>
        </w:rPr>
        <w:t xml:space="preserve"> </w:t>
      </w:r>
      <w:r w:rsidRPr="006D6EFA">
        <w:rPr>
          <w:rFonts w:eastAsia="AdvTimes"/>
          <w:bCs/>
          <w:lang w:val="en-US" w:eastAsia="hr-HR"/>
        </w:rPr>
        <w:t xml:space="preserve">determined </w:t>
      </w:r>
      <w:r w:rsidR="0085646F">
        <w:rPr>
          <w:rFonts w:eastAsia="AdvTimes"/>
          <w:bCs/>
          <w:lang w:val="en-US" w:eastAsia="hr-HR"/>
        </w:rPr>
        <w:t xml:space="preserve">at the UV/Vis </w:t>
      </w:r>
      <w:r w:rsidR="0085646F" w:rsidRPr="0085646F">
        <w:rPr>
          <w:rFonts w:eastAsia="AdvTimes"/>
          <w:bCs/>
          <w:lang w:val="en-US" w:eastAsia="hr-HR"/>
        </w:rPr>
        <w:t>spectrophotometer</w:t>
      </w:r>
      <w:r w:rsidR="0085646F" w:rsidRPr="006D6EFA">
        <w:rPr>
          <w:rFonts w:eastAsia="AdvTimes"/>
          <w:bCs/>
          <w:lang w:val="en-US" w:eastAsia="hr-HR"/>
        </w:rPr>
        <w:t xml:space="preserve"> </w:t>
      </w:r>
      <w:r w:rsidRPr="00FA56AD">
        <w:rPr>
          <w:rFonts w:eastAsia="AdvTimes"/>
          <w:bCs/>
          <w:lang w:val="en-US" w:eastAsia="hr-HR"/>
        </w:rPr>
        <w:t>(Chargaff et al., 1953). CD experiments</w:t>
      </w:r>
      <w:r>
        <w:rPr>
          <w:rFonts w:eastAsia="AdvTimes"/>
          <w:bCs/>
          <w:lang w:val="en-US" w:eastAsia="hr-HR"/>
        </w:rPr>
        <w:t xml:space="preserve"> were </w:t>
      </w:r>
      <w:r w:rsidR="004723CC">
        <w:rPr>
          <w:rFonts w:eastAsia="AdvTimes"/>
          <w:bCs/>
          <w:lang w:val="en-US" w:eastAsia="hr-HR"/>
        </w:rPr>
        <w:t xml:space="preserve">carried out </w:t>
      </w:r>
      <w:r>
        <w:rPr>
          <w:rFonts w:eastAsia="AdvTimes"/>
          <w:bCs/>
          <w:lang w:val="en-US" w:eastAsia="hr-HR"/>
        </w:rPr>
        <w:t>at 25°</w:t>
      </w:r>
      <w:r w:rsidRPr="006D6EFA">
        <w:rPr>
          <w:rFonts w:eastAsia="AdvTimes"/>
          <w:bCs/>
          <w:lang w:val="en-US" w:eastAsia="hr-HR"/>
        </w:rPr>
        <w:t xml:space="preserve">C in buffer solution by adding </w:t>
      </w:r>
      <w:r w:rsidR="005805DE" w:rsidRPr="005805DE">
        <w:rPr>
          <w:rFonts w:eastAsia="AdvTimes"/>
          <w:bCs/>
          <w:highlight w:val="yellow"/>
          <w:lang w:val="en-US" w:eastAsia="hr-HR"/>
        </w:rPr>
        <w:t xml:space="preserve">aliquots </w:t>
      </w:r>
      <w:r w:rsidR="005805DE" w:rsidRPr="005805DE">
        <w:rPr>
          <w:rFonts w:eastAsia="AdvTimes"/>
          <w:bCs/>
          <w:highlight w:val="yellow"/>
          <w:lang w:val="hr-HR" w:eastAsia="hr-HR"/>
        </w:rPr>
        <w:t>of DMSO stock solutions of</w:t>
      </w:r>
      <w:r w:rsidR="005805DE">
        <w:rPr>
          <w:rFonts w:eastAsia="AdvTimes"/>
          <w:bCs/>
          <w:lang w:val="hr-HR" w:eastAsia="hr-HR"/>
        </w:rPr>
        <w:t xml:space="preserve"> </w:t>
      </w:r>
      <w:r w:rsidR="000D1774" w:rsidRPr="006D6EFA">
        <w:rPr>
          <w:rFonts w:eastAsia="AdvTimes"/>
          <w:bCs/>
          <w:lang w:val="en-US" w:eastAsia="hr-HR"/>
        </w:rPr>
        <w:t xml:space="preserve">extract or compound </w:t>
      </w:r>
      <w:r w:rsidRPr="006D6EFA">
        <w:rPr>
          <w:rFonts w:eastAsia="AdvTimes"/>
          <w:bCs/>
          <w:lang w:val="en-US" w:eastAsia="hr-HR"/>
        </w:rPr>
        <w:t xml:space="preserve">into the </w:t>
      </w:r>
      <w:r w:rsidR="000D1774" w:rsidRPr="006D6EFA">
        <w:rPr>
          <w:rFonts w:eastAsia="AdvTimes"/>
          <w:bCs/>
          <w:lang w:val="en-US" w:eastAsia="hr-HR"/>
        </w:rPr>
        <w:t>polynucleotide</w:t>
      </w:r>
      <w:r w:rsidR="00661887">
        <w:rPr>
          <w:rFonts w:eastAsia="AdvTimes"/>
          <w:bCs/>
          <w:lang w:val="en-US" w:eastAsia="hr-HR"/>
        </w:rPr>
        <w:t xml:space="preserve"> </w:t>
      </w:r>
      <w:r w:rsidRPr="006D6EFA">
        <w:rPr>
          <w:rFonts w:eastAsia="AdvTimes"/>
          <w:bCs/>
          <w:lang w:val="en-US" w:eastAsia="hr-HR"/>
        </w:rPr>
        <w:t>solution</w:t>
      </w:r>
      <w:r w:rsidR="005805DE">
        <w:rPr>
          <w:rFonts w:eastAsia="AdvTimes"/>
          <w:bCs/>
          <w:lang w:val="en-US" w:eastAsia="hr-HR"/>
        </w:rPr>
        <w:t xml:space="preserve"> (Supplementary)</w:t>
      </w:r>
      <w:r w:rsidR="00661887">
        <w:rPr>
          <w:rFonts w:eastAsia="AdvTimes"/>
          <w:bCs/>
          <w:lang w:val="en-US" w:eastAsia="hr-HR"/>
        </w:rPr>
        <w:t>.</w:t>
      </w:r>
      <w:r w:rsidRPr="006D6EFA">
        <w:rPr>
          <w:rFonts w:eastAsia="AdvTimes"/>
          <w:bCs/>
          <w:lang w:val="en-US" w:eastAsia="hr-HR"/>
        </w:rPr>
        <w:t xml:space="preserve"> </w:t>
      </w:r>
      <w:r w:rsidR="008343BB">
        <w:rPr>
          <w:rFonts w:eastAsia="AdvTimes"/>
          <w:bCs/>
          <w:lang w:val="en-US" w:eastAsia="hr-HR"/>
        </w:rPr>
        <w:t>Melting</w:t>
      </w:r>
      <w:r w:rsidRPr="006D6EFA">
        <w:rPr>
          <w:rFonts w:eastAsia="AdvTimes"/>
          <w:bCs/>
          <w:lang w:val="en-US" w:eastAsia="hr-HR"/>
        </w:rPr>
        <w:t xml:space="preserve"> </w:t>
      </w:r>
      <w:r w:rsidR="00D96D2C">
        <w:rPr>
          <w:rFonts w:eastAsia="AdvTimes"/>
          <w:bCs/>
          <w:lang w:val="en-US" w:eastAsia="hr-HR"/>
        </w:rPr>
        <w:t xml:space="preserve">(denaturation) </w:t>
      </w:r>
      <w:r w:rsidRPr="006D6EFA">
        <w:rPr>
          <w:rFonts w:eastAsia="AdvTimes"/>
          <w:bCs/>
          <w:lang w:val="en-US" w:eastAsia="hr-HR"/>
        </w:rPr>
        <w:t xml:space="preserve">curves for </w:t>
      </w:r>
      <w:r w:rsidR="008343BB" w:rsidRPr="00FA56AD">
        <w:rPr>
          <w:rFonts w:eastAsia="AdvTimes"/>
          <w:bCs/>
          <w:lang w:val="en-US" w:eastAsia="hr-HR"/>
        </w:rPr>
        <w:t xml:space="preserve">complexes </w:t>
      </w:r>
      <w:r w:rsidR="008343BB">
        <w:rPr>
          <w:rFonts w:eastAsia="AdvTimes"/>
          <w:bCs/>
          <w:lang w:val="en-US" w:eastAsia="hr-HR"/>
        </w:rPr>
        <w:t xml:space="preserve">of </w:t>
      </w:r>
      <w:r w:rsidRPr="006D6EFA">
        <w:rPr>
          <w:rFonts w:eastAsia="AdvTimes"/>
          <w:bCs/>
          <w:lang w:val="en-US" w:eastAsia="hr-HR"/>
        </w:rPr>
        <w:lastRenderedPageBreak/>
        <w:t xml:space="preserve">DNA, RNA </w:t>
      </w:r>
      <w:r w:rsidR="00661887">
        <w:rPr>
          <w:rFonts w:eastAsia="AdvTimes"/>
          <w:bCs/>
          <w:lang w:val="en-US" w:eastAsia="hr-HR"/>
        </w:rPr>
        <w:t>and</w:t>
      </w:r>
      <w:r w:rsidR="00661887" w:rsidRPr="00FA56AD">
        <w:rPr>
          <w:rFonts w:eastAsia="AdvTimes"/>
          <w:bCs/>
          <w:lang w:val="en-US" w:eastAsia="hr-HR"/>
        </w:rPr>
        <w:t xml:space="preserve"> </w:t>
      </w:r>
      <w:r w:rsidRPr="00FA56AD">
        <w:rPr>
          <w:rFonts w:eastAsia="AdvTimes"/>
          <w:bCs/>
          <w:lang w:val="en-US" w:eastAsia="hr-HR"/>
        </w:rPr>
        <w:t>studied extracts or compounds were determined (</w:t>
      </w:r>
      <w:r w:rsidR="00892B93" w:rsidRPr="005450E1">
        <w:rPr>
          <w:bCs/>
          <w:lang w:eastAsia="en-US"/>
        </w:rPr>
        <w:t xml:space="preserve">Mergny and </w:t>
      </w:r>
      <w:r w:rsidR="00892B93" w:rsidRPr="005450E1">
        <w:rPr>
          <w:noProof/>
        </w:rPr>
        <w:t>Lacroix</w:t>
      </w:r>
      <w:r w:rsidR="00892B93" w:rsidRPr="005450E1">
        <w:rPr>
          <w:bCs/>
          <w:lang w:eastAsia="en-US"/>
        </w:rPr>
        <w:t>, 2003</w:t>
      </w:r>
      <w:r w:rsidRPr="006D6EFA">
        <w:rPr>
          <w:rFonts w:eastAsia="AdvTimes"/>
          <w:bCs/>
          <w:lang w:val="en-US" w:eastAsia="hr-HR"/>
        </w:rPr>
        <w:t xml:space="preserve">) by </w:t>
      </w:r>
      <w:r w:rsidR="008343BB">
        <w:rPr>
          <w:rFonts w:eastAsia="AdvTimes"/>
          <w:bCs/>
          <w:lang w:val="en-US" w:eastAsia="hr-HR"/>
        </w:rPr>
        <w:t>monitoring</w:t>
      </w:r>
      <w:r w:rsidR="008343BB" w:rsidRPr="006D6EFA">
        <w:rPr>
          <w:rFonts w:eastAsia="AdvTimes"/>
          <w:bCs/>
          <w:lang w:val="en-US" w:eastAsia="hr-HR"/>
        </w:rPr>
        <w:t xml:space="preserve"> </w:t>
      </w:r>
      <w:r w:rsidRPr="006D6EFA">
        <w:rPr>
          <w:rFonts w:eastAsia="AdvTimes"/>
          <w:bCs/>
          <w:lang w:val="en-US" w:eastAsia="hr-HR"/>
        </w:rPr>
        <w:t xml:space="preserve">the absorption change at 260 nm as a </w:t>
      </w:r>
      <w:r w:rsidR="0085646F" w:rsidRPr="006D6EFA">
        <w:rPr>
          <w:rFonts w:eastAsia="AdvTimes"/>
          <w:bCs/>
          <w:lang w:val="en-US" w:eastAsia="hr-HR"/>
        </w:rPr>
        <w:t xml:space="preserve">temperature </w:t>
      </w:r>
      <w:r w:rsidRPr="006D6EFA">
        <w:rPr>
          <w:rFonts w:eastAsia="AdvTimes"/>
          <w:bCs/>
          <w:lang w:val="en-US" w:eastAsia="hr-HR"/>
        </w:rPr>
        <w:t xml:space="preserve">function </w:t>
      </w:r>
      <w:r w:rsidR="00D96D2C">
        <w:rPr>
          <w:rFonts w:eastAsia="AdvTimes"/>
          <w:bCs/>
          <w:lang w:val="en-US" w:eastAsia="hr-HR"/>
        </w:rPr>
        <w:t>(</w:t>
      </w:r>
      <w:r w:rsidR="00D96D2C" w:rsidRPr="00D96D2C">
        <w:rPr>
          <w:rFonts w:eastAsia="AdvTimes"/>
          <w:bCs/>
          <w:lang w:val="en-US" w:eastAsia="hr-HR"/>
        </w:rPr>
        <w:t>from 25 – 100°C</w:t>
      </w:r>
      <w:r w:rsidR="00D96D2C">
        <w:rPr>
          <w:rFonts w:eastAsia="AdvTimes"/>
          <w:bCs/>
          <w:lang w:val="en-US" w:eastAsia="hr-HR"/>
        </w:rPr>
        <w:t>)</w:t>
      </w:r>
      <w:r w:rsidRPr="006D6EFA">
        <w:rPr>
          <w:rFonts w:eastAsia="AdvTimes"/>
          <w:bCs/>
          <w:lang w:val="en-US" w:eastAsia="hr-HR"/>
        </w:rPr>
        <w:t xml:space="preserve">. </w:t>
      </w:r>
      <w:r w:rsidR="0085646F">
        <w:rPr>
          <w:rFonts w:eastAsia="AdvTimes"/>
          <w:bCs/>
          <w:lang w:val="en-US" w:eastAsia="hr-HR"/>
        </w:rPr>
        <w:t>Extract or compound a</w:t>
      </w:r>
      <w:r w:rsidRPr="006D6EFA">
        <w:rPr>
          <w:rFonts w:eastAsia="AdvTimes"/>
          <w:bCs/>
          <w:lang w:val="en-US" w:eastAsia="hr-HR"/>
        </w:rPr>
        <w:t xml:space="preserve">bsorbance was subtracted from </w:t>
      </w:r>
      <w:r w:rsidR="0085646F">
        <w:rPr>
          <w:rFonts w:eastAsia="AdvTimes"/>
          <w:bCs/>
          <w:lang w:val="en-US" w:eastAsia="hr-HR"/>
        </w:rPr>
        <w:t>each</w:t>
      </w:r>
      <w:r w:rsidR="0085646F" w:rsidRPr="006D6EFA">
        <w:rPr>
          <w:rFonts w:eastAsia="AdvTimes"/>
          <w:bCs/>
          <w:lang w:val="en-US" w:eastAsia="hr-HR"/>
        </w:rPr>
        <w:t xml:space="preserve"> </w:t>
      </w:r>
      <w:r w:rsidRPr="006D6EFA">
        <w:rPr>
          <w:rFonts w:eastAsia="AdvTimes"/>
          <w:bCs/>
          <w:lang w:val="en-US" w:eastAsia="hr-HR"/>
        </w:rPr>
        <w:t>curve</w:t>
      </w:r>
      <w:r w:rsidR="0085646F">
        <w:rPr>
          <w:rFonts w:eastAsia="AdvTimes"/>
          <w:bCs/>
          <w:lang w:val="en-US" w:eastAsia="hr-HR"/>
        </w:rPr>
        <w:t>.</w:t>
      </w:r>
      <w:r w:rsidRPr="006D6EFA">
        <w:rPr>
          <w:rFonts w:eastAsia="AdvTimes"/>
          <w:bCs/>
          <w:lang w:val="en-US" w:eastAsia="hr-HR"/>
        </w:rPr>
        <w:t xml:space="preserve"> T</w:t>
      </w:r>
      <w:r w:rsidRPr="00DD72C0">
        <w:rPr>
          <w:rFonts w:eastAsia="AdvTimes"/>
          <w:bCs/>
          <w:vertAlign w:val="subscript"/>
          <w:lang w:val="en-US" w:eastAsia="hr-HR"/>
        </w:rPr>
        <w:t>m</w:t>
      </w:r>
      <w:r w:rsidRPr="006D6EFA">
        <w:rPr>
          <w:rFonts w:eastAsia="AdvTimes"/>
          <w:bCs/>
          <w:lang w:val="en-US" w:eastAsia="hr-HR"/>
        </w:rPr>
        <w:t xml:space="preserve"> (melting temperature) values </w:t>
      </w:r>
      <w:r w:rsidR="001733BB">
        <w:rPr>
          <w:rFonts w:eastAsia="AdvTimes"/>
          <w:bCs/>
          <w:lang w:val="en-US" w:eastAsia="hr-HR"/>
        </w:rPr>
        <w:t>were</w:t>
      </w:r>
      <w:r w:rsidR="001733BB" w:rsidRPr="006D6EFA">
        <w:rPr>
          <w:rFonts w:eastAsia="AdvTimes"/>
          <w:bCs/>
          <w:lang w:val="en-US" w:eastAsia="hr-HR"/>
        </w:rPr>
        <w:t xml:space="preserve"> </w:t>
      </w:r>
      <w:r w:rsidR="00967D2E" w:rsidRPr="006D6EFA">
        <w:rPr>
          <w:rFonts w:eastAsia="AdvTimes"/>
          <w:bCs/>
          <w:lang w:val="en-US" w:eastAsia="hr-HR"/>
        </w:rPr>
        <w:t xml:space="preserve">determined </w:t>
      </w:r>
      <w:r w:rsidRPr="006D6EFA">
        <w:rPr>
          <w:rFonts w:eastAsia="AdvTimes"/>
          <w:bCs/>
          <w:lang w:val="en-US" w:eastAsia="hr-HR"/>
        </w:rPr>
        <w:t>from</w:t>
      </w:r>
      <w:r w:rsidR="001733BB">
        <w:rPr>
          <w:rFonts w:eastAsia="AdvTimes"/>
          <w:bCs/>
          <w:lang w:val="en-US" w:eastAsia="hr-HR"/>
        </w:rPr>
        <w:t xml:space="preserve"> </w:t>
      </w:r>
      <w:r w:rsidRPr="006D6EFA">
        <w:rPr>
          <w:rFonts w:eastAsia="AdvTimes"/>
          <w:bCs/>
          <w:lang w:val="en-US" w:eastAsia="hr-HR"/>
        </w:rPr>
        <w:t xml:space="preserve">the </w:t>
      </w:r>
      <w:r w:rsidR="001733BB" w:rsidRPr="006D6EFA">
        <w:rPr>
          <w:rFonts w:eastAsia="AdvTimes"/>
          <w:bCs/>
          <w:lang w:val="en-US" w:eastAsia="hr-HR"/>
        </w:rPr>
        <w:t xml:space="preserve">maximum </w:t>
      </w:r>
      <w:r w:rsidR="001733BB">
        <w:rPr>
          <w:rFonts w:eastAsia="AdvTimes"/>
          <w:bCs/>
          <w:lang w:val="en-US" w:eastAsia="hr-HR"/>
        </w:rPr>
        <w:t>of</w:t>
      </w:r>
      <w:r w:rsidR="001733BB" w:rsidRPr="006D6EFA">
        <w:rPr>
          <w:rFonts w:eastAsia="AdvTimes"/>
          <w:bCs/>
          <w:lang w:val="en-US" w:eastAsia="hr-HR"/>
        </w:rPr>
        <w:t xml:space="preserve"> </w:t>
      </w:r>
      <w:r w:rsidR="001733BB">
        <w:rPr>
          <w:rFonts w:eastAsia="AdvTimes"/>
          <w:bCs/>
          <w:lang w:val="en-US" w:eastAsia="hr-HR"/>
        </w:rPr>
        <w:t>the</w:t>
      </w:r>
      <w:r w:rsidR="001733BB" w:rsidRPr="006D6EFA">
        <w:rPr>
          <w:rFonts w:eastAsia="AdvTimes"/>
          <w:bCs/>
          <w:lang w:val="en-US" w:eastAsia="hr-HR"/>
        </w:rPr>
        <w:t xml:space="preserve"> </w:t>
      </w:r>
      <w:r w:rsidR="00967D2E" w:rsidRPr="006D6EFA">
        <w:rPr>
          <w:rFonts w:eastAsia="AdvTimes"/>
          <w:bCs/>
          <w:lang w:val="en-US" w:eastAsia="hr-HR"/>
        </w:rPr>
        <w:t>first derivative</w:t>
      </w:r>
      <w:r w:rsidR="008343BB">
        <w:rPr>
          <w:rFonts w:eastAsia="AdvTimes"/>
          <w:bCs/>
          <w:lang w:val="en-US" w:eastAsia="hr-HR"/>
        </w:rPr>
        <w:t>.</w:t>
      </w:r>
      <w:r w:rsidR="002C2468">
        <w:rPr>
          <w:rFonts w:eastAsia="AdvTimes"/>
          <w:bCs/>
          <w:lang w:val="en-US" w:eastAsia="hr-HR"/>
        </w:rPr>
        <w:t xml:space="preserve"> </w:t>
      </w:r>
      <w:r w:rsidRPr="006D6EFA">
        <w:rPr>
          <w:rFonts w:eastAsia="AdvTimes"/>
          <w:bCs/>
          <w:lang w:val="en-US" w:eastAsia="hr-HR"/>
        </w:rPr>
        <w:t>ΔT</w:t>
      </w:r>
      <w:r w:rsidRPr="00DD72C0">
        <w:rPr>
          <w:rFonts w:eastAsia="AdvTimes"/>
          <w:bCs/>
          <w:vertAlign w:val="subscript"/>
          <w:lang w:val="en-US" w:eastAsia="hr-HR"/>
        </w:rPr>
        <w:t xml:space="preserve">m </w:t>
      </w:r>
      <w:r w:rsidRPr="006D6EFA">
        <w:rPr>
          <w:rFonts w:eastAsia="AdvTimes"/>
          <w:bCs/>
          <w:lang w:val="en-US" w:eastAsia="hr-HR"/>
        </w:rPr>
        <w:t xml:space="preserve">value </w:t>
      </w:r>
      <w:r w:rsidR="00752912">
        <w:rPr>
          <w:rFonts w:eastAsia="AdvTimes"/>
          <w:bCs/>
          <w:lang w:val="en-US" w:eastAsia="hr-HR"/>
        </w:rPr>
        <w:t xml:space="preserve">is a </w:t>
      </w:r>
      <w:r w:rsidR="00524688" w:rsidRPr="00524688">
        <w:rPr>
          <w:rFonts w:eastAsia="AdvTimes"/>
          <w:bCs/>
          <w:lang w:val="en-US" w:eastAsia="hr-HR"/>
        </w:rPr>
        <w:t xml:space="preserve">difference between melting temperature values of free polynucleotide and a complex with </w:t>
      </w:r>
      <w:r w:rsidR="00061529">
        <w:rPr>
          <w:rFonts w:eastAsia="AdvTimes"/>
          <w:bCs/>
          <w:lang w:val="en-US" w:eastAsia="hr-HR"/>
        </w:rPr>
        <w:t>compound</w:t>
      </w:r>
      <w:r w:rsidR="00524688">
        <w:rPr>
          <w:rFonts w:eastAsia="AdvTimes"/>
          <w:bCs/>
          <w:lang w:val="en-US" w:eastAsia="hr-HR"/>
        </w:rPr>
        <w:t xml:space="preserve"> </w:t>
      </w:r>
      <w:r w:rsidR="00752912">
        <w:rPr>
          <w:rFonts w:eastAsia="AdvTimes"/>
          <w:bCs/>
          <w:lang w:val="en-US" w:eastAsia="hr-HR"/>
        </w:rPr>
        <w:t>(</w:t>
      </w:r>
      <w:r w:rsidRPr="006D6EFA">
        <w:rPr>
          <w:rFonts w:eastAsia="AdvTimes"/>
          <w:bCs/>
          <w:lang w:val="en-US" w:eastAsia="hr-HR"/>
        </w:rPr>
        <w:t>the average of two measurements</w:t>
      </w:r>
      <w:r w:rsidR="00752912">
        <w:rPr>
          <w:rFonts w:eastAsia="AdvTimes"/>
          <w:bCs/>
          <w:lang w:val="en-US" w:eastAsia="hr-HR"/>
        </w:rPr>
        <w:t>)</w:t>
      </w:r>
      <w:r w:rsidRPr="006D6EFA">
        <w:rPr>
          <w:rFonts w:eastAsia="AdvTimes"/>
          <w:bCs/>
          <w:lang w:val="en-US" w:eastAsia="hr-HR"/>
        </w:rPr>
        <w:t xml:space="preserve">. </w:t>
      </w:r>
      <w:r w:rsidRPr="00564067">
        <w:rPr>
          <w:rFonts w:eastAsia="AdvTimes"/>
          <w:lang w:eastAsia="hr-HR"/>
        </w:rPr>
        <w:t xml:space="preserve"> </w:t>
      </w:r>
    </w:p>
    <w:p w14:paraId="79CEB095" w14:textId="77777777" w:rsidR="00824E31" w:rsidRPr="006D11E6" w:rsidRDefault="00824E31" w:rsidP="00281428">
      <w:pPr>
        <w:rPr>
          <w:bCs/>
          <w:i/>
          <w:lang w:eastAsia="en-US"/>
        </w:rPr>
      </w:pPr>
    </w:p>
    <w:p w14:paraId="0959320D" w14:textId="77777777" w:rsidR="00824E31" w:rsidRPr="00FC02E1" w:rsidRDefault="00824E31" w:rsidP="00281428">
      <w:pPr>
        <w:rPr>
          <w:lang w:eastAsia="en-US"/>
        </w:rPr>
      </w:pPr>
    </w:p>
    <w:p w14:paraId="3DE1E22E" w14:textId="77777777" w:rsidR="00824E31" w:rsidRDefault="00824E31" w:rsidP="00281428">
      <w:pPr>
        <w:rPr>
          <w:b/>
        </w:rPr>
      </w:pPr>
    </w:p>
    <w:p w14:paraId="1DAEE72A" w14:textId="77777777" w:rsidR="00824E31" w:rsidRDefault="00824E31" w:rsidP="0096290C">
      <w:pPr>
        <w:numPr>
          <w:ilvl w:val="0"/>
          <w:numId w:val="4"/>
        </w:numPr>
        <w:rPr>
          <w:b/>
        </w:rPr>
      </w:pPr>
      <w:r>
        <w:rPr>
          <w:b/>
        </w:rPr>
        <w:t>Results and d</w:t>
      </w:r>
      <w:r w:rsidRPr="00CB4D6A">
        <w:rPr>
          <w:b/>
        </w:rPr>
        <w:t xml:space="preserve">iscussion </w:t>
      </w:r>
    </w:p>
    <w:p w14:paraId="59E6F1AD" w14:textId="77777777" w:rsidR="00824E31" w:rsidRDefault="00824E31" w:rsidP="00281428">
      <w:pPr>
        <w:rPr>
          <w:b/>
        </w:rPr>
      </w:pPr>
    </w:p>
    <w:p w14:paraId="0BD25544" w14:textId="77777777" w:rsidR="00824E31" w:rsidRDefault="00824E31" w:rsidP="0096290C">
      <w:pPr>
        <w:numPr>
          <w:ilvl w:val="1"/>
          <w:numId w:val="4"/>
        </w:numPr>
        <w:rPr>
          <w:i/>
        </w:rPr>
      </w:pPr>
      <w:r>
        <w:rPr>
          <w:i/>
        </w:rPr>
        <w:t xml:space="preserve">Green </w:t>
      </w:r>
      <w:r w:rsidRPr="00F9140F">
        <w:rPr>
          <w:i/>
        </w:rPr>
        <w:t>polyphenolic extracts</w:t>
      </w:r>
      <w:r>
        <w:rPr>
          <w:i/>
        </w:rPr>
        <w:t xml:space="preserve"> </w:t>
      </w:r>
      <w:r w:rsidRPr="00F9140F">
        <w:rPr>
          <w:i/>
        </w:rPr>
        <w:t xml:space="preserve">preparation and characterisation </w:t>
      </w:r>
    </w:p>
    <w:p w14:paraId="1F1DB5E5" w14:textId="77777777" w:rsidR="00824E31" w:rsidRPr="007B5B81" w:rsidRDefault="00824E31" w:rsidP="00281428">
      <w:pPr>
        <w:rPr>
          <w:b/>
        </w:rPr>
      </w:pPr>
    </w:p>
    <w:p w14:paraId="51D7E1C4" w14:textId="77777777" w:rsidR="00824E31" w:rsidRDefault="00824E31" w:rsidP="0028644F">
      <w:pPr>
        <w:shd w:val="clear" w:color="auto" w:fill="FFFFFF"/>
        <w:autoSpaceDE w:val="0"/>
        <w:autoSpaceDN w:val="0"/>
        <w:adjustRightInd w:val="0"/>
        <w:spacing w:line="480" w:lineRule="auto"/>
        <w:jc w:val="both"/>
      </w:pPr>
      <w:r w:rsidRPr="0046213A">
        <w:rPr>
          <w:bCs/>
          <w:lang w:eastAsia="en-US"/>
        </w:rPr>
        <w:t>Considering the principles of green extraction (Chemat et al., 2012), polyphenols from food-by-products (principle 1) were extracted with NADES (principle 2) under simultaneously microwave and ultrasound condition (principle 3). Based on our preliminary work and the literature (Radošević et al., 2016.; Cvjetko Bubalo et al., 2018), ChCit was selected as exaction solvent for extraction of polyphenolics from grape and olive pomace. ChCit</w:t>
      </w:r>
      <w:r w:rsidRPr="00DF40A3">
        <w:rPr>
          <w:bCs/>
          <w:lang w:eastAsia="en-US"/>
        </w:rPr>
        <w:t xml:space="preserve"> possess physicochemical characteristic desirable for extraction processes such as low pH value as well as polarity similar to polarity of water and polar organic solvents commonly used for extraction of polyphenolic compounds (ethanol and methanol) </w:t>
      </w:r>
      <w:r w:rsidRPr="00F9140F">
        <w:rPr>
          <w:bCs/>
          <w:lang w:eastAsia="en-US"/>
        </w:rPr>
        <w:t xml:space="preserve">(Ruesgas –Ramón et al., 2017). </w:t>
      </w:r>
      <w:r w:rsidRPr="00F9140F">
        <w:t xml:space="preserve"> </w:t>
      </w:r>
      <w:r w:rsidRPr="00F9140F">
        <w:rPr>
          <w:bCs/>
          <w:lang w:eastAsia="en-US"/>
        </w:rPr>
        <w:t xml:space="preserve">Extraction </w:t>
      </w:r>
      <w:r w:rsidRPr="0008408D">
        <w:rPr>
          <w:bCs/>
          <w:lang w:eastAsia="en-US"/>
        </w:rPr>
        <w:t>was performed by ChCit with 30% of water added, what leads to decreased viscosity of NADES, enhancement of the mass transfer from plant matrices to a solution and consequently increase in the extraction efficiency (</w:t>
      </w:r>
      <w:r w:rsidRPr="00F9140F">
        <w:rPr>
          <w:bCs/>
          <w:lang w:eastAsia="en-US"/>
        </w:rPr>
        <w:t>Cvjetko Bubalo et al., 201</w:t>
      </w:r>
      <w:r w:rsidR="00AC1706">
        <w:rPr>
          <w:bCs/>
          <w:lang w:eastAsia="en-US"/>
        </w:rPr>
        <w:t>8</w:t>
      </w:r>
      <w:r w:rsidRPr="0008408D">
        <w:rPr>
          <w:bCs/>
          <w:lang w:eastAsia="en-US"/>
        </w:rPr>
        <w:t>).</w:t>
      </w:r>
      <w:r w:rsidRPr="00F9140F">
        <w:rPr>
          <w:bCs/>
          <w:lang w:eastAsia="en-US"/>
        </w:rPr>
        <w:t xml:space="preserve"> </w:t>
      </w:r>
      <w:r w:rsidRPr="0008408D">
        <w:rPr>
          <w:bCs/>
          <w:lang w:eastAsia="en-US"/>
        </w:rPr>
        <w:t xml:space="preserve">Furthermore, selected choline based NADES having organic acid as HBD is interesting due to biological activity of forming compounds itself (choline and citric acid) which probably could enhance biological activity of plant extracts as well </w:t>
      </w:r>
      <w:r w:rsidRPr="00F9140F">
        <w:rPr>
          <w:bCs/>
          <w:lang w:eastAsia="en-US"/>
        </w:rPr>
        <w:t>(Radošević et al., 201</w:t>
      </w:r>
      <w:r w:rsidRPr="005140DB">
        <w:rPr>
          <w:bCs/>
          <w:lang w:eastAsia="en-US"/>
        </w:rPr>
        <w:t>6; Nam, et al., 2015).</w:t>
      </w:r>
      <w:r>
        <w:rPr>
          <w:bCs/>
          <w:lang w:eastAsia="en-US"/>
        </w:rPr>
        <w:t xml:space="preserve"> </w:t>
      </w:r>
      <w:r w:rsidRPr="00912F83">
        <w:t xml:space="preserve">Choline is </w:t>
      </w:r>
      <w:r w:rsidRPr="00912F83">
        <w:rPr>
          <w:rStyle w:val="fontstyle01"/>
          <w:sz w:val="24"/>
          <w:szCs w:val="24"/>
        </w:rPr>
        <w:t xml:space="preserve">essential component of the human diet that </w:t>
      </w:r>
      <w:r>
        <w:rPr>
          <w:rStyle w:val="fontstyle01"/>
          <w:sz w:val="24"/>
          <w:szCs w:val="24"/>
        </w:rPr>
        <w:t>is necessary for synthases of acetylcholine, membrane and signalling phospholipid, and functions as important methyl donor (</w:t>
      </w:r>
      <w:r w:rsidRPr="00B66067">
        <w:rPr>
          <w:rStyle w:val="fontstyle01"/>
          <w:color w:val="auto"/>
          <w:sz w:val="24"/>
          <w:szCs w:val="24"/>
        </w:rPr>
        <w:t>Awwad et al., 2012</w:t>
      </w:r>
      <w:r>
        <w:rPr>
          <w:rStyle w:val="fontstyle01"/>
          <w:sz w:val="24"/>
          <w:szCs w:val="24"/>
        </w:rPr>
        <w:t xml:space="preserve">). A few </w:t>
      </w:r>
      <w:r>
        <w:rPr>
          <w:rStyle w:val="fontstyle01"/>
          <w:sz w:val="24"/>
          <w:szCs w:val="24"/>
        </w:rPr>
        <w:lastRenderedPageBreak/>
        <w:t xml:space="preserve">studies observed positive association between the dietary choline intake or plasma concentration and risk of some types of cancer </w:t>
      </w:r>
      <w:r w:rsidRPr="001F463E">
        <w:rPr>
          <w:rStyle w:val="fontstyle01"/>
          <w:sz w:val="24"/>
          <w:szCs w:val="24"/>
        </w:rPr>
        <w:t>(</w:t>
      </w:r>
      <w:r w:rsidR="00910E65" w:rsidRPr="001F463E">
        <w:rPr>
          <w:rStyle w:val="fontstyle21"/>
          <w:noProof/>
        </w:rPr>
        <w:t>Xu et al., 2009;</w:t>
      </w:r>
      <w:r w:rsidR="001F463E" w:rsidRPr="001F463E">
        <w:rPr>
          <w:rStyle w:val="fontstyle21"/>
          <w:noProof/>
        </w:rPr>
        <w:t xml:space="preserve"> Zeisel, 2012</w:t>
      </w:r>
      <w:r w:rsidRPr="001F463E">
        <w:rPr>
          <w:rStyle w:val="fontstyle01"/>
          <w:sz w:val="24"/>
          <w:szCs w:val="24"/>
        </w:rPr>
        <w:t>).</w:t>
      </w:r>
      <w:r>
        <w:rPr>
          <w:rStyle w:val="fontstyle01"/>
          <w:sz w:val="24"/>
          <w:szCs w:val="24"/>
        </w:rPr>
        <w:t xml:space="preserve"> The recommended daily requirement for choline </w:t>
      </w:r>
      <w:r w:rsidR="00D57216">
        <w:rPr>
          <w:rStyle w:val="fontstyle01"/>
          <w:sz w:val="24"/>
          <w:szCs w:val="24"/>
        </w:rPr>
        <w:t>has</w:t>
      </w:r>
      <w:r>
        <w:rPr>
          <w:rStyle w:val="fontstyle01"/>
          <w:sz w:val="24"/>
          <w:szCs w:val="24"/>
        </w:rPr>
        <w:t xml:space="preserve"> been set to 550 mg</w:t>
      </w:r>
      <w:r w:rsidR="00B8688F">
        <w:rPr>
          <w:rStyle w:val="fontstyle01"/>
          <w:sz w:val="24"/>
          <w:szCs w:val="24"/>
        </w:rPr>
        <w:t xml:space="preserve"> </w:t>
      </w:r>
      <w:r>
        <w:rPr>
          <w:rStyle w:val="fontstyle01"/>
          <w:sz w:val="24"/>
          <w:szCs w:val="24"/>
        </w:rPr>
        <w:t xml:space="preserve">/day and 425 mg /day for non-pregnant </w:t>
      </w:r>
      <w:r w:rsidRPr="00B8688F">
        <w:rPr>
          <w:rStyle w:val="fontstyle01"/>
          <w:sz w:val="24"/>
          <w:szCs w:val="24"/>
        </w:rPr>
        <w:t>women</w:t>
      </w:r>
      <w:r>
        <w:rPr>
          <w:rStyle w:val="fontstyle01"/>
          <w:sz w:val="24"/>
          <w:szCs w:val="24"/>
        </w:rPr>
        <w:t xml:space="preserve">. </w:t>
      </w:r>
      <w:r w:rsidRPr="0070462D">
        <w:t>The daily upper limit</w:t>
      </w:r>
      <w:r>
        <w:t xml:space="preserve"> for adults is 3,500 mg per day which</w:t>
      </w:r>
      <w:r w:rsidRPr="0070462D">
        <w:t xml:space="preserve"> is the highest level of intake that is unlikely to cause harm</w:t>
      </w:r>
      <w:r>
        <w:t xml:space="preserve"> </w:t>
      </w:r>
      <w:r w:rsidR="00B8688F">
        <w:t>(</w:t>
      </w:r>
      <w:r w:rsidR="00B8688F" w:rsidRPr="00B8688F">
        <w:t>U.S. Food and Drug Administration, 2018</w:t>
      </w:r>
      <w:r w:rsidR="00B8688F" w:rsidRPr="00B8688F">
        <w:rPr>
          <w:rStyle w:val="fontstyle01"/>
          <w:sz w:val="24"/>
          <w:szCs w:val="24"/>
        </w:rPr>
        <w:t>)</w:t>
      </w:r>
      <w:r w:rsidR="00B8688F">
        <w:rPr>
          <w:rStyle w:val="fontstyle01"/>
          <w:sz w:val="24"/>
          <w:szCs w:val="24"/>
        </w:rPr>
        <w:t>.</w:t>
      </w:r>
      <w:r>
        <w:t xml:space="preserve"> Similar, citric acid also possess various interesting biological activity including antioxidant, anti-inflammatory and antitumor effects (</w:t>
      </w:r>
      <w:r w:rsidRPr="008A15C4">
        <w:t>Chen et al., 2017</w:t>
      </w:r>
      <w:r>
        <w:t>). Citric acid is found in large quantity in many fruits and vegetables especially in citrus fruits and it is common food and drink additive widely used by food industry as chemical acidifier, flavouring agent and a preservative (</w:t>
      </w:r>
      <w:r w:rsidR="008A15C4" w:rsidRPr="008A15C4">
        <w:t xml:space="preserve">Yoshikawa </w:t>
      </w:r>
      <w:r w:rsidR="008A15C4">
        <w:t>et al., 2011).</w:t>
      </w:r>
      <w:r>
        <w:t xml:space="preserve"> It is general consider natural and healthy and for example, the Food and Drug Administration (FDA) does not pose limit for citric acid addition in </w:t>
      </w:r>
      <w:r w:rsidRPr="0046213A">
        <w:t>food and drinks.</w:t>
      </w:r>
      <w:r w:rsidRPr="0046213A">
        <w:rPr>
          <w:rFonts w:ascii="WarnockPro-Regular" w:hAnsi="WarnockPro-Regular"/>
        </w:rPr>
        <w:t xml:space="preserve"> </w:t>
      </w:r>
      <w:r w:rsidRPr="0046213A">
        <w:t>However, to evaluate the NADES as possible replacements for conventional solvents, the ChCit extracts from grape and olive pomace were characterized and compared with those obtained with an aqueous solution of ethanol (70%, v/v) (Table 1) (</w:t>
      </w:r>
      <w:r w:rsidRPr="00EC7B32">
        <w:t>Teixiera et al., 2014</w:t>
      </w:r>
      <w:r w:rsidRPr="0046213A">
        <w:t>).</w:t>
      </w:r>
    </w:p>
    <w:p w14:paraId="61FCF24B" w14:textId="77777777" w:rsidR="00CD28E0" w:rsidRDefault="00CD28E0" w:rsidP="0028644F">
      <w:pPr>
        <w:shd w:val="clear" w:color="auto" w:fill="FFFFFF"/>
        <w:autoSpaceDE w:val="0"/>
        <w:autoSpaceDN w:val="0"/>
        <w:adjustRightInd w:val="0"/>
        <w:spacing w:line="480" w:lineRule="auto"/>
        <w:jc w:val="both"/>
        <w:rPr>
          <w:bCs/>
          <w:lang w:eastAsia="en-US"/>
        </w:rPr>
      </w:pPr>
    </w:p>
    <w:p w14:paraId="3FE81C22" w14:textId="77777777" w:rsidR="00CD28E0" w:rsidRPr="00AC1DD6" w:rsidRDefault="00CD28E0" w:rsidP="00CD28E0">
      <w:r>
        <w:t>[</w:t>
      </w:r>
      <w:r w:rsidRPr="00AC1DD6">
        <w:t>Table 1</w:t>
      </w:r>
      <w:r>
        <w:t xml:space="preserve"> near here]</w:t>
      </w:r>
      <w:r w:rsidRPr="00AC1DD6">
        <w:t xml:space="preserve"> </w:t>
      </w:r>
    </w:p>
    <w:p w14:paraId="468C2BFA" w14:textId="77777777" w:rsidR="00CD28E0" w:rsidRPr="0046213A" w:rsidRDefault="00CD28E0" w:rsidP="0028644F">
      <w:pPr>
        <w:shd w:val="clear" w:color="auto" w:fill="FFFFFF"/>
        <w:autoSpaceDE w:val="0"/>
        <w:autoSpaceDN w:val="0"/>
        <w:adjustRightInd w:val="0"/>
        <w:spacing w:line="480" w:lineRule="auto"/>
        <w:jc w:val="both"/>
        <w:rPr>
          <w:bCs/>
          <w:lang w:eastAsia="en-US"/>
        </w:rPr>
      </w:pPr>
    </w:p>
    <w:p w14:paraId="0A7FF7AE" w14:textId="77777777" w:rsidR="009525B9" w:rsidRPr="006C1B57" w:rsidRDefault="00CB32AA" w:rsidP="006C1B57">
      <w:pPr>
        <w:shd w:val="clear" w:color="auto" w:fill="FFFFFF"/>
        <w:autoSpaceDE w:val="0"/>
        <w:autoSpaceDN w:val="0"/>
        <w:adjustRightInd w:val="0"/>
        <w:spacing w:line="480" w:lineRule="auto"/>
        <w:jc w:val="both"/>
        <w:rPr>
          <w:bCs/>
          <w:lang w:eastAsia="en-US"/>
        </w:rPr>
      </w:pPr>
      <w:r w:rsidRPr="008C671C">
        <w:rPr>
          <w:lang w:eastAsia="en-US"/>
        </w:rPr>
        <w:t xml:space="preserve">In general, considering solvent </w:t>
      </w:r>
      <w:r w:rsidR="00CB3A02" w:rsidRPr="00CB3A02">
        <w:rPr>
          <w:lang w:eastAsia="en-US"/>
        </w:rPr>
        <w:t>extract</w:t>
      </w:r>
      <w:r w:rsidR="00281FBD">
        <w:rPr>
          <w:lang w:eastAsia="en-US"/>
        </w:rPr>
        <w:t>i</w:t>
      </w:r>
      <w:r w:rsidR="00CB3A02" w:rsidRPr="00CB3A02">
        <w:rPr>
          <w:lang w:eastAsia="en-US"/>
        </w:rPr>
        <w:t>bility</w:t>
      </w:r>
      <w:r w:rsidRPr="008C671C">
        <w:rPr>
          <w:lang w:eastAsia="en-US"/>
        </w:rPr>
        <w:t>, better extraction efficiency of polyphenols from both pomaces was obtained with NADES ChCit.</w:t>
      </w:r>
      <w:r w:rsidR="00EC7B32" w:rsidRPr="008C671C">
        <w:rPr>
          <w:lang w:eastAsia="en-US"/>
        </w:rPr>
        <w:t xml:space="preserve"> </w:t>
      </w:r>
      <w:r w:rsidR="009525B9" w:rsidRPr="008C671C">
        <w:rPr>
          <w:lang w:eastAsia="en-US"/>
        </w:rPr>
        <w:t>In grape pomaces extracts several polyphenolic compounds were identified and quantified including anthocyanins, gallic acid, (+)-catechin and quercetin-3-</w:t>
      </w:r>
      <w:r w:rsidR="009525B9" w:rsidRPr="008C671C">
        <w:rPr>
          <w:i/>
          <w:lang w:eastAsia="en-US"/>
        </w:rPr>
        <w:t>O</w:t>
      </w:r>
      <w:r w:rsidR="009525B9" w:rsidRPr="008C671C">
        <w:rPr>
          <w:lang w:eastAsia="en-US"/>
        </w:rPr>
        <w:t>-glucoside</w:t>
      </w:r>
      <w:r w:rsidR="008C671C" w:rsidRPr="008C671C">
        <w:rPr>
          <w:lang w:eastAsia="en-US"/>
        </w:rPr>
        <w:t>, with the highest content of anthocyanins</w:t>
      </w:r>
      <w:r w:rsidR="009525B9" w:rsidRPr="008C671C">
        <w:rPr>
          <w:lang w:eastAsia="en-US"/>
        </w:rPr>
        <w:t xml:space="preserve">. Obtained polyphenol profile in grape pomace extracts was in good agreement with previous studies (Teixiera et al., 2014). </w:t>
      </w:r>
      <w:r w:rsidR="00EC7B32" w:rsidRPr="008C671C">
        <w:rPr>
          <w:lang w:eastAsia="en-US"/>
        </w:rPr>
        <w:t xml:space="preserve">In </w:t>
      </w:r>
      <w:r w:rsidR="008C671C" w:rsidRPr="008C671C">
        <w:rPr>
          <w:lang w:eastAsia="en-US"/>
        </w:rPr>
        <w:t>GPChCit</w:t>
      </w:r>
      <w:r w:rsidR="00EC7B32" w:rsidRPr="008C671C">
        <w:rPr>
          <w:lang w:eastAsia="en-US"/>
        </w:rPr>
        <w:t xml:space="preserve"> extract significantly higher content of all </w:t>
      </w:r>
      <w:r w:rsidR="00CB3A02" w:rsidRPr="00CB3A02">
        <w:rPr>
          <w:lang w:eastAsia="en-US"/>
        </w:rPr>
        <w:t xml:space="preserve">anthocyanin </w:t>
      </w:r>
      <w:r w:rsidR="00EC7B32" w:rsidRPr="008C671C">
        <w:rPr>
          <w:lang w:eastAsia="en-US"/>
        </w:rPr>
        <w:t>-3-</w:t>
      </w:r>
      <w:r w:rsidR="00EC7B32" w:rsidRPr="008C671C">
        <w:rPr>
          <w:i/>
          <w:lang w:eastAsia="en-US"/>
        </w:rPr>
        <w:t>O</w:t>
      </w:r>
      <w:r w:rsidR="00EC7B32" w:rsidRPr="008C671C">
        <w:rPr>
          <w:lang w:eastAsia="en-US"/>
        </w:rPr>
        <w:t xml:space="preserve">-monoglucosides and -3-acetylmonoglucosides was noticed in comparison to GPEtOH while content of </w:t>
      </w:r>
      <w:r w:rsidR="00281FBD">
        <w:rPr>
          <w:lang w:eastAsia="en-US"/>
        </w:rPr>
        <w:t xml:space="preserve">three </w:t>
      </w:r>
      <w:r w:rsidR="00CB3A02" w:rsidRPr="00CB3A02">
        <w:rPr>
          <w:lang w:eastAsia="en-US"/>
        </w:rPr>
        <w:t xml:space="preserve">anthocyanin </w:t>
      </w:r>
      <w:r w:rsidR="00EC7B32" w:rsidRPr="008C671C">
        <w:rPr>
          <w:lang w:eastAsia="en-US"/>
        </w:rPr>
        <w:t xml:space="preserve">-3-(6-O-p-coumaroyl)monoglucosides were higher in aqueous solution of ethanol. </w:t>
      </w:r>
      <w:r w:rsidR="008C671C" w:rsidRPr="006E321C">
        <w:rPr>
          <w:lang w:eastAsia="en-US"/>
        </w:rPr>
        <w:t>Similar with previous studied (Paini et al., 2016), i</w:t>
      </w:r>
      <w:r w:rsidR="009525B9" w:rsidRPr="006E321C">
        <w:rPr>
          <w:lang w:eastAsia="en-US"/>
        </w:rPr>
        <w:t xml:space="preserve">n olive pomace-prepared </w:t>
      </w:r>
      <w:r w:rsidR="009525B9" w:rsidRPr="006E321C">
        <w:rPr>
          <w:lang w:eastAsia="en-US"/>
        </w:rPr>
        <w:lastRenderedPageBreak/>
        <w:t xml:space="preserve">extracts gallic acid, hydroxytyrosol, tyrosol, </w:t>
      </w:r>
      <w:r w:rsidR="009525B9" w:rsidRPr="006C1B57">
        <w:rPr>
          <w:lang w:eastAsia="en-US"/>
        </w:rPr>
        <w:t>catechin, vanillic acid, vanillin and pinoresinol were identified</w:t>
      </w:r>
      <w:r w:rsidR="006C1B57" w:rsidRPr="006C1B57">
        <w:rPr>
          <w:lang w:eastAsia="en-US"/>
        </w:rPr>
        <w:t>, and t</w:t>
      </w:r>
      <w:r w:rsidR="006E321C" w:rsidRPr="006C1B57">
        <w:rPr>
          <w:lang w:eastAsia="en-US"/>
        </w:rPr>
        <w:t xml:space="preserve">he dominant compound </w:t>
      </w:r>
      <w:r w:rsidR="006C1B57" w:rsidRPr="006C1B57">
        <w:rPr>
          <w:lang w:eastAsia="en-US"/>
        </w:rPr>
        <w:t xml:space="preserve">was </w:t>
      </w:r>
      <w:r w:rsidR="006C1B57" w:rsidRPr="006C1B57">
        <w:rPr>
          <w:lang w:val="en-US"/>
        </w:rPr>
        <w:t>vanillin</w:t>
      </w:r>
      <w:r w:rsidR="006C1B57" w:rsidRPr="006C1B57">
        <w:rPr>
          <w:lang w:eastAsia="en-US"/>
        </w:rPr>
        <w:t xml:space="preserve"> in OPEtOH.</w:t>
      </w:r>
      <w:r w:rsidR="006C1B57">
        <w:rPr>
          <w:color w:val="FF0000"/>
          <w:lang w:eastAsia="en-US"/>
        </w:rPr>
        <w:t xml:space="preserve"> </w:t>
      </w:r>
      <w:r w:rsidR="006C1B57" w:rsidRPr="006C1B57">
        <w:rPr>
          <w:lang w:eastAsia="en-US"/>
        </w:rPr>
        <w:t>The content of polyphenols was different in extract</w:t>
      </w:r>
      <w:r w:rsidR="000E35A9">
        <w:rPr>
          <w:lang w:eastAsia="en-US"/>
        </w:rPr>
        <w:t>s</w:t>
      </w:r>
      <w:r w:rsidR="006C1B57" w:rsidRPr="006C1B57">
        <w:rPr>
          <w:lang w:eastAsia="en-US"/>
        </w:rPr>
        <w:t xml:space="preserve"> prepared with different solvents (ChCit and EtoH). </w:t>
      </w:r>
      <w:r w:rsidR="00CB3A02">
        <w:rPr>
          <w:lang w:eastAsia="en-US"/>
        </w:rPr>
        <w:t>Thus</w:t>
      </w:r>
      <w:r w:rsidR="006E321C" w:rsidRPr="006C1B57">
        <w:rPr>
          <w:lang w:eastAsia="en-US"/>
        </w:rPr>
        <w:t xml:space="preserve">, pinoresinol </w:t>
      </w:r>
      <w:r w:rsidR="00281FBD">
        <w:rPr>
          <w:lang w:eastAsia="en-US"/>
        </w:rPr>
        <w:t>content</w:t>
      </w:r>
      <w:r w:rsidR="006E321C" w:rsidRPr="006C1B57">
        <w:rPr>
          <w:lang w:eastAsia="en-US"/>
        </w:rPr>
        <w:t xml:space="preserve"> in NADES extract was significantly lower than in </w:t>
      </w:r>
      <w:r w:rsidR="006C1B57" w:rsidRPr="006C1B57">
        <w:rPr>
          <w:lang w:eastAsia="en-US"/>
        </w:rPr>
        <w:t>ethanolic</w:t>
      </w:r>
      <w:r w:rsidR="006E321C" w:rsidRPr="006C1B57">
        <w:rPr>
          <w:lang w:eastAsia="en-US"/>
        </w:rPr>
        <w:t xml:space="preserve"> extract, while </w:t>
      </w:r>
      <w:r w:rsidR="006C1B57" w:rsidRPr="006C1B57">
        <w:rPr>
          <w:lang w:eastAsia="en-US"/>
        </w:rPr>
        <w:t>tyrosol</w:t>
      </w:r>
      <w:r w:rsidR="006E321C" w:rsidRPr="006C1B57">
        <w:rPr>
          <w:lang w:eastAsia="en-US"/>
        </w:rPr>
        <w:t xml:space="preserve"> content was in completely opposite manner. </w:t>
      </w:r>
    </w:p>
    <w:p w14:paraId="6A4D8A3A" w14:textId="77777777" w:rsidR="008C671C" w:rsidRPr="008C671C" w:rsidRDefault="009525B9" w:rsidP="00CB3A02">
      <w:pPr>
        <w:shd w:val="clear" w:color="auto" w:fill="FFFFFF"/>
        <w:autoSpaceDE w:val="0"/>
        <w:autoSpaceDN w:val="0"/>
        <w:adjustRightInd w:val="0"/>
        <w:spacing w:line="480" w:lineRule="auto"/>
        <w:jc w:val="both"/>
        <w:rPr>
          <w:lang w:eastAsia="en-US"/>
        </w:rPr>
      </w:pPr>
      <w:r w:rsidRPr="006E321C">
        <w:rPr>
          <w:lang w:eastAsia="en-US"/>
        </w:rPr>
        <w:t xml:space="preserve">Furthermore, </w:t>
      </w:r>
      <w:r w:rsidR="008C671C" w:rsidRPr="006E321C">
        <w:rPr>
          <w:lang w:eastAsia="en-US"/>
        </w:rPr>
        <w:t xml:space="preserve">in </w:t>
      </w:r>
      <w:r w:rsidR="006E321C" w:rsidRPr="006E321C">
        <w:rPr>
          <w:lang w:eastAsia="en-US"/>
        </w:rPr>
        <w:t>both pomace-p</w:t>
      </w:r>
      <w:r w:rsidR="008C671C" w:rsidRPr="006E321C">
        <w:rPr>
          <w:lang w:eastAsia="en-US"/>
        </w:rPr>
        <w:t>repared extract</w:t>
      </w:r>
      <w:r w:rsidR="006E321C" w:rsidRPr="006E321C">
        <w:rPr>
          <w:lang w:eastAsia="en-US"/>
        </w:rPr>
        <w:t>s</w:t>
      </w:r>
      <w:r w:rsidR="008C671C" w:rsidRPr="006E321C">
        <w:rPr>
          <w:lang w:eastAsia="en-US"/>
        </w:rPr>
        <w:t xml:space="preserve"> with NADES and </w:t>
      </w:r>
      <w:r w:rsidR="006E321C" w:rsidRPr="006E321C">
        <w:rPr>
          <w:lang w:eastAsia="en-US"/>
        </w:rPr>
        <w:t xml:space="preserve">aqueous </w:t>
      </w:r>
      <w:r w:rsidR="008C671C" w:rsidRPr="006E321C">
        <w:rPr>
          <w:lang w:eastAsia="en-US"/>
        </w:rPr>
        <w:t>ethanol</w:t>
      </w:r>
      <w:r w:rsidR="006E321C" w:rsidRPr="006E321C">
        <w:rPr>
          <w:lang w:eastAsia="en-US"/>
        </w:rPr>
        <w:t>,</w:t>
      </w:r>
      <w:r w:rsidR="006E321C">
        <w:rPr>
          <w:lang w:eastAsia="en-US"/>
        </w:rPr>
        <w:t xml:space="preserve"> </w:t>
      </w:r>
      <w:r w:rsidR="008C671C" w:rsidRPr="006E321C">
        <w:t>phenolic pattern was similar with some exception.</w:t>
      </w:r>
      <w:r w:rsidRPr="006E321C">
        <w:rPr>
          <w:lang w:eastAsia="en-US"/>
        </w:rPr>
        <w:t xml:space="preserve"> For example</w:t>
      </w:r>
      <w:r w:rsidR="008C671C" w:rsidRPr="006E321C">
        <w:rPr>
          <w:lang w:eastAsia="en-US"/>
        </w:rPr>
        <w:t xml:space="preserve">, </w:t>
      </w:r>
      <w:r w:rsidR="006E321C" w:rsidRPr="006E321C">
        <w:rPr>
          <w:lang w:eastAsia="en-US"/>
        </w:rPr>
        <w:t xml:space="preserve">in olive pomace-prepared extracts, </w:t>
      </w:r>
      <w:r w:rsidR="006E321C" w:rsidRPr="006E321C">
        <w:rPr>
          <w:lang w:val="en-US"/>
        </w:rPr>
        <w:t>gallic acid and hydroxytyrosol were identified only in extract prepared with NADES.</w:t>
      </w:r>
      <w:r w:rsidR="00CB3A02">
        <w:rPr>
          <w:lang w:val="en-US"/>
        </w:rPr>
        <w:t xml:space="preserve"> </w:t>
      </w:r>
      <w:r w:rsidR="00CB32AA" w:rsidRPr="008C671C">
        <w:rPr>
          <w:lang w:eastAsia="en-US"/>
        </w:rPr>
        <w:t xml:space="preserve">However, </w:t>
      </w:r>
      <w:r w:rsidRPr="008C671C">
        <w:rPr>
          <w:lang w:eastAsia="en-US"/>
        </w:rPr>
        <w:t xml:space="preserve">in the case of </w:t>
      </w:r>
      <w:r w:rsidR="008C671C" w:rsidRPr="008C671C">
        <w:rPr>
          <w:lang w:eastAsia="en-US"/>
        </w:rPr>
        <w:t>tota</w:t>
      </w:r>
      <w:r w:rsidR="00CB3A02">
        <w:rPr>
          <w:lang w:eastAsia="en-US"/>
        </w:rPr>
        <w:t>l</w:t>
      </w:r>
      <w:r w:rsidR="008C671C" w:rsidRPr="008C671C">
        <w:rPr>
          <w:lang w:eastAsia="en-US"/>
        </w:rPr>
        <w:t xml:space="preserve"> polyphenol</w:t>
      </w:r>
      <w:r w:rsidR="00CB3A02">
        <w:rPr>
          <w:lang w:eastAsia="en-US"/>
        </w:rPr>
        <w:t>s content</w:t>
      </w:r>
      <w:r w:rsidRPr="008C671C">
        <w:rPr>
          <w:lang w:eastAsia="en-US"/>
        </w:rPr>
        <w:t>, grape pomace</w:t>
      </w:r>
      <w:r w:rsidR="008C671C" w:rsidRPr="008C671C">
        <w:rPr>
          <w:lang w:eastAsia="en-US"/>
        </w:rPr>
        <w:t xml:space="preserve"> is containing ≈ 5 times more polyphenolic compounds than olive pomace (Table 1). </w:t>
      </w:r>
    </w:p>
    <w:p w14:paraId="3BBCBFDE" w14:textId="77777777" w:rsidR="00824E31" w:rsidRDefault="00824E31" w:rsidP="00281428">
      <w:pPr>
        <w:spacing w:line="360" w:lineRule="auto"/>
        <w:rPr>
          <w:bCs/>
          <w:lang w:eastAsia="en-US"/>
        </w:rPr>
      </w:pPr>
    </w:p>
    <w:p w14:paraId="53197799" w14:textId="77777777" w:rsidR="00824E31" w:rsidRPr="00924BA7" w:rsidRDefault="00824E31" w:rsidP="0096290C">
      <w:pPr>
        <w:numPr>
          <w:ilvl w:val="1"/>
          <w:numId w:val="4"/>
        </w:numPr>
        <w:spacing w:line="360" w:lineRule="auto"/>
        <w:rPr>
          <w:bCs/>
          <w:i/>
          <w:kern w:val="28"/>
        </w:rPr>
      </w:pPr>
      <w:r w:rsidRPr="003E7B32">
        <w:rPr>
          <w:bCs/>
          <w:i/>
          <w:kern w:val="28"/>
        </w:rPr>
        <w:t xml:space="preserve">Biological evaluation of </w:t>
      </w:r>
      <w:r>
        <w:rPr>
          <w:bCs/>
          <w:i/>
          <w:kern w:val="28"/>
        </w:rPr>
        <w:t>polyphenol</w:t>
      </w:r>
      <w:r w:rsidRPr="003E7B32">
        <w:rPr>
          <w:bCs/>
          <w:i/>
          <w:kern w:val="28"/>
        </w:rPr>
        <w:t>ic extracts</w:t>
      </w:r>
    </w:p>
    <w:p w14:paraId="130DFB28" w14:textId="77777777" w:rsidR="00824E31" w:rsidRDefault="00824E31" w:rsidP="009525B9">
      <w:pPr>
        <w:shd w:val="clear" w:color="auto" w:fill="FFFFFF"/>
        <w:autoSpaceDE w:val="0"/>
        <w:autoSpaceDN w:val="0"/>
        <w:adjustRightInd w:val="0"/>
        <w:spacing w:line="480" w:lineRule="auto"/>
        <w:jc w:val="both"/>
        <w:rPr>
          <w:bCs/>
          <w:lang w:eastAsia="en-US"/>
        </w:rPr>
      </w:pPr>
      <w:r>
        <w:rPr>
          <w:bCs/>
          <w:lang w:eastAsia="en-US"/>
        </w:rPr>
        <w:t>B</w:t>
      </w:r>
      <w:r w:rsidRPr="00D67760">
        <w:rPr>
          <w:bCs/>
          <w:lang w:eastAsia="en-US"/>
        </w:rPr>
        <w:t xml:space="preserve">iological evaluation of grape and olive pomace </w:t>
      </w:r>
      <w:r>
        <w:rPr>
          <w:bCs/>
          <w:lang w:eastAsia="en-US"/>
        </w:rPr>
        <w:t>polyphenol</w:t>
      </w:r>
      <w:r w:rsidRPr="00D67760">
        <w:rPr>
          <w:bCs/>
          <w:lang w:eastAsia="en-US"/>
        </w:rPr>
        <w:t xml:space="preserve">ic extracts, was conducted on two human tumour cell lines. Such </w:t>
      </w:r>
      <w:r w:rsidRPr="00D67760">
        <w:rPr>
          <w:bCs/>
          <w:i/>
          <w:lang w:eastAsia="en-US"/>
        </w:rPr>
        <w:t xml:space="preserve">in vitro </w:t>
      </w:r>
      <w:r w:rsidRPr="00D67760">
        <w:rPr>
          <w:bCs/>
          <w:lang w:eastAsia="en-US"/>
        </w:rPr>
        <w:t xml:space="preserve">preliminary screen of natural extracts is simple, inexpensive and rapid method for cytotoxicity assessment </w:t>
      </w:r>
      <w:r>
        <w:rPr>
          <w:bCs/>
          <w:lang w:eastAsia="en-US"/>
        </w:rPr>
        <w:t>for</w:t>
      </w:r>
      <w:r w:rsidRPr="00D67760">
        <w:rPr>
          <w:bCs/>
          <w:lang w:eastAsia="en-US"/>
        </w:rPr>
        <w:t xml:space="preserve"> </w:t>
      </w:r>
      <w:r>
        <w:rPr>
          <w:bCs/>
          <w:lang w:eastAsia="en-US"/>
        </w:rPr>
        <w:t xml:space="preserve">a large </w:t>
      </w:r>
      <w:r w:rsidRPr="00D67760">
        <w:rPr>
          <w:bCs/>
          <w:lang w:eastAsia="en-US"/>
        </w:rPr>
        <w:t xml:space="preserve">number of samples in the range of different concentrations. Pure NADES and their forming compounds were also evaluated with regard to its </w:t>
      </w:r>
      <w:r w:rsidRPr="00D67760">
        <w:rPr>
          <w:bCs/>
          <w:i/>
          <w:lang w:eastAsia="en-US"/>
        </w:rPr>
        <w:t>in vitro</w:t>
      </w:r>
      <w:r w:rsidRPr="00D67760">
        <w:rPr>
          <w:bCs/>
          <w:lang w:eastAsia="en-US"/>
        </w:rPr>
        <w:t xml:space="preserve"> cytotoxicity, having in mind that they also possess certain biological activities which could contribute the biological activities of plant extract. </w:t>
      </w:r>
      <w:r>
        <w:rPr>
          <w:bCs/>
          <w:lang w:eastAsia="en-US"/>
        </w:rPr>
        <w:t>Ethanol extracts were</w:t>
      </w:r>
      <w:r w:rsidRPr="00D67760">
        <w:rPr>
          <w:bCs/>
          <w:lang w:eastAsia="en-US"/>
        </w:rPr>
        <w:t xml:space="preserve"> also tested, as well as ethanol </w:t>
      </w:r>
      <w:r>
        <w:rPr>
          <w:bCs/>
          <w:lang w:eastAsia="en-US"/>
        </w:rPr>
        <w:t>itself, since it is being</w:t>
      </w:r>
      <w:r w:rsidRPr="00D67760">
        <w:rPr>
          <w:bCs/>
          <w:lang w:eastAsia="en-US"/>
        </w:rPr>
        <w:t xml:space="preserve"> </w:t>
      </w:r>
      <w:r>
        <w:rPr>
          <w:bCs/>
          <w:lang w:eastAsia="en-US"/>
        </w:rPr>
        <w:t xml:space="preserve">used as </w:t>
      </w:r>
      <w:r w:rsidRPr="00D67760">
        <w:rPr>
          <w:bCs/>
          <w:lang w:eastAsia="en-US"/>
        </w:rPr>
        <w:t xml:space="preserve">referent solvent for </w:t>
      </w:r>
      <w:r>
        <w:rPr>
          <w:bCs/>
          <w:lang w:eastAsia="en-US"/>
        </w:rPr>
        <w:t>polyphenol</w:t>
      </w:r>
      <w:r w:rsidRPr="00D67760">
        <w:rPr>
          <w:bCs/>
          <w:lang w:eastAsia="en-US"/>
        </w:rPr>
        <w:t>ic extraction. Cytotoxicity of extracts (</w:t>
      </w:r>
      <w:r w:rsidRPr="007275BD">
        <w:rPr>
          <w:bCs/>
          <w:lang w:eastAsia="en-US"/>
        </w:rPr>
        <w:t xml:space="preserve">GPChCit, </w:t>
      </w:r>
      <w:r>
        <w:rPr>
          <w:bCs/>
          <w:lang w:eastAsia="en-US"/>
        </w:rPr>
        <w:t xml:space="preserve">GPEtOH, </w:t>
      </w:r>
      <w:r w:rsidRPr="007275BD">
        <w:rPr>
          <w:bCs/>
          <w:lang w:eastAsia="en-US"/>
        </w:rPr>
        <w:t>OPChCit</w:t>
      </w:r>
      <w:r>
        <w:rPr>
          <w:bCs/>
          <w:lang w:eastAsia="en-US"/>
        </w:rPr>
        <w:t>, OPEtOH</w:t>
      </w:r>
      <w:r w:rsidRPr="007275BD">
        <w:rPr>
          <w:bCs/>
          <w:lang w:eastAsia="en-US"/>
        </w:rPr>
        <w:t xml:space="preserve">), extraction solvents (ChCit and EtOH) and NADES-forming compounds (ChCl and Cit) </w:t>
      </w:r>
      <w:r w:rsidRPr="00D67760">
        <w:rPr>
          <w:bCs/>
          <w:lang w:eastAsia="en-US"/>
        </w:rPr>
        <w:t>was evaluated by CellTiter 96</w:t>
      </w:r>
      <w:r w:rsidRPr="00B11FA7">
        <w:rPr>
          <w:bCs/>
          <w:vertAlign w:val="superscript"/>
          <w:lang w:eastAsia="en-US"/>
        </w:rPr>
        <w:t>®</w:t>
      </w:r>
      <w:r w:rsidRPr="00D67760">
        <w:rPr>
          <w:bCs/>
          <w:lang w:eastAsia="en-US"/>
        </w:rPr>
        <w:t xml:space="preserve"> AQ</w:t>
      </w:r>
      <w:r w:rsidRPr="00D67760">
        <w:rPr>
          <w:bCs/>
          <w:vertAlign w:val="subscript"/>
          <w:lang w:eastAsia="en-US"/>
        </w:rPr>
        <w:t>ueous</w:t>
      </w:r>
      <w:r w:rsidRPr="00D67760">
        <w:rPr>
          <w:bCs/>
          <w:lang w:eastAsia="en-US"/>
        </w:rPr>
        <w:t xml:space="preserve"> One Solution Cell Proliferation assay on HeLa and MCF-7 cells</w:t>
      </w:r>
      <w:r>
        <w:rPr>
          <w:bCs/>
          <w:lang w:eastAsia="en-US"/>
        </w:rPr>
        <w:t>. Al</w:t>
      </w:r>
      <w:r w:rsidRPr="00D67760">
        <w:rPr>
          <w:bCs/>
          <w:lang w:eastAsia="en-US"/>
        </w:rPr>
        <w:t>l samples were applied to cells</w:t>
      </w:r>
      <w:r>
        <w:rPr>
          <w:bCs/>
          <w:lang w:eastAsia="en-US"/>
        </w:rPr>
        <w:t xml:space="preserve"> </w:t>
      </w:r>
      <w:r w:rsidRPr="00D67760">
        <w:rPr>
          <w:bCs/>
          <w:lang w:eastAsia="en-US"/>
        </w:rPr>
        <w:t xml:space="preserve">in different volume ratio 1%, 5% and 10% (v/v) during 72 hours </w:t>
      </w:r>
      <w:r w:rsidRPr="009956BC">
        <w:rPr>
          <w:bCs/>
          <w:lang w:eastAsia="en-US"/>
        </w:rPr>
        <w:t>(Figure 1), where it was observed</w:t>
      </w:r>
      <w:r w:rsidRPr="00D67760">
        <w:rPr>
          <w:bCs/>
          <w:lang w:eastAsia="en-US"/>
        </w:rPr>
        <w:t xml:space="preserve"> that inhibitory effect of GPChCit, OPChCit, ChCit and Cit is almost the same no matter of applied volume ratio, while GPEtOH, OPEtOH and Ch </w:t>
      </w:r>
      <w:r w:rsidRPr="00D67760">
        <w:rPr>
          <w:bCs/>
          <w:lang w:eastAsia="en-US"/>
        </w:rPr>
        <w:lastRenderedPageBreak/>
        <w:t>showed dose-dependent effect. EtOH as a solvent did not had impact on cell viabi</w:t>
      </w:r>
      <w:r>
        <w:rPr>
          <w:bCs/>
          <w:lang w:eastAsia="en-US"/>
        </w:rPr>
        <w:t xml:space="preserve">lity of HeLa and MCF-7 cells.  </w:t>
      </w:r>
    </w:p>
    <w:p w14:paraId="1A68E774" w14:textId="77777777" w:rsidR="00CD28E0" w:rsidRDefault="00CD28E0" w:rsidP="009525B9">
      <w:pPr>
        <w:shd w:val="clear" w:color="auto" w:fill="FFFFFF"/>
        <w:autoSpaceDE w:val="0"/>
        <w:autoSpaceDN w:val="0"/>
        <w:adjustRightInd w:val="0"/>
        <w:spacing w:line="480" w:lineRule="auto"/>
        <w:jc w:val="both"/>
        <w:rPr>
          <w:bCs/>
          <w:lang w:eastAsia="en-US"/>
        </w:rPr>
      </w:pPr>
    </w:p>
    <w:p w14:paraId="45841047" w14:textId="77777777" w:rsidR="00CD28E0" w:rsidRPr="00AC1DD6" w:rsidRDefault="00CD28E0" w:rsidP="00CD28E0">
      <w:r>
        <w:t>[Figure</w:t>
      </w:r>
      <w:r w:rsidRPr="00AC1DD6">
        <w:t xml:space="preserve"> 1</w:t>
      </w:r>
      <w:r>
        <w:t xml:space="preserve"> near here]</w:t>
      </w:r>
      <w:r w:rsidRPr="00AC1DD6">
        <w:t xml:space="preserve"> </w:t>
      </w:r>
    </w:p>
    <w:p w14:paraId="7671440A" w14:textId="77777777" w:rsidR="00CD28E0" w:rsidRPr="009956BC" w:rsidRDefault="00CD28E0" w:rsidP="009525B9">
      <w:pPr>
        <w:shd w:val="clear" w:color="auto" w:fill="FFFFFF"/>
        <w:autoSpaceDE w:val="0"/>
        <w:autoSpaceDN w:val="0"/>
        <w:adjustRightInd w:val="0"/>
        <w:spacing w:line="480" w:lineRule="auto"/>
        <w:jc w:val="both"/>
        <w:rPr>
          <w:bCs/>
          <w:color w:val="000000"/>
          <w:lang w:eastAsia="en-US"/>
        </w:rPr>
      </w:pPr>
    </w:p>
    <w:p w14:paraId="724C2213" w14:textId="77777777" w:rsidR="00824E31" w:rsidRDefault="00824E31" w:rsidP="00B10018">
      <w:pPr>
        <w:shd w:val="clear" w:color="auto" w:fill="FFFFFF"/>
        <w:autoSpaceDE w:val="0"/>
        <w:autoSpaceDN w:val="0"/>
        <w:adjustRightInd w:val="0"/>
        <w:spacing w:line="480" w:lineRule="auto"/>
        <w:jc w:val="both"/>
        <w:rPr>
          <w:bCs/>
          <w:lang w:eastAsia="en-US"/>
        </w:rPr>
      </w:pPr>
      <w:r w:rsidRPr="00D67760">
        <w:rPr>
          <w:bCs/>
          <w:lang w:eastAsia="en-US"/>
        </w:rPr>
        <w:t xml:space="preserve">Extracts obtained by ethanol (GPEtOH and OPEtOH) have not had strong impact on cell viability of HeLa and MCF-7 cells, while rather low cell viability (from 12.19% to </w:t>
      </w:r>
      <w:r>
        <w:rPr>
          <w:bCs/>
          <w:lang w:eastAsia="en-US"/>
        </w:rPr>
        <w:t>37.61</w:t>
      </w:r>
      <w:r w:rsidRPr="00D67760">
        <w:rPr>
          <w:bCs/>
          <w:lang w:eastAsia="en-US"/>
        </w:rPr>
        <w:t xml:space="preserve">%) was observed in both cell lines treated with GPChCit, OPChCit, ChCit and Cit. Such grouping of results is probably related to low pH values of those samples (from 0.6 for ChCit to 1.33 for Cit), for which it is all in common to contain citric acid. Citric acid as a HDB is surely responsible for these low pH values of NADES itself as well as extracts obtained by ChCit. The puffer system of </w:t>
      </w:r>
      <w:r>
        <w:rPr>
          <w:bCs/>
          <w:lang w:eastAsia="en-US"/>
        </w:rPr>
        <w:t>used culture medium</w:t>
      </w:r>
      <w:r w:rsidRPr="00D67760">
        <w:rPr>
          <w:bCs/>
          <w:lang w:eastAsia="en-US"/>
        </w:rPr>
        <w:t xml:space="preserve"> could not buffer it and, for example, the pH of the DMEM after addition of 5% of </w:t>
      </w:r>
      <w:r w:rsidRPr="009956BC">
        <w:rPr>
          <w:bCs/>
          <w:lang w:eastAsia="en-US"/>
        </w:rPr>
        <w:t xml:space="preserve">GPChCit was 2.83 what is still much lower than the optimal pH for cell culture cultivation. But, it is known that </w:t>
      </w:r>
      <w:r w:rsidRPr="009956BC">
        <w:rPr>
          <w:bCs/>
          <w:i/>
          <w:lang w:eastAsia="en-US"/>
        </w:rPr>
        <w:t>in vivo</w:t>
      </w:r>
      <w:r w:rsidRPr="009956BC">
        <w:rPr>
          <w:bCs/>
          <w:lang w:eastAsia="en-US"/>
        </w:rPr>
        <w:t xml:space="preserve"> many tumours have relatively acidic extracellular pH, while the intracellular pH of tumour cells remains normal due to </w:t>
      </w:r>
      <w:r w:rsidRPr="005450E1">
        <w:rPr>
          <w:bCs/>
          <w:lang w:eastAsia="en-US"/>
        </w:rPr>
        <w:t xml:space="preserve">the efficient maintenance of a large proton gradient across the membrane (Zanke et al., 1998). Considering that observed cytotoxicity of GPChCit and OPChCit in tumour HeLa and MCF-7 cells is probably mostly related to polyphenolic compounds in extracts, although synergistic effect of polyphenolics and low pH is possible, since there are data suggesting a link between induced cellular acidification and cell death (Harguindey et al., 2017). </w:t>
      </w:r>
      <w:r w:rsidR="007309A1" w:rsidRPr="005450E1">
        <w:rPr>
          <w:bCs/>
          <w:lang w:eastAsia="en-US"/>
        </w:rPr>
        <w:t xml:space="preserve">Furthermore, </w:t>
      </w:r>
      <w:r w:rsidR="00BE4ED3" w:rsidRPr="005450E1">
        <w:rPr>
          <w:bCs/>
          <w:lang w:eastAsia="en-US"/>
        </w:rPr>
        <w:t xml:space="preserve">the comparison between extracts depending on type of extraction solvent used goes </w:t>
      </w:r>
      <w:r w:rsidR="007309A1" w:rsidRPr="005450E1">
        <w:rPr>
          <w:bCs/>
          <w:lang w:eastAsia="en-US"/>
        </w:rPr>
        <w:t>in support of the fact that polyphenols are most likely to be responsible for the notable antiproliferative effect of NADES-extracts</w:t>
      </w:r>
      <w:r w:rsidR="00D13EB8" w:rsidRPr="005450E1">
        <w:rPr>
          <w:bCs/>
          <w:lang w:eastAsia="en-US"/>
        </w:rPr>
        <w:t>.</w:t>
      </w:r>
      <w:r w:rsidRPr="005450E1">
        <w:rPr>
          <w:bCs/>
          <w:lang w:eastAsia="en-US"/>
        </w:rPr>
        <w:t xml:space="preserve"> </w:t>
      </w:r>
      <w:r w:rsidR="005450E1" w:rsidRPr="005450E1">
        <w:rPr>
          <w:bCs/>
          <w:lang w:eastAsia="en-US"/>
        </w:rPr>
        <w:t>G</w:t>
      </w:r>
      <w:r w:rsidRPr="005450E1">
        <w:rPr>
          <w:bCs/>
          <w:lang w:eastAsia="en-US"/>
        </w:rPr>
        <w:t>rape pomace and olive pomace extracts in ChCit had stronger cytotoxic effect on HeLa and MCF-7 cells than those obtained by EtOH, what is in good correlation wi</w:t>
      </w:r>
      <w:r w:rsidRPr="00D67760">
        <w:rPr>
          <w:bCs/>
          <w:lang w:eastAsia="en-US"/>
        </w:rPr>
        <w:t xml:space="preserve">th HPLC analysis of individual </w:t>
      </w:r>
      <w:r>
        <w:rPr>
          <w:bCs/>
          <w:lang w:eastAsia="en-US"/>
        </w:rPr>
        <w:t>polyphenol</w:t>
      </w:r>
      <w:r w:rsidRPr="00D67760">
        <w:rPr>
          <w:bCs/>
          <w:lang w:eastAsia="en-US"/>
        </w:rPr>
        <w:t xml:space="preserve">ic </w:t>
      </w:r>
      <w:r w:rsidRPr="00B10018">
        <w:rPr>
          <w:bCs/>
          <w:lang w:eastAsia="en-US"/>
        </w:rPr>
        <w:t xml:space="preserve">compounds, measured TP and ORAC values (Table 1). TP and ORAC values were higher for GPChCit and OPChCit than for GPEtOH and OPEtOH, </w:t>
      </w:r>
      <w:r w:rsidRPr="00B10018">
        <w:rPr>
          <w:bCs/>
          <w:lang w:eastAsia="en-US"/>
        </w:rPr>
        <w:lastRenderedPageBreak/>
        <w:t>respectivly. Such result is in agreement with our previously published results on polyphenolic grape pomace extracts prepared by five choline chlo</w:t>
      </w:r>
      <w:r w:rsidRPr="00D67760">
        <w:rPr>
          <w:bCs/>
          <w:lang w:eastAsia="en-US"/>
        </w:rPr>
        <w:t xml:space="preserve">ride based NADES, where it was showed that the best performance concerning extraction efficiency and biological activities </w:t>
      </w:r>
      <w:r w:rsidRPr="00FA56AD">
        <w:rPr>
          <w:bCs/>
          <w:lang w:eastAsia="en-US"/>
        </w:rPr>
        <w:t>was obtained by ChMa i.e. NADES containing organic acid as HDB, which by itself possessed biological activity (Radošević et al., 2016).</w:t>
      </w:r>
      <w:r w:rsidRPr="00D67760">
        <w:rPr>
          <w:bCs/>
          <w:lang w:eastAsia="en-US"/>
        </w:rPr>
        <w:t xml:space="preserve"> </w:t>
      </w:r>
    </w:p>
    <w:p w14:paraId="6DC42936" w14:textId="77777777" w:rsidR="00824E31" w:rsidRPr="004538EE" w:rsidRDefault="00824E31" w:rsidP="00B10018">
      <w:pPr>
        <w:shd w:val="clear" w:color="auto" w:fill="FFFFFF"/>
        <w:autoSpaceDE w:val="0"/>
        <w:autoSpaceDN w:val="0"/>
        <w:adjustRightInd w:val="0"/>
        <w:spacing w:line="480" w:lineRule="auto"/>
        <w:jc w:val="both"/>
        <w:rPr>
          <w:bCs/>
          <w:lang w:eastAsia="en-US"/>
        </w:rPr>
      </w:pPr>
      <w:r>
        <w:rPr>
          <w:bCs/>
          <w:lang w:eastAsia="en-US"/>
        </w:rPr>
        <w:t>When it comes to observed significant antiproliferative effect of GPChCit and OPChCit, we wanted t</w:t>
      </w:r>
      <w:r w:rsidRPr="00D67760">
        <w:rPr>
          <w:bCs/>
          <w:lang w:eastAsia="en-US"/>
        </w:rPr>
        <w:t xml:space="preserve">o elucidate whether inhibition of cell growth </w:t>
      </w:r>
      <w:r>
        <w:rPr>
          <w:bCs/>
          <w:lang w:eastAsia="en-US"/>
        </w:rPr>
        <w:t xml:space="preserve">was </w:t>
      </w:r>
      <w:r w:rsidRPr="00D67760">
        <w:rPr>
          <w:bCs/>
          <w:lang w:eastAsia="en-US"/>
        </w:rPr>
        <w:t xml:space="preserve">related to cell cycle arrest or cell death </w:t>
      </w:r>
      <w:r>
        <w:rPr>
          <w:bCs/>
          <w:lang w:eastAsia="en-US"/>
        </w:rPr>
        <w:t xml:space="preserve">and </w:t>
      </w:r>
      <w:r w:rsidRPr="004538EE">
        <w:rPr>
          <w:bCs/>
          <w:lang w:eastAsia="en-US"/>
        </w:rPr>
        <w:t>therefore we employed flow cytometry by Muse</w:t>
      </w:r>
      <w:r w:rsidRPr="004538EE">
        <w:rPr>
          <w:bCs/>
          <w:vertAlign w:val="superscript"/>
          <w:lang w:eastAsia="en-US"/>
        </w:rPr>
        <w:t>®</w:t>
      </w:r>
      <w:r w:rsidRPr="004538EE">
        <w:rPr>
          <w:bCs/>
          <w:lang w:eastAsia="en-US"/>
        </w:rPr>
        <w:t xml:space="preserve"> Cell Analyzer and optimized assays to obtain quantitative data at the single cell level. Since there were no significant differences in cytotoxicity results between two cell lines (Figure 1) further experiments were done only on HeLa cells treated with middle volume ratio (5%, v/v). According to the results presented on Figure 2a observed inhibition of cell growth by GPChCit and OPChCit could not be primary related to induction of apoptosis in HeLa cells, since there is no notable increase in number of apoptotic cells (early, late, total) when compared to control, untreated cells. </w:t>
      </w:r>
    </w:p>
    <w:p w14:paraId="196DF5A1" w14:textId="77777777" w:rsidR="00824E31" w:rsidRDefault="00824E31" w:rsidP="00B10018">
      <w:pPr>
        <w:shd w:val="clear" w:color="auto" w:fill="FFFFFF"/>
        <w:autoSpaceDE w:val="0"/>
        <w:autoSpaceDN w:val="0"/>
        <w:adjustRightInd w:val="0"/>
        <w:spacing w:line="480" w:lineRule="auto"/>
        <w:jc w:val="both"/>
        <w:rPr>
          <w:bCs/>
          <w:lang w:eastAsia="en-US"/>
        </w:rPr>
      </w:pPr>
      <w:r w:rsidRPr="004538EE">
        <w:rPr>
          <w:bCs/>
          <w:lang w:eastAsia="en-US"/>
        </w:rPr>
        <w:t xml:space="preserve">Apoptosis as a way of cell death has taken a central position in cell death investigations, especially those related with cancer research, although it becomes more and more evident that cells can also die by non-apoptotic mechanisms, such as autophagy, mitotic catastrophe and necrosis. Herein, significant difference between treated and control cells was observed only for those treated with GPChCit and GPEtOH, where percentage of dead cells is increased to 21.38% and 40.58%, respectively, meaning that those cells probably died by necrosis. Besides so-called accidental necrosis, newer literature also reports about necrosis-like programmed cell death which has been considered as a type of cell death, although its role in tumorigenesis </w:t>
      </w:r>
      <w:r w:rsidRPr="00924BA7">
        <w:rPr>
          <w:bCs/>
          <w:lang w:eastAsia="en-US"/>
        </w:rPr>
        <w:t>and cancer treatment is still unclear (</w:t>
      </w:r>
      <w:r w:rsidR="001D5167">
        <w:rPr>
          <w:bCs/>
          <w:lang w:eastAsia="en-US"/>
        </w:rPr>
        <w:t xml:space="preserve">de </w:t>
      </w:r>
      <w:r w:rsidRPr="00024DFD">
        <w:rPr>
          <w:bCs/>
          <w:lang w:eastAsia="en-US"/>
        </w:rPr>
        <w:t>Bruin and Medema, 2008</w:t>
      </w:r>
      <w:r w:rsidRPr="00924BA7">
        <w:rPr>
          <w:bCs/>
          <w:lang w:eastAsia="en-US"/>
        </w:rPr>
        <w:t xml:space="preserve">). The background of observed inhibitory effect in tumour cell lines could also be a delay in cell cycle, which is the most significant and fundamental processes in eukaryotic cells. As it could be seen at Figure 2b </w:t>
      </w:r>
      <w:r w:rsidRPr="00924BA7">
        <w:rPr>
          <w:bCs/>
          <w:lang w:eastAsia="en-US"/>
        </w:rPr>
        <w:lastRenderedPageBreak/>
        <w:t>treatment of HeLa cells with both extracts prepared with NADES (GPChCit and OPChCit) significantly affected the distribution of cells in G0/G1 phase and reduced number of cells in S phase when compared to control cells. A slightly increased G2/M cell was observed in the case of GPChCit and GPEtOH. These data suggest that inhibition of cell proliferation by NADES-extracts in HeLa cells is associated mainly with the induction of G0/G1 arrest, which allow cells to have time to trigger repair mechanisms or induce cell death pathways. Combined with results on cell death this may indicate that observed G0/G1 arrest over time lead to necrosis. It is reported that the mechanisms of polyphenols activities are comprised of many different pathways from induction of apoptosis and cell cycle arrest, scavenging of free radicals, regulation of gene expression, and stimulation of the immune system</w:t>
      </w:r>
      <w:r w:rsidRPr="00924BA7" w:rsidDel="00C84264">
        <w:rPr>
          <w:bCs/>
          <w:lang w:eastAsia="en-US"/>
        </w:rPr>
        <w:t xml:space="preserve"> </w:t>
      </w:r>
      <w:r w:rsidRPr="00924BA7">
        <w:rPr>
          <w:bCs/>
          <w:lang w:eastAsia="en-US"/>
        </w:rPr>
        <w:t>(</w:t>
      </w:r>
      <w:r w:rsidRPr="00924BA7">
        <w:t>Dziedzic et al</w:t>
      </w:r>
      <w:r w:rsidRPr="00924BA7">
        <w:rPr>
          <w:bCs/>
          <w:lang w:eastAsia="en-US"/>
        </w:rPr>
        <w:t xml:space="preserve">, 2017). Also, since it is known that different cell death mechanisms may lead one to another, it is rather difficult to determine the one dominantly responsible for certain observed outcome, like inhibition of cell growth, especially when dealing with natural plant extracts, which are mixtures of pro- and anti-apoptotic compounds, pro- and anti-oxidant compounds, etc. </w:t>
      </w:r>
    </w:p>
    <w:p w14:paraId="2A74E274" w14:textId="77777777" w:rsidR="00CD28E0" w:rsidRDefault="00CD28E0" w:rsidP="00B10018">
      <w:pPr>
        <w:shd w:val="clear" w:color="auto" w:fill="FFFFFF"/>
        <w:autoSpaceDE w:val="0"/>
        <w:autoSpaceDN w:val="0"/>
        <w:adjustRightInd w:val="0"/>
        <w:spacing w:line="480" w:lineRule="auto"/>
        <w:jc w:val="both"/>
        <w:rPr>
          <w:bCs/>
          <w:lang w:eastAsia="en-US"/>
        </w:rPr>
      </w:pPr>
    </w:p>
    <w:p w14:paraId="6120421F" w14:textId="77777777" w:rsidR="00CD28E0" w:rsidRPr="00AC1DD6" w:rsidRDefault="00CD28E0" w:rsidP="00CD28E0">
      <w:r>
        <w:t>[Figure</w:t>
      </w:r>
      <w:r w:rsidRPr="00AC1DD6">
        <w:t xml:space="preserve"> </w:t>
      </w:r>
      <w:r>
        <w:t>2 near here]</w:t>
      </w:r>
      <w:r w:rsidRPr="00AC1DD6">
        <w:t xml:space="preserve"> </w:t>
      </w:r>
    </w:p>
    <w:p w14:paraId="2D959221" w14:textId="77777777" w:rsidR="00CD28E0" w:rsidRPr="00924BA7" w:rsidRDefault="00CD28E0" w:rsidP="00B10018">
      <w:pPr>
        <w:shd w:val="clear" w:color="auto" w:fill="FFFFFF"/>
        <w:autoSpaceDE w:val="0"/>
        <w:autoSpaceDN w:val="0"/>
        <w:adjustRightInd w:val="0"/>
        <w:spacing w:line="480" w:lineRule="auto"/>
        <w:jc w:val="both"/>
        <w:rPr>
          <w:bCs/>
          <w:lang w:eastAsia="en-US"/>
        </w:rPr>
      </w:pPr>
    </w:p>
    <w:p w14:paraId="5E13C0EC" w14:textId="77777777" w:rsidR="00824E31" w:rsidRDefault="00824E31" w:rsidP="00B10018">
      <w:pPr>
        <w:shd w:val="clear" w:color="auto" w:fill="FFFFFF"/>
        <w:autoSpaceDE w:val="0"/>
        <w:autoSpaceDN w:val="0"/>
        <w:adjustRightInd w:val="0"/>
        <w:spacing w:line="480" w:lineRule="auto"/>
        <w:jc w:val="both"/>
        <w:rPr>
          <w:bCs/>
          <w:lang w:eastAsia="en-US"/>
        </w:rPr>
      </w:pPr>
      <w:r w:rsidRPr="00924BA7">
        <w:rPr>
          <w:bCs/>
          <w:lang w:eastAsia="en-US"/>
        </w:rPr>
        <w:t xml:space="preserve">As already mentioned, the most studied biological activity of polyphenolic compounds is their </w:t>
      </w:r>
      <w:r w:rsidRPr="00945296">
        <w:rPr>
          <w:bCs/>
          <w:lang w:eastAsia="en-US"/>
        </w:rPr>
        <w:t>antioxidant activity, which surely contributes to the antioxidant capacity of related plant extracts (X</w:t>
      </w:r>
      <w:r w:rsidR="00945296" w:rsidRPr="005450E1">
        <w:rPr>
          <w:bCs/>
          <w:lang w:eastAsia="en-US"/>
        </w:rPr>
        <w:t>ia</w:t>
      </w:r>
      <w:r w:rsidR="001D5167">
        <w:rPr>
          <w:bCs/>
          <w:lang w:eastAsia="en-US"/>
        </w:rPr>
        <w:t xml:space="preserve"> et al.</w:t>
      </w:r>
      <w:r w:rsidRPr="00945296">
        <w:rPr>
          <w:bCs/>
          <w:lang w:eastAsia="en-US"/>
        </w:rPr>
        <w:t>, 201</w:t>
      </w:r>
      <w:r w:rsidR="00945296" w:rsidRPr="005450E1">
        <w:rPr>
          <w:bCs/>
          <w:lang w:eastAsia="en-US"/>
        </w:rPr>
        <w:t>0</w:t>
      </w:r>
      <w:r w:rsidRPr="00945296">
        <w:rPr>
          <w:bCs/>
          <w:lang w:eastAsia="en-US"/>
        </w:rPr>
        <w:t xml:space="preserve">). </w:t>
      </w:r>
      <w:r w:rsidRPr="00945296">
        <w:rPr>
          <w:lang w:eastAsia="en-US"/>
        </w:rPr>
        <w:t>Since the major biological activity of polyphenolic compounds is related to its antioxidative activity, the</w:t>
      </w:r>
      <w:r w:rsidRPr="00EC7B32">
        <w:rPr>
          <w:lang w:eastAsia="en-US"/>
        </w:rPr>
        <w:t xml:space="preserve"> antioxidative capacity of obtained plant extracts was also measured by ORAC methods (</w:t>
      </w:r>
      <w:r w:rsidRPr="00E5132A">
        <w:rPr>
          <w:lang w:eastAsia="en-US"/>
        </w:rPr>
        <w:t>Xia et al., 2010; Cioffi</w:t>
      </w:r>
      <w:r w:rsidRPr="00EC7B32">
        <w:rPr>
          <w:lang w:eastAsia="en-US"/>
        </w:rPr>
        <w:t xml:space="preserve"> et al., 2010) </w:t>
      </w:r>
      <w:r w:rsidRPr="00EC7B32">
        <w:rPr>
          <w:bCs/>
          <w:lang w:eastAsia="en-US"/>
        </w:rPr>
        <w:t xml:space="preserve">and the </w:t>
      </w:r>
      <w:r w:rsidRPr="00EC7B32">
        <w:rPr>
          <w:lang w:eastAsia="en-US"/>
        </w:rPr>
        <w:t>obtained ORAC values of the extracts varied widely from 351.58 to 2189.97 µmol TE g</w:t>
      </w:r>
      <w:r w:rsidRPr="00EC7B32">
        <w:rPr>
          <w:vertAlign w:val="superscript"/>
          <w:lang w:eastAsia="en-US"/>
        </w:rPr>
        <w:t>-1</w:t>
      </w:r>
      <w:r w:rsidRPr="00EC7B32">
        <w:rPr>
          <w:lang w:eastAsia="en-US"/>
        </w:rPr>
        <w:t xml:space="preserve"> dw, with the highest value obtained for the</w:t>
      </w:r>
      <w:r w:rsidRPr="00EC7B32">
        <w:rPr>
          <w:bCs/>
          <w:lang w:eastAsia="en-US"/>
        </w:rPr>
        <w:t xml:space="preserve"> GPChCit following by </w:t>
      </w:r>
      <w:r w:rsidR="00EC7B32" w:rsidRPr="00EC7B32">
        <w:rPr>
          <w:bCs/>
          <w:lang w:eastAsia="en-US"/>
        </w:rPr>
        <w:t>GPEtOH&gt;OPEtOH&gt;OPChCi</w:t>
      </w:r>
      <w:r w:rsidR="00EC7B32">
        <w:rPr>
          <w:bCs/>
          <w:lang w:eastAsia="en-US"/>
        </w:rPr>
        <w:t xml:space="preserve">t </w:t>
      </w:r>
      <w:r w:rsidRPr="00EC7B32">
        <w:rPr>
          <w:bCs/>
          <w:lang w:eastAsia="en-US"/>
        </w:rPr>
        <w:t>(Table 1).  Furthermore, we wanted to test the ability of grape and olive pomace extracts</w:t>
      </w:r>
      <w:r w:rsidRPr="00924BA7">
        <w:rPr>
          <w:bCs/>
          <w:lang w:eastAsia="en-US"/>
        </w:rPr>
        <w:t xml:space="preserve"> to protect cells from induced oxidative stress. HeLa cells were pre-treated with extracts for 24 hours and </w:t>
      </w:r>
      <w:r w:rsidRPr="00924BA7">
        <w:rPr>
          <w:bCs/>
          <w:lang w:eastAsia="en-US"/>
        </w:rPr>
        <w:lastRenderedPageBreak/>
        <w:t>afterwards oxidative stress was induced by 100 µM H</w:t>
      </w:r>
      <w:r w:rsidRPr="00924BA7">
        <w:rPr>
          <w:bCs/>
          <w:vertAlign w:val="subscript"/>
          <w:lang w:eastAsia="en-US"/>
        </w:rPr>
        <w:t>2</w:t>
      </w:r>
      <w:r w:rsidRPr="00924BA7">
        <w:rPr>
          <w:bCs/>
          <w:lang w:eastAsia="en-US"/>
        </w:rPr>
        <w:t>O</w:t>
      </w:r>
      <w:r w:rsidRPr="00924BA7">
        <w:rPr>
          <w:bCs/>
          <w:vertAlign w:val="subscript"/>
          <w:lang w:eastAsia="en-US"/>
        </w:rPr>
        <w:t>2</w:t>
      </w:r>
      <w:r w:rsidRPr="00924BA7">
        <w:rPr>
          <w:bCs/>
          <w:lang w:eastAsia="en-US"/>
        </w:rPr>
        <w:t xml:space="preserve"> for further 24 hours. Then the cell viability was determined</w:t>
      </w:r>
      <w:r>
        <w:rPr>
          <w:bCs/>
          <w:lang w:eastAsia="en-US"/>
        </w:rPr>
        <w:t xml:space="preserve"> and relative percentage of </w:t>
      </w:r>
      <w:r w:rsidRPr="00D67760">
        <w:rPr>
          <w:bCs/>
          <w:lang w:eastAsia="en-US"/>
        </w:rPr>
        <w:t>ROS positive cells was measured at the Muse</w:t>
      </w:r>
      <w:r w:rsidRPr="007D1C95">
        <w:rPr>
          <w:bCs/>
          <w:vertAlign w:val="superscript"/>
          <w:lang w:eastAsia="en-US"/>
        </w:rPr>
        <w:t>®</w:t>
      </w:r>
      <w:r w:rsidRPr="00D67760">
        <w:rPr>
          <w:bCs/>
          <w:lang w:eastAsia="en-US"/>
        </w:rPr>
        <w:t xml:space="preserve"> Cell Analyzer. </w:t>
      </w:r>
    </w:p>
    <w:p w14:paraId="36DCFBC5" w14:textId="77777777" w:rsidR="00824E31" w:rsidRDefault="00824E31" w:rsidP="00B10018">
      <w:pPr>
        <w:shd w:val="clear" w:color="auto" w:fill="FFFFFF"/>
        <w:autoSpaceDE w:val="0"/>
        <w:autoSpaceDN w:val="0"/>
        <w:adjustRightInd w:val="0"/>
        <w:spacing w:line="480" w:lineRule="auto"/>
        <w:jc w:val="both"/>
        <w:rPr>
          <w:bCs/>
          <w:lang w:eastAsia="en-US"/>
        </w:rPr>
      </w:pPr>
      <w:r w:rsidRPr="00D67760">
        <w:rPr>
          <w:bCs/>
          <w:lang w:eastAsia="en-US"/>
        </w:rPr>
        <w:t xml:space="preserve">Results </w:t>
      </w:r>
      <w:r w:rsidRPr="00004DDB">
        <w:rPr>
          <w:bCs/>
          <w:lang w:eastAsia="en-US"/>
        </w:rPr>
        <w:t>presented at Figure 3. showed significant increase in HeLa cell viability when pre-treatment was done by GPChCit (63.88%) compared with H</w:t>
      </w:r>
      <w:r w:rsidRPr="00004DDB">
        <w:rPr>
          <w:bCs/>
          <w:vertAlign w:val="subscript"/>
          <w:lang w:eastAsia="en-US"/>
        </w:rPr>
        <w:t>2</w:t>
      </w:r>
      <w:r w:rsidRPr="00004DDB">
        <w:rPr>
          <w:bCs/>
          <w:lang w:eastAsia="en-US"/>
        </w:rPr>
        <w:t>O</w:t>
      </w:r>
      <w:r w:rsidRPr="00004DDB">
        <w:rPr>
          <w:bCs/>
          <w:vertAlign w:val="subscript"/>
          <w:lang w:eastAsia="en-US"/>
        </w:rPr>
        <w:t>2</w:t>
      </w:r>
      <w:r w:rsidRPr="00004DDB">
        <w:rPr>
          <w:bCs/>
          <w:lang w:eastAsia="en-US"/>
        </w:rPr>
        <w:t xml:space="preserve"> alone (44.87%). Increase in cell viability is in good correlation with significant decrease in the percentage of ROS(+) cells obtained in GPChCit pre-treated cells. Reduction of ROS(+) cells from 11.77% in H</w:t>
      </w:r>
      <w:r w:rsidRPr="00004DDB">
        <w:rPr>
          <w:bCs/>
          <w:vertAlign w:val="subscript"/>
          <w:lang w:eastAsia="en-US"/>
        </w:rPr>
        <w:t>2</w:t>
      </w:r>
      <w:r w:rsidRPr="00004DDB">
        <w:rPr>
          <w:bCs/>
          <w:lang w:eastAsia="en-US"/>
        </w:rPr>
        <w:t>O</w:t>
      </w:r>
      <w:r w:rsidRPr="00004DDB">
        <w:rPr>
          <w:bCs/>
          <w:vertAlign w:val="subscript"/>
          <w:lang w:eastAsia="en-US"/>
        </w:rPr>
        <w:t>2</w:t>
      </w:r>
      <w:r w:rsidRPr="00004DDB">
        <w:rPr>
          <w:bCs/>
          <w:lang w:eastAsia="en-US"/>
        </w:rPr>
        <w:t xml:space="preserve"> only sample to 1.63% in sample pre-treated with GPChCit confirms its antioxidant potential measured by ORAC method. OPChCit extract and both ethanol extracts have not shown ability to protect cells from oxidative stress. Several studies tried to answer which polyphenolic compound is mainly responsible for antioxidant activities of specific plant, but consistent relationship between polyphenolic compounds and antioxidant capacity was not found. Besides, many studies indicate synergistic effects between individual classes of polyphenolics which could be related to their antioxidant capacity, rather than individual polyphenolic compound by itself (Teixiera et al., 2014) so considering that plant extracts are probably better choice than pure polyphenolic compounds. Furthermore, observed G0/G1 arrest in HeLa cells treated with GPChCit, together with detected interaction of compounds from extracts with both DNA and RNA (result showed in next section), probably enables time and way to repair DNA damage induced by oxidative stress (</w:t>
      </w:r>
      <w:r w:rsidRPr="00004DDB">
        <w:rPr>
          <w:bCs/>
          <w:lang w:val="hr-HR" w:eastAsia="en-US"/>
        </w:rPr>
        <w:t>Pandya et al, 2012</w:t>
      </w:r>
      <w:r w:rsidRPr="00004DDB">
        <w:rPr>
          <w:bCs/>
          <w:lang w:eastAsia="en-US"/>
        </w:rPr>
        <w:t>). Therefore, that may be a background of GPChCit antioxidant activity, which resulted with increased cellular viability after oxidative stress (Figure 3).</w:t>
      </w:r>
      <w:r>
        <w:rPr>
          <w:bCs/>
          <w:lang w:eastAsia="en-US"/>
        </w:rPr>
        <w:t xml:space="preserve"> </w:t>
      </w:r>
    </w:p>
    <w:p w14:paraId="56B38CD5" w14:textId="77777777" w:rsidR="00CD28E0" w:rsidRDefault="00CD28E0" w:rsidP="00B10018">
      <w:pPr>
        <w:shd w:val="clear" w:color="auto" w:fill="FFFFFF"/>
        <w:autoSpaceDE w:val="0"/>
        <w:autoSpaceDN w:val="0"/>
        <w:adjustRightInd w:val="0"/>
        <w:spacing w:line="480" w:lineRule="auto"/>
        <w:jc w:val="both"/>
        <w:rPr>
          <w:bCs/>
          <w:lang w:eastAsia="en-US"/>
        </w:rPr>
      </w:pPr>
    </w:p>
    <w:p w14:paraId="412EA02B" w14:textId="77777777" w:rsidR="00CD28E0" w:rsidRPr="00AC1DD6" w:rsidRDefault="00CD28E0" w:rsidP="00CD28E0">
      <w:r>
        <w:t>[Figure</w:t>
      </w:r>
      <w:r w:rsidRPr="00AC1DD6">
        <w:t xml:space="preserve"> </w:t>
      </w:r>
      <w:r>
        <w:t>3 near here]</w:t>
      </w:r>
      <w:r w:rsidRPr="00AC1DD6">
        <w:t xml:space="preserve"> </w:t>
      </w:r>
    </w:p>
    <w:p w14:paraId="34C374D4" w14:textId="77777777" w:rsidR="00CD28E0" w:rsidRDefault="00CD28E0" w:rsidP="00B10018">
      <w:pPr>
        <w:shd w:val="clear" w:color="auto" w:fill="FFFFFF"/>
        <w:autoSpaceDE w:val="0"/>
        <w:autoSpaceDN w:val="0"/>
        <w:adjustRightInd w:val="0"/>
        <w:spacing w:line="480" w:lineRule="auto"/>
        <w:jc w:val="both"/>
        <w:rPr>
          <w:bCs/>
          <w:lang w:eastAsia="en-US"/>
        </w:rPr>
      </w:pPr>
    </w:p>
    <w:p w14:paraId="4965AF5F" w14:textId="77777777" w:rsidR="00824E31" w:rsidRPr="00004DDB" w:rsidRDefault="00824E31" w:rsidP="00B10018">
      <w:pPr>
        <w:shd w:val="clear" w:color="auto" w:fill="FFFFFF"/>
        <w:autoSpaceDE w:val="0"/>
        <w:autoSpaceDN w:val="0"/>
        <w:adjustRightInd w:val="0"/>
        <w:spacing w:line="480" w:lineRule="auto"/>
        <w:jc w:val="both"/>
        <w:rPr>
          <w:bCs/>
          <w:lang w:eastAsia="en-US"/>
        </w:rPr>
      </w:pPr>
      <w:r w:rsidRPr="00004DDB">
        <w:rPr>
          <w:bCs/>
          <w:lang w:eastAsia="en-US"/>
        </w:rPr>
        <w:t xml:space="preserve">Considering all data presented, antioxidative activity of GPChCit extract is advantageous for many possible applications in food and probably pharmaceutical industry. Having in mind that </w:t>
      </w:r>
      <w:r w:rsidRPr="00004DDB">
        <w:rPr>
          <w:bCs/>
          <w:lang w:eastAsia="en-US"/>
        </w:rPr>
        <w:lastRenderedPageBreak/>
        <w:t xml:space="preserve">it was showed that formulation of antioxidants in NADES could greatly improve their activity for ROS inhibition (Durand et al., 2017), it could be anticipated that such natural extract can serve as food preservative even better than currently known antioxidants. Also, it is reported that NADES improve absorption and bioavailability of active compounds (Faggian et al., 2016) and therefore could serve as a delivery agent or administration vehicle, what opens new possibilities for application of extracts obtained by NADES. Furthermore, it is known that grapes and its products have anticancer activity (Xia et al., 2010) so results obtained herein on human tumour cell lines confirms antitumor potential of polyphenolic extracts, </w:t>
      </w:r>
      <w:bookmarkStart w:id="6" w:name="_Hlk520475212"/>
      <w:r w:rsidRPr="00004DDB">
        <w:rPr>
          <w:bCs/>
          <w:lang w:eastAsia="en-US"/>
        </w:rPr>
        <w:t xml:space="preserve">but since there is still a debate should cancer treatments focus on lowering ROS levels to prevent signalling or increasing ROS to selectively kill cancer cells (Schieber and Chandel, 2014), further studies in that direction are needed. </w:t>
      </w:r>
    </w:p>
    <w:bookmarkEnd w:id="6"/>
    <w:p w14:paraId="5D05BEDB" w14:textId="77777777" w:rsidR="00824E31" w:rsidRPr="00004DDB" w:rsidRDefault="00824E31" w:rsidP="00281428">
      <w:pPr>
        <w:shd w:val="clear" w:color="auto" w:fill="FFFFFF"/>
        <w:autoSpaceDE w:val="0"/>
        <w:autoSpaceDN w:val="0"/>
        <w:adjustRightInd w:val="0"/>
        <w:spacing w:line="480" w:lineRule="auto"/>
        <w:rPr>
          <w:bCs/>
          <w:lang w:eastAsia="en-US"/>
        </w:rPr>
      </w:pPr>
    </w:p>
    <w:p w14:paraId="4077AE40" w14:textId="77777777" w:rsidR="00824E31" w:rsidRDefault="00824E31" w:rsidP="0096290C">
      <w:pPr>
        <w:numPr>
          <w:ilvl w:val="1"/>
          <w:numId w:val="4"/>
        </w:numPr>
        <w:shd w:val="clear" w:color="auto" w:fill="FFFFFF"/>
        <w:autoSpaceDE w:val="0"/>
        <w:autoSpaceDN w:val="0"/>
        <w:adjustRightInd w:val="0"/>
        <w:spacing w:line="480" w:lineRule="auto"/>
        <w:rPr>
          <w:bCs/>
          <w:i/>
          <w:lang w:eastAsia="en-US"/>
        </w:rPr>
      </w:pPr>
      <w:r w:rsidRPr="00A2444E">
        <w:rPr>
          <w:bCs/>
          <w:i/>
          <w:lang w:eastAsia="en-US"/>
        </w:rPr>
        <w:t>Interactions of extracts with DNA and RNA in aqueous medium</w:t>
      </w:r>
    </w:p>
    <w:p w14:paraId="4A64AD28" w14:textId="2B0ECDBD" w:rsidR="00824E31" w:rsidRDefault="008C5C8B" w:rsidP="00B10018">
      <w:pPr>
        <w:shd w:val="clear" w:color="auto" w:fill="FFFFFF"/>
        <w:autoSpaceDE w:val="0"/>
        <w:autoSpaceDN w:val="0"/>
        <w:adjustRightInd w:val="0"/>
        <w:spacing w:line="480" w:lineRule="auto"/>
        <w:jc w:val="both"/>
        <w:rPr>
          <w:bCs/>
          <w:lang w:eastAsia="en-US"/>
        </w:rPr>
      </w:pPr>
      <w:r w:rsidRPr="008C5C8B">
        <w:rPr>
          <w:bCs/>
          <w:lang w:val="hr-HR" w:eastAsia="en-US"/>
        </w:rPr>
        <w:t xml:space="preserve">Noncovalent </w:t>
      </w:r>
      <w:r w:rsidR="00AE3443">
        <w:rPr>
          <w:bCs/>
          <w:lang w:val="hr-HR" w:eastAsia="en-US"/>
        </w:rPr>
        <w:t xml:space="preserve">binding </w:t>
      </w:r>
      <w:r w:rsidRPr="008C5C8B">
        <w:rPr>
          <w:bCs/>
          <w:lang w:val="hr-HR" w:eastAsia="en-US"/>
        </w:rPr>
        <w:t xml:space="preserve">interactions </w:t>
      </w:r>
      <w:r w:rsidR="00A032C4">
        <w:rPr>
          <w:bCs/>
          <w:lang w:val="hr-HR" w:eastAsia="en-US"/>
        </w:rPr>
        <w:t xml:space="preserve">with DNA and RNA </w:t>
      </w:r>
      <w:r w:rsidRPr="008C5C8B">
        <w:rPr>
          <w:bCs/>
          <w:lang w:val="hr-HR" w:eastAsia="en-US"/>
        </w:rPr>
        <w:t xml:space="preserve">like intercalation, groove and electrostatic binding can be investigated by variety of methods </w:t>
      </w:r>
      <w:r w:rsidRPr="008C5C8B">
        <w:rPr>
          <w:bCs/>
          <w:lang w:eastAsia="en-US"/>
        </w:rPr>
        <w:t>(Demeunynck et al., 2002)</w:t>
      </w:r>
      <w:r w:rsidRPr="008C5C8B">
        <w:rPr>
          <w:bCs/>
          <w:lang w:val="hr-HR" w:eastAsia="en-US"/>
        </w:rPr>
        <w:t>. In order to detect possible presence of DNA/RNA active compounds in extracts, we u</w:t>
      </w:r>
      <w:r w:rsidR="00EE56F9">
        <w:rPr>
          <w:bCs/>
          <w:lang w:val="hr-HR" w:eastAsia="en-US"/>
        </w:rPr>
        <w:t>tilized</w:t>
      </w:r>
      <w:r w:rsidRPr="008C5C8B">
        <w:rPr>
          <w:bCs/>
          <w:lang w:val="hr-HR" w:eastAsia="en-US"/>
        </w:rPr>
        <w:t xml:space="preserve"> the most common</w:t>
      </w:r>
      <w:r w:rsidR="00EE56F9">
        <w:rPr>
          <w:bCs/>
          <w:lang w:val="hr-HR" w:eastAsia="en-US"/>
        </w:rPr>
        <w:t xml:space="preserve"> </w:t>
      </w:r>
      <w:r w:rsidRPr="008C5C8B">
        <w:rPr>
          <w:bCs/>
          <w:lang w:val="hr-HR" w:eastAsia="en-US"/>
        </w:rPr>
        <w:t>methods in DNA binding studies: CD spectroscopy and the thermal denaturation of polynucleotides (Mergny and Lacroix, 2003, Eriksson et al., 2001). While the former</w:t>
      </w:r>
      <w:r w:rsidR="00ED2D8F">
        <w:rPr>
          <w:bCs/>
          <w:lang w:val="hr-HR" w:eastAsia="en-US"/>
        </w:rPr>
        <w:t xml:space="preserve"> method</w:t>
      </w:r>
      <w:r w:rsidRPr="008C5C8B">
        <w:rPr>
          <w:bCs/>
          <w:lang w:val="hr-HR" w:eastAsia="en-US"/>
        </w:rPr>
        <w:t xml:space="preserve"> monitors the impact of studied compounds on CD spectra of polynucleotides, the latter provides the information about the polynucleotide stabilization driven by compounds (</w:t>
      </w:r>
      <w:r>
        <w:rPr>
          <w:bCs/>
          <w:lang w:val="hr-HR" w:eastAsia="en-US"/>
        </w:rPr>
        <w:sym w:font="Symbol" w:char="F044"/>
      </w:r>
      <w:r w:rsidRPr="008C5C8B">
        <w:rPr>
          <w:bCs/>
          <w:lang w:val="hr-HR" w:eastAsia="en-US"/>
        </w:rPr>
        <w:t>T</w:t>
      </w:r>
      <w:r w:rsidRPr="00ED2D8F">
        <w:rPr>
          <w:bCs/>
          <w:vertAlign w:val="subscript"/>
          <w:lang w:val="hr-HR" w:eastAsia="en-US"/>
        </w:rPr>
        <w:t>m</w:t>
      </w:r>
      <w:r w:rsidRPr="008C5C8B">
        <w:rPr>
          <w:bCs/>
          <w:lang w:val="hr-HR" w:eastAsia="en-US"/>
        </w:rPr>
        <w:t xml:space="preserve"> value).</w:t>
      </w:r>
      <w:r w:rsidRPr="008C5C8B">
        <w:t xml:space="preserve"> </w:t>
      </w:r>
      <w:r w:rsidRPr="008C5C8B">
        <w:rPr>
          <w:bCs/>
          <w:lang w:val="hr-HR" w:eastAsia="en-US"/>
        </w:rPr>
        <w:t>We investigated interactions of compounds in extracts and NADES constituents with ctDNA and poly A – poly U in buffer solutions (see Materials and Methods, section 2.9).</w:t>
      </w:r>
      <w:r>
        <w:rPr>
          <w:bCs/>
          <w:lang w:val="hr-HR" w:eastAsia="en-US"/>
        </w:rPr>
        <w:t xml:space="preserve"> </w:t>
      </w:r>
    </w:p>
    <w:p w14:paraId="1353C48E" w14:textId="77777777" w:rsidR="00CD28E0" w:rsidRDefault="00CD28E0" w:rsidP="00B10018">
      <w:pPr>
        <w:shd w:val="clear" w:color="auto" w:fill="FFFFFF"/>
        <w:autoSpaceDE w:val="0"/>
        <w:autoSpaceDN w:val="0"/>
        <w:adjustRightInd w:val="0"/>
        <w:spacing w:line="480" w:lineRule="auto"/>
        <w:jc w:val="both"/>
        <w:rPr>
          <w:bCs/>
          <w:lang w:eastAsia="en-US"/>
        </w:rPr>
      </w:pPr>
    </w:p>
    <w:p w14:paraId="0FA83A14" w14:textId="77777777" w:rsidR="00CD28E0" w:rsidRPr="00AC1DD6" w:rsidRDefault="00CD28E0" w:rsidP="00CD28E0">
      <w:r>
        <w:t>[Figure</w:t>
      </w:r>
      <w:r w:rsidRPr="00AC1DD6">
        <w:t xml:space="preserve"> </w:t>
      </w:r>
      <w:r>
        <w:t>4 near here]</w:t>
      </w:r>
      <w:r w:rsidRPr="00AC1DD6">
        <w:t xml:space="preserve"> </w:t>
      </w:r>
    </w:p>
    <w:p w14:paraId="43C8D779" w14:textId="77777777" w:rsidR="00CD28E0" w:rsidRPr="005450E1" w:rsidRDefault="00CD28E0" w:rsidP="00B10018">
      <w:pPr>
        <w:shd w:val="clear" w:color="auto" w:fill="FFFFFF"/>
        <w:autoSpaceDE w:val="0"/>
        <w:autoSpaceDN w:val="0"/>
        <w:adjustRightInd w:val="0"/>
        <w:spacing w:line="480" w:lineRule="auto"/>
        <w:jc w:val="both"/>
        <w:rPr>
          <w:bCs/>
          <w:lang w:eastAsia="en-US"/>
        </w:rPr>
      </w:pPr>
    </w:p>
    <w:p w14:paraId="0AFF1E5E" w14:textId="77777777" w:rsidR="00824E31" w:rsidRDefault="00824E31" w:rsidP="00B10018">
      <w:pPr>
        <w:shd w:val="clear" w:color="auto" w:fill="FFFFFF"/>
        <w:autoSpaceDE w:val="0"/>
        <w:autoSpaceDN w:val="0"/>
        <w:adjustRightInd w:val="0"/>
        <w:spacing w:line="480" w:lineRule="auto"/>
        <w:jc w:val="both"/>
        <w:rPr>
          <w:bCs/>
          <w:lang w:eastAsia="en-US"/>
        </w:rPr>
      </w:pPr>
      <w:r w:rsidRPr="005450E1">
        <w:rPr>
          <w:bCs/>
          <w:lang w:eastAsia="en-US"/>
        </w:rPr>
        <w:lastRenderedPageBreak/>
        <w:t xml:space="preserve">Only extracts from grape pomace </w:t>
      </w:r>
      <w:r w:rsidR="00E25683">
        <w:rPr>
          <w:bCs/>
          <w:lang w:eastAsia="en-US"/>
        </w:rPr>
        <w:t>induced</w:t>
      </w:r>
      <w:r w:rsidRPr="005450E1">
        <w:rPr>
          <w:bCs/>
          <w:lang w:eastAsia="en-US"/>
        </w:rPr>
        <w:t xml:space="preserve"> stabilization of both DNA and RNA (Table 2</w:t>
      </w:r>
      <w:r w:rsidR="00E26747">
        <w:rPr>
          <w:bCs/>
          <w:lang w:eastAsia="en-US"/>
        </w:rPr>
        <w:t>, Figure 4a</w:t>
      </w:r>
      <w:r w:rsidRPr="005450E1">
        <w:rPr>
          <w:bCs/>
          <w:lang w:eastAsia="en-US"/>
        </w:rPr>
        <w:t xml:space="preserve">) </w:t>
      </w:r>
      <w:r w:rsidR="008C5C8B" w:rsidRPr="008C5C8B">
        <w:rPr>
          <w:bCs/>
          <w:lang w:val="hr-HR" w:eastAsia="en-US"/>
        </w:rPr>
        <w:t>indicating the presence of DNA/RNA active compounds in these extracts</w:t>
      </w:r>
      <w:r w:rsidR="00AC1706" w:rsidRPr="005450E1">
        <w:rPr>
          <w:bCs/>
          <w:lang w:eastAsia="en-US"/>
        </w:rPr>
        <w:t>.</w:t>
      </w:r>
      <w:r w:rsidRPr="005450E1">
        <w:rPr>
          <w:bCs/>
          <w:lang w:eastAsia="en-US"/>
        </w:rPr>
        <w:t xml:space="preserve"> We also investigated interactions of choline chloride and citric acid with DNA and RNA to see whether the solvents used for the extraction from grape and olive pomace have an influence on interaction with </w:t>
      </w:r>
      <w:r w:rsidR="00A8383E">
        <w:rPr>
          <w:bCs/>
          <w:lang w:eastAsia="en-US"/>
        </w:rPr>
        <w:t>these biomacromolecules</w:t>
      </w:r>
      <w:r w:rsidRPr="005450E1">
        <w:rPr>
          <w:bCs/>
          <w:lang w:eastAsia="en-US"/>
        </w:rPr>
        <w:t xml:space="preserve">. Neither choline chloride or citric acid showed significant stabilization or destabilization of </w:t>
      </w:r>
      <w:r w:rsidR="00E25683">
        <w:rPr>
          <w:bCs/>
          <w:lang w:eastAsia="en-US"/>
        </w:rPr>
        <w:t>studied polynucleotides</w:t>
      </w:r>
      <w:r w:rsidRPr="005450E1">
        <w:rPr>
          <w:bCs/>
          <w:lang w:eastAsia="en-US"/>
        </w:rPr>
        <w:t xml:space="preserve"> (Supplementary).</w:t>
      </w:r>
    </w:p>
    <w:p w14:paraId="783CB4B7" w14:textId="77777777" w:rsidR="00CD28E0" w:rsidRDefault="00CD28E0" w:rsidP="00B10018">
      <w:pPr>
        <w:shd w:val="clear" w:color="auto" w:fill="FFFFFF"/>
        <w:autoSpaceDE w:val="0"/>
        <w:autoSpaceDN w:val="0"/>
        <w:adjustRightInd w:val="0"/>
        <w:spacing w:line="480" w:lineRule="auto"/>
        <w:jc w:val="both"/>
        <w:rPr>
          <w:bCs/>
          <w:lang w:eastAsia="en-US"/>
        </w:rPr>
      </w:pPr>
    </w:p>
    <w:p w14:paraId="4BEDD601" w14:textId="77777777" w:rsidR="00CD28E0" w:rsidRPr="00AC1DD6" w:rsidRDefault="00CD28E0" w:rsidP="00CD28E0">
      <w:r>
        <w:t>[</w:t>
      </w:r>
      <w:r w:rsidRPr="00AC1DD6">
        <w:t xml:space="preserve">Table </w:t>
      </w:r>
      <w:r>
        <w:t>2 near here]</w:t>
      </w:r>
      <w:r w:rsidRPr="00AC1DD6">
        <w:t xml:space="preserve"> </w:t>
      </w:r>
    </w:p>
    <w:p w14:paraId="7E37B236" w14:textId="77777777" w:rsidR="00CD28E0" w:rsidRPr="005450E1" w:rsidRDefault="00CD28E0" w:rsidP="00B10018">
      <w:pPr>
        <w:shd w:val="clear" w:color="auto" w:fill="FFFFFF"/>
        <w:autoSpaceDE w:val="0"/>
        <w:autoSpaceDN w:val="0"/>
        <w:adjustRightInd w:val="0"/>
        <w:spacing w:line="480" w:lineRule="auto"/>
        <w:jc w:val="both"/>
        <w:rPr>
          <w:bCs/>
          <w:lang w:eastAsia="en-US"/>
        </w:rPr>
      </w:pPr>
    </w:p>
    <w:p w14:paraId="05863796" w14:textId="01D5AD95" w:rsidR="00F04A70" w:rsidRPr="00F04A70" w:rsidRDefault="008C5C8B" w:rsidP="00F04A70">
      <w:pPr>
        <w:shd w:val="clear" w:color="auto" w:fill="FFFFFF"/>
        <w:autoSpaceDE w:val="0"/>
        <w:autoSpaceDN w:val="0"/>
        <w:adjustRightInd w:val="0"/>
        <w:spacing w:line="480" w:lineRule="auto"/>
        <w:jc w:val="both"/>
        <w:rPr>
          <w:bCs/>
          <w:highlight w:val="yellow"/>
          <w:lang w:eastAsia="en-US"/>
        </w:rPr>
      </w:pPr>
      <w:r w:rsidRPr="008C5C8B">
        <w:rPr>
          <w:bCs/>
          <w:lang w:eastAsia="en-US"/>
        </w:rPr>
        <w:t xml:space="preserve">The most reliable information on compounds’ interaction with polynucleotides can be obtained in CD region at </w:t>
      </w:r>
      <w:r w:rsidRPr="008C5C8B">
        <w:rPr>
          <w:bCs/>
          <w:lang w:eastAsia="en-US"/>
        </w:rPr>
        <w:sym w:font="Symbol" w:char="F06C"/>
      </w:r>
      <w:r w:rsidRPr="008C5C8B">
        <w:rPr>
          <w:bCs/>
          <w:lang w:eastAsia="en-US"/>
        </w:rPr>
        <w:t xml:space="preserve"> </w:t>
      </w:r>
      <w:r w:rsidRPr="008C5C8B">
        <w:rPr>
          <w:bCs/>
          <w:lang w:eastAsia="en-US"/>
        </w:rPr>
        <w:sym w:font="Symbol" w:char="F03E"/>
      </w:r>
      <w:r w:rsidRPr="008C5C8B">
        <w:rPr>
          <w:bCs/>
          <w:lang w:eastAsia="en-US"/>
        </w:rPr>
        <w:t xml:space="preserve"> 300 nm, where polynucleotides do not absorb while compounds are CD-active.</w:t>
      </w:r>
      <w:r w:rsidR="00ED2D8F">
        <w:rPr>
          <w:bCs/>
          <w:lang w:eastAsia="en-US"/>
        </w:rPr>
        <w:t xml:space="preserve"> </w:t>
      </w:r>
      <w:r>
        <w:rPr>
          <w:bCs/>
          <w:lang w:eastAsia="en-US"/>
        </w:rPr>
        <w:t>G</w:t>
      </w:r>
      <w:r w:rsidR="00824E31" w:rsidRPr="005450E1">
        <w:rPr>
          <w:bCs/>
          <w:lang w:eastAsia="en-US"/>
        </w:rPr>
        <w:t xml:space="preserve">rape pomace extract exhibited CD bands around 330 and 390 nm, smaller in case of ctDNA and greater in case of poly A – poly U (Figure </w:t>
      </w:r>
      <w:r w:rsidR="00354C6A">
        <w:rPr>
          <w:bCs/>
          <w:lang w:eastAsia="en-US"/>
        </w:rPr>
        <w:t>4b</w:t>
      </w:r>
      <w:r w:rsidR="00824E31" w:rsidRPr="005450E1">
        <w:rPr>
          <w:bCs/>
          <w:lang w:eastAsia="en-US"/>
        </w:rPr>
        <w:t>, Supplementary). Unlike grape pomace</w:t>
      </w:r>
      <w:r w:rsidR="00824E31" w:rsidRPr="00CA20C2">
        <w:rPr>
          <w:bCs/>
          <w:lang w:eastAsia="en-US"/>
        </w:rPr>
        <w:t xml:space="preserve">, the olive pomace extract as well as choline chloride and citric acid </w:t>
      </w:r>
      <w:r w:rsidR="0091361B">
        <w:rPr>
          <w:bCs/>
          <w:lang w:eastAsia="en-US"/>
        </w:rPr>
        <w:t>displayed</w:t>
      </w:r>
      <w:r w:rsidR="0091361B" w:rsidRPr="00CA20C2">
        <w:rPr>
          <w:bCs/>
          <w:lang w:eastAsia="en-US"/>
        </w:rPr>
        <w:t xml:space="preserve"> </w:t>
      </w:r>
      <w:r w:rsidR="00824E31" w:rsidRPr="00CA20C2">
        <w:rPr>
          <w:bCs/>
          <w:lang w:eastAsia="en-US"/>
        </w:rPr>
        <w:t>only negligible changes of CD spectra of both polynucleotides (</w:t>
      </w:r>
      <w:r w:rsidR="00824E31">
        <w:rPr>
          <w:bCs/>
          <w:lang w:eastAsia="en-US"/>
        </w:rPr>
        <w:t xml:space="preserve">Supplementary). </w:t>
      </w:r>
      <w:r w:rsidR="00824E31" w:rsidRPr="00CA20C2">
        <w:rPr>
          <w:bCs/>
          <w:lang w:eastAsia="en-US"/>
        </w:rPr>
        <w:t xml:space="preserve">Significant stabilization effects of DNA and RNA as well as the </w:t>
      </w:r>
      <w:r w:rsidR="006D14A7">
        <w:rPr>
          <w:bCs/>
          <w:lang w:eastAsia="en-US"/>
        </w:rPr>
        <w:t>presence</w:t>
      </w:r>
      <w:r w:rsidR="006D14A7" w:rsidRPr="00CA20C2">
        <w:rPr>
          <w:bCs/>
          <w:lang w:eastAsia="en-US"/>
        </w:rPr>
        <w:t xml:space="preserve"> </w:t>
      </w:r>
      <w:r w:rsidR="00824E31" w:rsidRPr="00CA20C2">
        <w:rPr>
          <w:bCs/>
          <w:lang w:eastAsia="en-US"/>
        </w:rPr>
        <w:t xml:space="preserve">of CD signals at wavelengths above 300 nm </w:t>
      </w:r>
      <w:r w:rsidR="00EC7AE0" w:rsidRPr="00EC7AE0">
        <w:rPr>
          <w:bCs/>
          <w:lang w:eastAsia="en-US"/>
        </w:rPr>
        <w:t xml:space="preserve">are in line with findings </w:t>
      </w:r>
      <w:r w:rsidR="00EC7AE0">
        <w:rPr>
          <w:bCs/>
          <w:lang w:eastAsia="en-US"/>
        </w:rPr>
        <w:t>of</w:t>
      </w:r>
      <w:r w:rsidR="00EC7AE0" w:rsidRPr="00E66A09">
        <w:rPr>
          <w:bCs/>
          <w:lang w:eastAsia="en-US"/>
        </w:rPr>
        <w:t xml:space="preserve"> </w:t>
      </w:r>
      <w:r w:rsidR="00824E31" w:rsidRPr="00E66A09">
        <w:rPr>
          <w:bCs/>
          <w:lang w:eastAsia="en-US"/>
        </w:rPr>
        <w:t>high</w:t>
      </w:r>
      <w:r w:rsidR="00EC7AE0">
        <w:rPr>
          <w:bCs/>
          <w:lang w:eastAsia="en-US"/>
        </w:rPr>
        <w:t>er</w:t>
      </w:r>
      <w:r w:rsidR="00824E31" w:rsidRPr="00E66A09">
        <w:rPr>
          <w:bCs/>
          <w:lang w:eastAsia="en-US"/>
        </w:rPr>
        <w:t xml:space="preserve"> percentage of polyphenols </w:t>
      </w:r>
      <w:r w:rsidR="00EC7AE0" w:rsidRPr="00EC7AE0">
        <w:rPr>
          <w:bCs/>
          <w:lang w:eastAsia="en-US"/>
        </w:rPr>
        <w:t xml:space="preserve">with larger aromatic surfaces </w:t>
      </w:r>
      <w:r w:rsidR="00824E31" w:rsidRPr="00E66A09">
        <w:rPr>
          <w:bCs/>
          <w:lang w:eastAsia="en-US"/>
        </w:rPr>
        <w:t xml:space="preserve">like </w:t>
      </w:r>
      <w:r w:rsidR="00AA7481" w:rsidRPr="00CA20C2">
        <w:rPr>
          <w:rFonts w:eastAsia="Calibri"/>
          <w:bCs/>
          <w:lang w:eastAsia="en-US"/>
        </w:rPr>
        <w:t>catechin</w:t>
      </w:r>
      <w:r w:rsidR="00985D55">
        <w:rPr>
          <w:rFonts w:eastAsia="Calibri"/>
          <w:bCs/>
          <w:lang w:eastAsia="en-US"/>
        </w:rPr>
        <w:t>s</w:t>
      </w:r>
      <w:r w:rsidR="00AA7481" w:rsidRPr="00CA20C2">
        <w:rPr>
          <w:rFonts w:eastAsia="Calibri"/>
          <w:bCs/>
          <w:lang w:eastAsia="en-US"/>
        </w:rPr>
        <w:t xml:space="preserve"> and </w:t>
      </w:r>
      <w:r w:rsidR="00AA7481">
        <w:rPr>
          <w:rFonts w:eastAsia="Calibri"/>
          <w:bCs/>
          <w:lang w:eastAsia="en-US"/>
        </w:rPr>
        <w:t>anthocyanins</w:t>
      </w:r>
      <w:r w:rsidR="00AA7481" w:rsidRPr="00CA20C2">
        <w:rPr>
          <w:rFonts w:eastAsia="Calibri"/>
          <w:bCs/>
          <w:lang w:eastAsia="en-US"/>
        </w:rPr>
        <w:t xml:space="preserve"> </w:t>
      </w:r>
      <w:r w:rsidR="00824E31" w:rsidRPr="00E66A09">
        <w:rPr>
          <w:bCs/>
          <w:lang w:eastAsia="en-US"/>
        </w:rPr>
        <w:t xml:space="preserve">in grape pomace (Table 1). Recently it was reported by two different methods (surface plasmon resonance assay and cold spray ionization-mass spectrometry) that catechins from green tea bind to both DNA and RNA molecules (Kuzuhara et al, 2006). </w:t>
      </w:r>
      <w:r w:rsidR="00B54DD6" w:rsidRPr="00556B8D">
        <w:rPr>
          <w:bCs/>
          <w:highlight w:val="yellow"/>
          <w:lang w:eastAsia="en-US"/>
        </w:rPr>
        <w:t>Thermal melting experiments could not be carried out in NADES of the relevant ionic strength (</w:t>
      </w:r>
      <w:r w:rsidR="00B54DD6" w:rsidRPr="001C3A56">
        <w:rPr>
          <w:bCs/>
          <w:i/>
          <w:highlight w:val="yellow"/>
          <w:lang w:eastAsia="en-US"/>
        </w:rPr>
        <w:t>I</w:t>
      </w:r>
      <w:r w:rsidR="00B54DD6" w:rsidRPr="00556B8D">
        <w:rPr>
          <w:bCs/>
          <w:highlight w:val="yellow"/>
          <w:lang w:eastAsia="en-US"/>
        </w:rPr>
        <w:t xml:space="preserve"> = 0.05 mol dm</w:t>
      </w:r>
      <w:r w:rsidR="00B54DD6" w:rsidRPr="00556B8D">
        <w:rPr>
          <w:bCs/>
          <w:highlight w:val="yellow"/>
          <w:vertAlign w:val="superscript"/>
          <w:lang w:eastAsia="en-US"/>
        </w:rPr>
        <w:t>-3</w:t>
      </w:r>
      <w:r w:rsidR="00B54DD6" w:rsidRPr="00556B8D">
        <w:rPr>
          <w:bCs/>
          <w:highlight w:val="yellow"/>
          <w:lang w:eastAsia="en-US"/>
        </w:rPr>
        <w:t>) due to high total absorption of NADES and polynucleotide which exceeded the instrument detection limit (Supplementary).</w:t>
      </w:r>
      <w:r w:rsidR="00B54DD6" w:rsidRPr="00B54DD6">
        <w:rPr>
          <w:bCs/>
          <w:lang w:eastAsia="en-US"/>
        </w:rPr>
        <w:t xml:space="preserve"> </w:t>
      </w:r>
      <w:r w:rsidR="00556B8D" w:rsidRPr="0036711E">
        <w:rPr>
          <w:bCs/>
          <w:highlight w:val="yellow"/>
          <w:lang w:val="hr-HR" w:eastAsia="en-US"/>
        </w:rPr>
        <w:t xml:space="preserve">Unlike </w:t>
      </w:r>
      <w:r w:rsidR="00556B8D" w:rsidRPr="0036711E">
        <w:rPr>
          <w:bCs/>
          <w:highlight w:val="yellow"/>
          <w:lang w:val="hr-HR" w:eastAsia="en-US"/>
        </w:rPr>
        <w:sym w:font="Symbol" w:char="F044"/>
      </w:r>
      <w:r w:rsidR="00556B8D" w:rsidRPr="0036711E">
        <w:rPr>
          <w:bCs/>
          <w:highlight w:val="yellow"/>
          <w:lang w:val="hr-HR" w:eastAsia="en-US"/>
        </w:rPr>
        <w:t>T</w:t>
      </w:r>
      <w:r w:rsidR="00556B8D" w:rsidRPr="0036711E">
        <w:rPr>
          <w:bCs/>
          <w:highlight w:val="yellow"/>
          <w:vertAlign w:val="subscript"/>
          <w:lang w:val="hr-HR" w:eastAsia="en-US"/>
        </w:rPr>
        <w:t>m</w:t>
      </w:r>
      <w:r w:rsidR="00556B8D" w:rsidRPr="0036711E">
        <w:rPr>
          <w:bCs/>
          <w:highlight w:val="yellow"/>
          <w:lang w:val="hr-HR" w:eastAsia="en-US"/>
        </w:rPr>
        <w:t xml:space="preserve"> experiments, CD experiments were possible to perform in NADES. Since only grape pomace extract exerted the significant CD changes in the cacodylate buffer in the relevant CD region (above 300 nm), we performed CD experiments with that extract in 50 mM NADES to see the effect of NADES on </w:t>
      </w:r>
      <w:r w:rsidR="00556B8D" w:rsidRPr="0036711E">
        <w:rPr>
          <w:bCs/>
          <w:highlight w:val="yellow"/>
          <w:lang w:val="hr-HR" w:eastAsia="en-US"/>
        </w:rPr>
        <w:lastRenderedPageBreak/>
        <w:t xml:space="preserve">interaction of extract and DNA. </w:t>
      </w:r>
      <w:r w:rsidR="00F04A70" w:rsidRPr="00F04A70">
        <w:rPr>
          <w:bCs/>
          <w:highlight w:val="yellow"/>
          <w:lang w:val="hr-HR" w:eastAsia="en-US"/>
        </w:rPr>
        <w:t>Addition of grape pomace extract to NADES solution</w:t>
      </w:r>
      <w:r w:rsidR="00F04A70">
        <w:rPr>
          <w:bCs/>
          <w:highlight w:val="yellow"/>
          <w:lang w:val="hr-HR" w:eastAsia="en-US"/>
        </w:rPr>
        <w:t xml:space="preserve"> </w:t>
      </w:r>
      <w:r w:rsidR="00F04A70" w:rsidRPr="00F04A70">
        <w:rPr>
          <w:bCs/>
          <w:highlight w:val="yellow"/>
          <w:lang w:val="hr-HR" w:eastAsia="en-US"/>
        </w:rPr>
        <w:t>containing</w:t>
      </w:r>
      <w:r w:rsidR="00F04A70">
        <w:rPr>
          <w:bCs/>
          <w:highlight w:val="yellow"/>
          <w:lang w:val="hr-HR" w:eastAsia="en-US"/>
        </w:rPr>
        <w:t xml:space="preserve"> polynucleotide </w:t>
      </w:r>
      <w:r w:rsidR="00F04A70" w:rsidRPr="00F04A70">
        <w:rPr>
          <w:bCs/>
          <w:highlight w:val="yellow"/>
          <w:lang w:val="hr-HR" w:eastAsia="en-US"/>
        </w:rPr>
        <w:t xml:space="preserve">resulted in an appearance of the positive CD bands near 330 nm.  </w:t>
      </w:r>
    </w:p>
    <w:p w14:paraId="090F2CDE" w14:textId="77777777" w:rsidR="00F04A70" w:rsidRPr="00F04A70" w:rsidRDefault="00F04A70" w:rsidP="00F04A70">
      <w:pPr>
        <w:shd w:val="clear" w:color="auto" w:fill="FFFFFF"/>
        <w:autoSpaceDE w:val="0"/>
        <w:autoSpaceDN w:val="0"/>
        <w:adjustRightInd w:val="0"/>
        <w:spacing w:line="480" w:lineRule="auto"/>
        <w:jc w:val="both"/>
        <w:rPr>
          <w:bCs/>
          <w:highlight w:val="yellow"/>
          <w:lang w:val="hr-HR" w:eastAsia="en-US"/>
        </w:rPr>
      </w:pPr>
      <w:r w:rsidRPr="00F04A70">
        <w:rPr>
          <w:bCs/>
          <w:highlight w:val="yellow"/>
          <w:lang w:eastAsia="en-US"/>
        </w:rPr>
        <w:t xml:space="preserve">CD changes in NADES similar to those in </w:t>
      </w:r>
      <w:r w:rsidRPr="00F04A70">
        <w:rPr>
          <w:bCs/>
          <w:highlight w:val="yellow"/>
          <w:lang w:val="hr-HR" w:eastAsia="en-US"/>
        </w:rPr>
        <w:t xml:space="preserve">cacodylate buffer suggested that replacement of media (cacodylate buffer with NADES) did not have effect on dominant interaction of grape pomace extract compounds' with DNA (Supplementary, Figure S11). </w:t>
      </w:r>
    </w:p>
    <w:p w14:paraId="39BCB741" w14:textId="34EDDEBF" w:rsidR="00824E31" w:rsidRDefault="00824E31" w:rsidP="00B10018">
      <w:pPr>
        <w:shd w:val="clear" w:color="auto" w:fill="FFFFFF"/>
        <w:autoSpaceDE w:val="0"/>
        <w:autoSpaceDN w:val="0"/>
        <w:adjustRightInd w:val="0"/>
        <w:spacing w:line="480" w:lineRule="auto"/>
        <w:jc w:val="both"/>
        <w:rPr>
          <w:bCs/>
          <w:lang w:eastAsia="en-US"/>
        </w:rPr>
      </w:pPr>
      <w:r w:rsidRPr="00E66A09">
        <w:rPr>
          <w:bCs/>
          <w:lang w:eastAsia="en-US"/>
        </w:rPr>
        <w:t>In con</w:t>
      </w:r>
      <w:r w:rsidR="0091361B">
        <w:rPr>
          <w:bCs/>
          <w:lang w:eastAsia="en-US"/>
        </w:rPr>
        <w:t>c</w:t>
      </w:r>
      <w:r w:rsidRPr="00E66A09">
        <w:rPr>
          <w:bCs/>
          <w:lang w:eastAsia="en-US"/>
        </w:rPr>
        <w:t xml:space="preserve">lusion, a binding study with DNA and RNA suggested that grape pomace, despite being a by-product, still contains </w:t>
      </w:r>
      <w:r w:rsidR="00907494" w:rsidRPr="00907494">
        <w:rPr>
          <w:bCs/>
          <w:lang w:eastAsia="en-US"/>
        </w:rPr>
        <w:t xml:space="preserve">compounds with </w:t>
      </w:r>
      <w:r w:rsidR="00907494" w:rsidRPr="00907494">
        <w:rPr>
          <w:bCs/>
          <w:lang w:val="hr-HR" w:eastAsia="en-US"/>
        </w:rPr>
        <w:t>DNA/RNA-binding affinity</w:t>
      </w:r>
      <w:r w:rsidRPr="00E66A09">
        <w:rPr>
          <w:bCs/>
          <w:lang w:eastAsia="en-US"/>
        </w:rPr>
        <w:t xml:space="preserve"> while NADES constituents do not have harmful effects on DNA and RNA biomacromolecules</w:t>
      </w:r>
      <w:r w:rsidR="00A67F69">
        <w:rPr>
          <w:bCs/>
          <w:lang w:eastAsia="en-US"/>
        </w:rPr>
        <w:t xml:space="preserve"> </w:t>
      </w:r>
      <w:r w:rsidR="00A67F69" w:rsidRPr="00A67F69">
        <w:rPr>
          <w:bCs/>
          <w:highlight w:val="yellow"/>
          <w:lang w:eastAsia="en-US"/>
        </w:rPr>
        <w:t xml:space="preserve">(Figures </w:t>
      </w:r>
      <w:r w:rsidR="00A67F69">
        <w:rPr>
          <w:bCs/>
          <w:highlight w:val="yellow"/>
          <w:lang w:eastAsia="en-US"/>
        </w:rPr>
        <w:t xml:space="preserve">S5, </w:t>
      </w:r>
      <w:r w:rsidR="00A67F69" w:rsidRPr="00A67F69">
        <w:rPr>
          <w:bCs/>
          <w:highlight w:val="yellow"/>
          <w:lang w:eastAsia="en-US"/>
        </w:rPr>
        <w:t>S9-10, Supplementary)</w:t>
      </w:r>
      <w:r w:rsidRPr="00E66A09">
        <w:rPr>
          <w:bCs/>
          <w:lang w:eastAsia="en-US"/>
        </w:rPr>
        <w:t>.</w:t>
      </w:r>
    </w:p>
    <w:p w14:paraId="17CF1959" w14:textId="77777777" w:rsidR="00CD28E0" w:rsidRDefault="00CD28E0" w:rsidP="00B10018">
      <w:pPr>
        <w:shd w:val="clear" w:color="auto" w:fill="FFFFFF"/>
        <w:autoSpaceDE w:val="0"/>
        <w:autoSpaceDN w:val="0"/>
        <w:adjustRightInd w:val="0"/>
        <w:spacing w:line="480" w:lineRule="auto"/>
        <w:jc w:val="both"/>
        <w:rPr>
          <w:bCs/>
          <w:lang w:eastAsia="en-US"/>
        </w:rPr>
      </w:pPr>
    </w:p>
    <w:p w14:paraId="7F0C31E9" w14:textId="77777777" w:rsidR="00824E31" w:rsidRPr="0004451C" w:rsidRDefault="00824E31" w:rsidP="0096290C">
      <w:pPr>
        <w:numPr>
          <w:ilvl w:val="0"/>
          <w:numId w:val="4"/>
        </w:numPr>
        <w:spacing w:line="360" w:lineRule="auto"/>
        <w:jc w:val="both"/>
        <w:rPr>
          <w:b/>
        </w:rPr>
      </w:pPr>
      <w:r w:rsidRPr="00A2444E">
        <w:rPr>
          <w:b/>
        </w:rPr>
        <w:t>C</w:t>
      </w:r>
      <w:r w:rsidR="0096290C" w:rsidRPr="00A2444E">
        <w:rPr>
          <w:b/>
        </w:rPr>
        <w:t>onclusion</w:t>
      </w:r>
    </w:p>
    <w:p w14:paraId="11E3BBE5" w14:textId="77777777" w:rsidR="00824E31" w:rsidRDefault="00824E31" w:rsidP="00B10018">
      <w:pPr>
        <w:spacing w:line="480" w:lineRule="auto"/>
        <w:jc w:val="both"/>
        <w:rPr>
          <w:bCs/>
          <w:lang w:eastAsia="en-US"/>
        </w:rPr>
      </w:pPr>
      <w:r w:rsidRPr="00D67760">
        <w:rPr>
          <w:bCs/>
          <w:lang w:eastAsia="en-US"/>
        </w:rPr>
        <w:t xml:space="preserve">Taken all together, presented results indicate that selected environmentally friendly extraction method gives better yield of </w:t>
      </w:r>
      <w:r>
        <w:rPr>
          <w:bCs/>
          <w:lang w:eastAsia="en-US"/>
        </w:rPr>
        <w:t>polyphenol</w:t>
      </w:r>
      <w:r w:rsidRPr="00D67760">
        <w:rPr>
          <w:bCs/>
          <w:lang w:eastAsia="en-US"/>
        </w:rPr>
        <w:t xml:space="preserve">ics from food by-products than classical extraction with EtOH as a solvent. </w:t>
      </w:r>
      <w:r>
        <w:rPr>
          <w:bCs/>
          <w:lang w:eastAsia="en-US"/>
        </w:rPr>
        <w:t>G</w:t>
      </w:r>
      <w:r w:rsidRPr="00D67760">
        <w:rPr>
          <w:bCs/>
          <w:lang w:eastAsia="en-US"/>
        </w:rPr>
        <w:t xml:space="preserve">ood extractability of </w:t>
      </w:r>
      <w:r>
        <w:rPr>
          <w:bCs/>
          <w:lang w:eastAsia="en-US"/>
        </w:rPr>
        <w:t>polyphenolic compounds in NADES</w:t>
      </w:r>
      <w:r w:rsidRPr="00D67760">
        <w:rPr>
          <w:bCs/>
          <w:lang w:eastAsia="en-US"/>
        </w:rPr>
        <w:t xml:space="preserve">, especially herein from grape pomace, supports the use of NADES for the extraction of </w:t>
      </w:r>
      <w:r>
        <w:rPr>
          <w:bCs/>
          <w:lang w:eastAsia="en-US"/>
        </w:rPr>
        <w:t>polyphenol</w:t>
      </w:r>
      <w:r w:rsidRPr="00D67760">
        <w:rPr>
          <w:bCs/>
          <w:lang w:eastAsia="en-US"/>
        </w:rPr>
        <w:t>s from different plant material</w:t>
      </w:r>
      <w:r>
        <w:rPr>
          <w:bCs/>
          <w:lang w:eastAsia="en-US"/>
        </w:rPr>
        <w:t xml:space="preserve"> and/or food by-products</w:t>
      </w:r>
      <w:r w:rsidRPr="00D67760">
        <w:rPr>
          <w:bCs/>
          <w:lang w:eastAsia="en-US"/>
        </w:rPr>
        <w:t xml:space="preserve">. </w:t>
      </w:r>
      <w:r>
        <w:rPr>
          <w:bCs/>
          <w:lang w:eastAsia="en-US"/>
        </w:rPr>
        <w:t xml:space="preserve">Furthermore, determined antiproliferative and antioxidative activity of NADES-extract, together with the fact that </w:t>
      </w:r>
      <w:r w:rsidRPr="00576817">
        <w:rPr>
          <w:bCs/>
          <w:lang w:eastAsia="en-US"/>
        </w:rPr>
        <w:t>grape pomace contains DNA/RNA active compounds</w:t>
      </w:r>
      <w:r>
        <w:rPr>
          <w:bCs/>
          <w:lang w:eastAsia="en-US"/>
        </w:rPr>
        <w:t xml:space="preserve">, highlights the great potential of </w:t>
      </w:r>
      <w:r w:rsidRPr="00C06DB1">
        <w:rPr>
          <w:bCs/>
          <w:lang w:eastAsia="en-US"/>
        </w:rPr>
        <w:t>extracts</w:t>
      </w:r>
      <w:r>
        <w:rPr>
          <w:bCs/>
          <w:lang w:eastAsia="en-US"/>
        </w:rPr>
        <w:t xml:space="preserve"> obtained by NADES. </w:t>
      </w:r>
      <w:r w:rsidRPr="00D67760">
        <w:rPr>
          <w:bCs/>
          <w:lang w:eastAsia="en-US"/>
        </w:rPr>
        <w:t>However, obtained</w:t>
      </w:r>
      <w:r>
        <w:rPr>
          <w:bCs/>
          <w:lang w:eastAsia="en-US"/>
        </w:rPr>
        <w:t xml:space="preserve"> N</w:t>
      </w:r>
      <w:r w:rsidR="007309A1">
        <w:rPr>
          <w:bCs/>
          <w:lang w:eastAsia="en-US"/>
        </w:rPr>
        <w:t>A</w:t>
      </w:r>
      <w:r>
        <w:rPr>
          <w:bCs/>
          <w:lang w:eastAsia="en-US"/>
        </w:rPr>
        <w:t xml:space="preserve">DES extracts </w:t>
      </w:r>
      <w:r w:rsidR="007309A1">
        <w:rPr>
          <w:bCs/>
          <w:lang w:eastAsia="en-US"/>
        </w:rPr>
        <w:t>possess</w:t>
      </w:r>
      <w:r>
        <w:rPr>
          <w:bCs/>
          <w:lang w:eastAsia="en-US"/>
        </w:rPr>
        <w:t xml:space="preserve"> </w:t>
      </w:r>
      <w:r w:rsidRPr="00D67760">
        <w:rPr>
          <w:bCs/>
          <w:lang w:eastAsia="en-US"/>
        </w:rPr>
        <w:t xml:space="preserve">low pH </w:t>
      </w:r>
      <w:r w:rsidR="007309A1">
        <w:rPr>
          <w:bCs/>
          <w:lang w:eastAsia="en-US"/>
        </w:rPr>
        <w:t>value</w:t>
      </w:r>
      <w:r w:rsidRPr="00D67760">
        <w:rPr>
          <w:bCs/>
          <w:lang w:eastAsia="en-US"/>
        </w:rPr>
        <w:t xml:space="preserve">, </w:t>
      </w:r>
      <w:r w:rsidR="007309A1">
        <w:rPr>
          <w:bCs/>
          <w:lang w:eastAsia="en-US"/>
        </w:rPr>
        <w:t xml:space="preserve">so </w:t>
      </w:r>
      <w:r w:rsidRPr="00D67760">
        <w:rPr>
          <w:bCs/>
          <w:lang w:eastAsia="en-US"/>
        </w:rPr>
        <w:t xml:space="preserve">further </w:t>
      </w:r>
      <w:r w:rsidRPr="006457AB">
        <w:rPr>
          <w:bCs/>
          <w:lang w:eastAsia="en-US"/>
        </w:rPr>
        <w:t xml:space="preserve">pharmacokinetic </w:t>
      </w:r>
      <w:r>
        <w:rPr>
          <w:bCs/>
          <w:lang w:eastAsia="en-US"/>
        </w:rPr>
        <w:t xml:space="preserve">and </w:t>
      </w:r>
      <w:r w:rsidRPr="00D67760">
        <w:rPr>
          <w:bCs/>
          <w:i/>
          <w:lang w:eastAsia="en-US"/>
        </w:rPr>
        <w:t>in vivo</w:t>
      </w:r>
      <w:r w:rsidRPr="00D67760">
        <w:rPr>
          <w:bCs/>
          <w:lang w:eastAsia="en-US"/>
        </w:rPr>
        <w:t xml:space="preserve"> studies are needed to answer whether such </w:t>
      </w:r>
      <w:r>
        <w:rPr>
          <w:bCs/>
          <w:lang w:eastAsia="en-US"/>
        </w:rPr>
        <w:t>polyphenol</w:t>
      </w:r>
      <w:r w:rsidRPr="00D67760">
        <w:rPr>
          <w:bCs/>
          <w:lang w:eastAsia="en-US"/>
        </w:rPr>
        <w:t xml:space="preserve">ic extracts could be used in food and pharmaceutical industry without demanding and expensive downstream purification steps. </w:t>
      </w:r>
    </w:p>
    <w:p w14:paraId="68AC0A98" w14:textId="77777777" w:rsidR="00824E31" w:rsidRDefault="00824E31" w:rsidP="00281428">
      <w:pPr>
        <w:spacing w:line="480" w:lineRule="auto"/>
        <w:rPr>
          <w:bCs/>
          <w:color w:val="FF0000"/>
          <w:lang w:eastAsia="en-US"/>
        </w:rPr>
      </w:pPr>
    </w:p>
    <w:p w14:paraId="2B1F5139" w14:textId="77777777" w:rsidR="00824E31" w:rsidRPr="007A68B9" w:rsidRDefault="00824E31" w:rsidP="0096290C">
      <w:pPr>
        <w:numPr>
          <w:ilvl w:val="0"/>
          <w:numId w:val="4"/>
        </w:numPr>
        <w:autoSpaceDE w:val="0"/>
        <w:autoSpaceDN w:val="0"/>
        <w:adjustRightInd w:val="0"/>
        <w:spacing w:line="480" w:lineRule="auto"/>
        <w:rPr>
          <w:b/>
          <w:lang w:eastAsia="hr-HR"/>
        </w:rPr>
      </w:pPr>
      <w:r w:rsidRPr="007A68B9">
        <w:rPr>
          <w:b/>
          <w:lang w:eastAsia="hr-HR"/>
        </w:rPr>
        <w:t>Acknowledgements</w:t>
      </w:r>
    </w:p>
    <w:p w14:paraId="6B7BAFAD" w14:textId="77777777" w:rsidR="00824E31" w:rsidRDefault="00824E31" w:rsidP="00281428">
      <w:pPr>
        <w:autoSpaceDE w:val="0"/>
        <w:autoSpaceDN w:val="0"/>
        <w:adjustRightInd w:val="0"/>
        <w:spacing w:line="480" w:lineRule="auto"/>
        <w:rPr>
          <w:bCs/>
          <w:kern w:val="36"/>
          <w:lang w:eastAsia="hr-HR"/>
        </w:rPr>
      </w:pPr>
      <w:r w:rsidRPr="007A68B9">
        <w:rPr>
          <w:lang w:eastAsia="hr-HR"/>
        </w:rPr>
        <w:t xml:space="preserve">The work was supported </w:t>
      </w:r>
      <w:r w:rsidRPr="007A68B9">
        <w:rPr>
          <w:bCs/>
          <w:kern w:val="36"/>
          <w:lang w:eastAsia="hr-HR"/>
        </w:rPr>
        <w:t>through the Croatian Science Foundation (Grant No. 9550).</w:t>
      </w:r>
    </w:p>
    <w:p w14:paraId="030F73FE" w14:textId="77777777" w:rsidR="00824E31" w:rsidRDefault="00824E31" w:rsidP="00281428">
      <w:pPr>
        <w:autoSpaceDE w:val="0"/>
        <w:autoSpaceDN w:val="0"/>
        <w:adjustRightInd w:val="0"/>
        <w:spacing w:line="480" w:lineRule="auto"/>
        <w:rPr>
          <w:bCs/>
          <w:kern w:val="36"/>
          <w:lang w:eastAsia="hr-HR"/>
        </w:rPr>
      </w:pPr>
    </w:p>
    <w:p w14:paraId="02E1795F" w14:textId="77777777" w:rsidR="00824E31" w:rsidRPr="00D931D2" w:rsidRDefault="00824E31" w:rsidP="0096290C">
      <w:pPr>
        <w:numPr>
          <w:ilvl w:val="0"/>
          <w:numId w:val="4"/>
        </w:numPr>
        <w:autoSpaceDE w:val="0"/>
        <w:autoSpaceDN w:val="0"/>
        <w:adjustRightInd w:val="0"/>
        <w:spacing w:line="480" w:lineRule="auto"/>
        <w:rPr>
          <w:b/>
          <w:bCs/>
          <w:kern w:val="36"/>
          <w:lang w:eastAsia="hr-HR"/>
        </w:rPr>
      </w:pPr>
      <w:r w:rsidRPr="00D931D2">
        <w:rPr>
          <w:b/>
          <w:bCs/>
          <w:kern w:val="36"/>
          <w:lang w:eastAsia="hr-HR"/>
        </w:rPr>
        <w:t>Conflict of Interest</w:t>
      </w:r>
    </w:p>
    <w:p w14:paraId="1EF9D76E" w14:textId="77777777" w:rsidR="00824E31" w:rsidRDefault="00824E31" w:rsidP="00281428">
      <w:pPr>
        <w:autoSpaceDE w:val="0"/>
        <w:autoSpaceDN w:val="0"/>
        <w:adjustRightInd w:val="0"/>
        <w:spacing w:line="480" w:lineRule="auto"/>
        <w:rPr>
          <w:bCs/>
          <w:kern w:val="36"/>
          <w:lang w:eastAsia="hr-HR"/>
        </w:rPr>
      </w:pPr>
      <w:r w:rsidRPr="00D931D2">
        <w:rPr>
          <w:bCs/>
          <w:kern w:val="36"/>
          <w:lang w:eastAsia="hr-HR"/>
        </w:rPr>
        <w:lastRenderedPageBreak/>
        <w:t>The authors declare no conflict of interest.</w:t>
      </w:r>
    </w:p>
    <w:p w14:paraId="71CA5DFC" w14:textId="77777777" w:rsidR="00824E31" w:rsidRPr="004655BD" w:rsidRDefault="00824E31" w:rsidP="00281428">
      <w:pPr>
        <w:autoSpaceDE w:val="0"/>
        <w:autoSpaceDN w:val="0"/>
        <w:adjustRightInd w:val="0"/>
        <w:spacing w:line="480" w:lineRule="auto"/>
        <w:ind w:firstLine="426"/>
        <w:rPr>
          <w:lang w:eastAsia="hr-HR"/>
        </w:rPr>
      </w:pPr>
    </w:p>
    <w:p w14:paraId="7B848C99" w14:textId="77777777" w:rsidR="00824E31" w:rsidRDefault="00824E31" w:rsidP="0096290C">
      <w:pPr>
        <w:numPr>
          <w:ilvl w:val="0"/>
          <w:numId w:val="4"/>
        </w:numPr>
        <w:shd w:val="clear" w:color="auto" w:fill="FFFFFF"/>
        <w:autoSpaceDE w:val="0"/>
        <w:autoSpaceDN w:val="0"/>
        <w:adjustRightInd w:val="0"/>
        <w:spacing w:line="480" w:lineRule="auto"/>
        <w:rPr>
          <w:b/>
          <w:lang w:eastAsia="hr-HR"/>
        </w:rPr>
      </w:pPr>
      <w:r>
        <w:rPr>
          <w:b/>
          <w:lang w:eastAsia="hr-HR"/>
        </w:rPr>
        <w:t>References</w:t>
      </w:r>
    </w:p>
    <w:p w14:paraId="2712B3C2" w14:textId="77777777" w:rsidR="00B66067" w:rsidRPr="00E7031E" w:rsidRDefault="00B66067" w:rsidP="00F27FFE">
      <w:pPr>
        <w:widowControl w:val="0"/>
        <w:autoSpaceDE w:val="0"/>
        <w:autoSpaceDN w:val="0"/>
        <w:adjustRightInd w:val="0"/>
        <w:spacing w:line="480" w:lineRule="auto"/>
        <w:ind w:left="480" w:hanging="480"/>
        <w:jc w:val="both"/>
        <w:rPr>
          <w:rStyle w:val="fontstyle21"/>
          <w:color w:val="auto"/>
          <w:highlight w:val="yellow"/>
        </w:rPr>
      </w:pPr>
      <w:r w:rsidRPr="00ED2D8F">
        <w:rPr>
          <w:noProof/>
          <w:lang w:val="de-DE"/>
        </w:rPr>
        <w:t xml:space="preserve">Awwad, H. M., Geisel, J., &amp; Obeid, R. (2012). </w:t>
      </w:r>
      <w:r w:rsidRPr="00E7031E">
        <w:rPr>
          <w:noProof/>
        </w:rPr>
        <w:t xml:space="preserve">The role of choline in prostate cancer. </w:t>
      </w:r>
      <w:r w:rsidRPr="00E7031E">
        <w:rPr>
          <w:i/>
          <w:iCs/>
          <w:noProof/>
        </w:rPr>
        <w:t>Clinical Biochemistry</w:t>
      </w:r>
      <w:r w:rsidRPr="00E7031E">
        <w:rPr>
          <w:noProof/>
        </w:rPr>
        <w:t xml:space="preserve">, </w:t>
      </w:r>
      <w:r w:rsidRPr="00E7031E">
        <w:rPr>
          <w:i/>
          <w:iCs/>
          <w:noProof/>
        </w:rPr>
        <w:t>45</w:t>
      </w:r>
      <w:r w:rsidRPr="00E7031E">
        <w:rPr>
          <w:noProof/>
        </w:rPr>
        <w:t>, 1548–1553.</w:t>
      </w:r>
    </w:p>
    <w:p w14:paraId="1386DBCB"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rStyle w:val="fontstyle21"/>
          <w:color w:val="auto"/>
          <w:highlight w:val="yellow"/>
        </w:rPr>
        <w:fldChar w:fldCharType="begin" w:fldLock="1"/>
      </w:r>
      <w:r w:rsidRPr="00E7031E">
        <w:rPr>
          <w:rStyle w:val="fontstyle21"/>
          <w:color w:val="auto"/>
          <w:highlight w:val="yellow"/>
        </w:rPr>
        <w:instrText xml:space="preserve">ADDIN Mendeley Bibliography CSL_BIBLIOGRAPHY </w:instrText>
      </w:r>
      <w:r w:rsidRPr="00E7031E">
        <w:rPr>
          <w:rStyle w:val="fontstyle21"/>
          <w:color w:val="auto"/>
          <w:highlight w:val="yellow"/>
        </w:rPr>
        <w:fldChar w:fldCharType="separate"/>
      </w:r>
      <w:r w:rsidRPr="00E7031E">
        <w:rPr>
          <w:noProof/>
        </w:rPr>
        <w:t xml:space="preserve"> Chargaff, E., &amp; Lipshitz, R. (1953). Composition of Mammalian Desoxyribonucleic Acids. </w:t>
      </w:r>
      <w:r w:rsidRPr="00E7031E">
        <w:rPr>
          <w:i/>
          <w:iCs/>
          <w:noProof/>
        </w:rPr>
        <w:t>Journal of the American Chemical Society,</w:t>
      </w:r>
      <w:r w:rsidRPr="00E7031E">
        <w:t xml:space="preserve"> </w:t>
      </w:r>
      <w:r w:rsidRPr="00E7031E">
        <w:rPr>
          <w:i/>
          <w:noProof/>
        </w:rPr>
        <w:t>75</w:t>
      </w:r>
      <w:r w:rsidRPr="00E7031E">
        <w:rPr>
          <w:noProof/>
        </w:rPr>
        <w:t xml:space="preserve">, 3658-61. </w:t>
      </w:r>
    </w:p>
    <w:p w14:paraId="37AAA4B5" w14:textId="77777777" w:rsidR="00824E31" w:rsidRPr="00E7031E" w:rsidRDefault="00824E31" w:rsidP="00F27FFE">
      <w:pPr>
        <w:widowControl w:val="0"/>
        <w:autoSpaceDE w:val="0"/>
        <w:autoSpaceDN w:val="0"/>
        <w:adjustRightInd w:val="0"/>
        <w:spacing w:line="480" w:lineRule="auto"/>
        <w:ind w:left="480" w:hanging="480"/>
        <w:jc w:val="both"/>
        <w:rPr>
          <w:noProof/>
          <w:lang w:val="hr-HR" w:eastAsia="en-US"/>
        </w:rPr>
      </w:pPr>
      <w:r w:rsidRPr="00E7031E">
        <w:rPr>
          <w:noProof/>
          <w:lang w:val="hr-HR" w:eastAsia="en-US"/>
        </w:rPr>
        <w:t xml:space="preserve">Chemat, F., Vian, M. A., &amp; Cravotto, G. (2012). Green extraction of natural products: Concept and principles. </w:t>
      </w:r>
      <w:r w:rsidRPr="00E7031E">
        <w:rPr>
          <w:i/>
          <w:iCs/>
          <w:noProof/>
          <w:lang w:val="hr-HR" w:eastAsia="en-US"/>
        </w:rPr>
        <w:t>International Journal of Molecular Sciences</w:t>
      </w:r>
      <w:r w:rsidRPr="00E7031E">
        <w:rPr>
          <w:noProof/>
          <w:lang w:val="hr-HR" w:eastAsia="en-US"/>
        </w:rPr>
        <w:t xml:space="preserve">, </w:t>
      </w:r>
      <w:r w:rsidRPr="00E7031E">
        <w:rPr>
          <w:i/>
          <w:iCs/>
          <w:noProof/>
          <w:lang w:val="hr-HR" w:eastAsia="en-US"/>
        </w:rPr>
        <w:t>13</w:t>
      </w:r>
      <w:r w:rsidRPr="00E7031E">
        <w:rPr>
          <w:noProof/>
          <w:lang w:val="hr-HR" w:eastAsia="en-US"/>
        </w:rPr>
        <w:t>, 8615–8627.</w:t>
      </w:r>
    </w:p>
    <w:p w14:paraId="287D82CE" w14:textId="77777777" w:rsidR="008A15C4" w:rsidRPr="00E7031E" w:rsidRDefault="008A15C4" w:rsidP="00F27FFE">
      <w:pPr>
        <w:widowControl w:val="0"/>
        <w:autoSpaceDE w:val="0"/>
        <w:autoSpaceDN w:val="0"/>
        <w:adjustRightInd w:val="0"/>
        <w:spacing w:line="480" w:lineRule="auto"/>
        <w:ind w:left="480" w:hanging="480"/>
        <w:jc w:val="both"/>
        <w:rPr>
          <w:noProof/>
        </w:rPr>
      </w:pPr>
      <w:r w:rsidRPr="00E7031E">
        <w:rPr>
          <w:noProof/>
        </w:rPr>
        <w:t xml:space="preserve">Chen, X., Lv, Q., Liu, Y., &amp; Deng, W. (2017). Effect of Food Additive Citric Acid on The Growth of Human Esophageal Carcinoma Cell Line EC109. </w:t>
      </w:r>
      <w:r w:rsidRPr="00E7031E">
        <w:rPr>
          <w:i/>
          <w:iCs/>
          <w:noProof/>
        </w:rPr>
        <w:t>Cell Journal</w:t>
      </w:r>
      <w:r w:rsidRPr="00E7031E">
        <w:rPr>
          <w:i/>
          <w:iCs/>
          <w:noProof/>
          <w:vertAlign w:val="subscript"/>
        </w:rPr>
        <w:t>(Yakhteh)</w:t>
      </w:r>
      <w:r w:rsidRPr="00E7031E">
        <w:rPr>
          <w:noProof/>
        </w:rPr>
        <w:t xml:space="preserve">, </w:t>
      </w:r>
      <w:r w:rsidRPr="00E7031E">
        <w:rPr>
          <w:i/>
          <w:iCs/>
          <w:noProof/>
        </w:rPr>
        <w:t>18</w:t>
      </w:r>
      <w:r w:rsidRPr="00E7031E">
        <w:rPr>
          <w:noProof/>
        </w:rPr>
        <w:t>, 493–502.</w:t>
      </w:r>
    </w:p>
    <w:p w14:paraId="720FE483"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lang w:val="pt-BR"/>
        </w:rPr>
        <w:t xml:space="preserve">Cioffi, G., Pesca, M. S., De Caprariis, P., Braca, A., Severino, L., &amp; De Tommasi, N. (2010). </w:t>
      </w:r>
      <w:r w:rsidRPr="00E7031E">
        <w:rPr>
          <w:noProof/>
        </w:rPr>
        <w:t xml:space="preserve">Phenolic compounds in olive oil and olive pomace from Cilento (Campania, Italy) and their antioxidant activity. </w:t>
      </w:r>
      <w:r w:rsidRPr="00E7031E">
        <w:rPr>
          <w:i/>
          <w:noProof/>
        </w:rPr>
        <w:t>Food Chemistry, 121</w:t>
      </w:r>
      <w:r w:rsidRPr="00E7031E">
        <w:rPr>
          <w:noProof/>
        </w:rPr>
        <w:t>, 105-111.</w:t>
      </w:r>
    </w:p>
    <w:p w14:paraId="66BE60F6"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Cvjetko Bubalo, M., Vidović, S., Radojčić Redovniković, I., &amp; Jokić, S. (2018). New perspective in extraction of plant biologically active compounds by green solvents. </w:t>
      </w:r>
      <w:r w:rsidRPr="00E7031E">
        <w:rPr>
          <w:i/>
          <w:iCs/>
          <w:noProof/>
        </w:rPr>
        <w:t>Food and Bioproducts Processing</w:t>
      </w:r>
      <w:r w:rsidRPr="00E7031E">
        <w:rPr>
          <w:noProof/>
        </w:rPr>
        <w:t xml:space="preserve">, </w:t>
      </w:r>
      <w:r w:rsidRPr="00E7031E">
        <w:rPr>
          <w:i/>
          <w:iCs/>
          <w:noProof/>
        </w:rPr>
        <w:t>109</w:t>
      </w:r>
      <w:r w:rsidRPr="00E7031E">
        <w:rPr>
          <w:noProof/>
        </w:rPr>
        <w:t>, 52–73.</w:t>
      </w:r>
    </w:p>
    <w:p w14:paraId="309AA272"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de Bruin, E. C., &amp; Medema, J. P. (2008). Apoptosis and non-apoptotic deaths in cancer development and treatment response. </w:t>
      </w:r>
      <w:r w:rsidRPr="00E7031E">
        <w:rPr>
          <w:i/>
          <w:iCs/>
          <w:noProof/>
        </w:rPr>
        <w:t>Cancer Treatment Reviews, 34,</w:t>
      </w:r>
      <w:r w:rsidRPr="00E7031E">
        <w:rPr>
          <w:iCs/>
          <w:noProof/>
        </w:rPr>
        <w:t>737-49.</w:t>
      </w:r>
      <w:r w:rsidRPr="00E7031E">
        <w:rPr>
          <w:noProof/>
        </w:rPr>
        <w:t xml:space="preserve"> </w:t>
      </w:r>
    </w:p>
    <w:p w14:paraId="3756CA87" w14:textId="77777777" w:rsidR="00824E31" w:rsidRPr="00E7031E" w:rsidRDefault="00824E31" w:rsidP="00F27FFE">
      <w:pPr>
        <w:widowControl w:val="0"/>
        <w:autoSpaceDE w:val="0"/>
        <w:autoSpaceDN w:val="0"/>
        <w:adjustRightInd w:val="0"/>
        <w:spacing w:line="480" w:lineRule="auto"/>
        <w:ind w:left="480" w:hanging="480"/>
        <w:jc w:val="both"/>
        <w:rPr>
          <w:noProof/>
          <w:lang w:val="it-IT"/>
        </w:rPr>
      </w:pPr>
      <w:r w:rsidRPr="00E7031E">
        <w:rPr>
          <w:noProof/>
        </w:rPr>
        <w:t xml:space="preserve">Dai, Y., van Spronsen, J., Witkamp, G. J., Verpoorte, R., &amp; Choi, Y. H. (2013). Natural deep eutectic solvents as new potential media for green technology. </w:t>
      </w:r>
      <w:r w:rsidRPr="00E7031E">
        <w:rPr>
          <w:i/>
          <w:iCs/>
          <w:noProof/>
          <w:lang w:val="it-IT"/>
        </w:rPr>
        <w:t>Analytica Chimica Acta</w:t>
      </w:r>
      <w:r w:rsidRPr="00E7031E">
        <w:rPr>
          <w:noProof/>
          <w:lang w:val="it-IT"/>
        </w:rPr>
        <w:t xml:space="preserve">, </w:t>
      </w:r>
      <w:r w:rsidRPr="00E7031E">
        <w:rPr>
          <w:i/>
          <w:iCs/>
          <w:noProof/>
          <w:lang w:val="it-IT"/>
        </w:rPr>
        <w:t>766</w:t>
      </w:r>
      <w:r w:rsidRPr="00E7031E">
        <w:rPr>
          <w:noProof/>
          <w:lang w:val="it-IT"/>
        </w:rPr>
        <w:t>, 61–68.</w:t>
      </w:r>
    </w:p>
    <w:p w14:paraId="17A47217"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t xml:space="preserve">Demeunynck, M., Bailly, C., </w:t>
      </w:r>
      <w:r w:rsidR="00DF6AC8" w:rsidRPr="00E7031E">
        <w:rPr>
          <w:noProof/>
        </w:rPr>
        <w:t xml:space="preserve">&amp; </w:t>
      </w:r>
      <w:r w:rsidR="00DF6AC8" w:rsidRPr="00E7031E">
        <w:t>Wilson</w:t>
      </w:r>
      <w:r w:rsidRPr="00E7031E">
        <w:t>, W. D. (2002). DNA and RNA binders: from small molecules to drugs</w:t>
      </w:r>
      <w:r w:rsidR="00291856" w:rsidRPr="00E7031E">
        <w:t>, Vol.1</w:t>
      </w:r>
      <w:r w:rsidRPr="00E7031E">
        <w:t xml:space="preserve">. Wiley-VCH: Weinheim, </w:t>
      </w:r>
      <w:r w:rsidRPr="00E7031E">
        <w:rPr>
          <w:noProof/>
        </w:rPr>
        <w:t xml:space="preserve">(Chapter </w:t>
      </w:r>
      <w:r w:rsidR="00291856" w:rsidRPr="00E7031E">
        <w:rPr>
          <w:noProof/>
        </w:rPr>
        <w:t>5</w:t>
      </w:r>
      <w:r w:rsidRPr="00E7031E">
        <w:rPr>
          <w:noProof/>
        </w:rPr>
        <w:t>).</w:t>
      </w:r>
    </w:p>
    <w:p w14:paraId="1AB9960E"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lastRenderedPageBreak/>
        <w:t xml:space="preserve">Durand, E., Lecomte, J., Upasani, R., Chabi, B., Bayrasy, C., Baréa, B., Jublanc, E., Clarke, M.J., Moore, D.J., Crowther, J., Wrutniak-Cabello, C.,Villeneuve, P. (2017). Evaluation of the ROS Inhibiting Activity and Mitochondrial Targeting of Phenolic Compounds in Fibroblast Cells Model System and Enhancement of Eff iciency by Natural Deep Eutectic Solvent ( NADES ) Formulation. </w:t>
      </w:r>
      <w:r w:rsidRPr="00E7031E">
        <w:rPr>
          <w:i/>
          <w:noProof/>
        </w:rPr>
        <w:t>Pharmaceutical Research,</w:t>
      </w:r>
      <w:r w:rsidRPr="00E7031E">
        <w:t xml:space="preserve"> </w:t>
      </w:r>
      <w:r w:rsidRPr="00E7031E">
        <w:rPr>
          <w:i/>
          <w:noProof/>
        </w:rPr>
        <w:t xml:space="preserve">34, </w:t>
      </w:r>
      <w:r w:rsidRPr="00E7031E">
        <w:rPr>
          <w:noProof/>
        </w:rPr>
        <w:t>1134-1146</w:t>
      </w:r>
      <w:r w:rsidRPr="00E7031E">
        <w:rPr>
          <w:i/>
          <w:noProof/>
        </w:rPr>
        <w:t>.</w:t>
      </w:r>
      <w:r w:rsidRPr="00E7031E">
        <w:rPr>
          <w:noProof/>
        </w:rPr>
        <w:t xml:space="preserve"> </w:t>
      </w:r>
    </w:p>
    <w:p w14:paraId="5CBE4551"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Dziedzic, A., Kubina, R., Kabała-Dzik, A., &amp; Tanasiewicz, M. (2017). Induction of Cell Cycle Arrest and Apoptotic Response of Head and Neck Squamous Carcinoma Cells (Detroit 562) by Caffeic Acid and Caffeic Acid Phenethyl Ester Derivative. </w:t>
      </w:r>
      <w:r w:rsidRPr="00E7031E">
        <w:rPr>
          <w:i/>
          <w:iCs/>
          <w:noProof/>
        </w:rPr>
        <w:t>Evidence-Based Complementary and Alternative Medicine : ECAM</w:t>
      </w:r>
      <w:r w:rsidRPr="00E7031E">
        <w:rPr>
          <w:noProof/>
        </w:rPr>
        <w:t xml:space="preserve">, </w:t>
      </w:r>
      <w:r w:rsidRPr="00E7031E">
        <w:rPr>
          <w:i/>
          <w:noProof/>
        </w:rPr>
        <w:t>2017</w:t>
      </w:r>
      <w:r w:rsidRPr="00E7031E">
        <w:rPr>
          <w:noProof/>
        </w:rPr>
        <w:t>,  6793456-6793465.</w:t>
      </w:r>
    </w:p>
    <w:p w14:paraId="0A76110A"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Eriksson, M., &amp; Nordén, B. (2001). Linear and circular dichroism of drug-nucleic acid complexes. </w:t>
      </w:r>
      <w:r w:rsidRPr="00E7031E">
        <w:rPr>
          <w:i/>
          <w:iCs/>
          <w:noProof/>
        </w:rPr>
        <w:t xml:space="preserve">Methods in Enzymology, 340, </w:t>
      </w:r>
      <w:r w:rsidRPr="00E7031E">
        <w:rPr>
          <w:iCs/>
          <w:noProof/>
        </w:rPr>
        <w:t>68–98</w:t>
      </w:r>
      <w:r w:rsidRPr="00E7031E">
        <w:rPr>
          <w:noProof/>
        </w:rPr>
        <w:t xml:space="preserve">. </w:t>
      </w:r>
    </w:p>
    <w:p w14:paraId="6E787396"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Faggian, M., Sut, S., Perissutti, B., Baldan, V., Grabnar, I., &amp; Dall’Acqua, S. (2016). Natural Deep Eutectic Solvents (NADES) as a tool for bioavailability improvement: Pharmacokinetics of rutin dissolved in proline/glycine after oral administration in rats: Possible application in nutraceuticals. </w:t>
      </w:r>
      <w:r w:rsidRPr="00E7031E">
        <w:rPr>
          <w:i/>
          <w:iCs/>
          <w:noProof/>
        </w:rPr>
        <w:t>Molecules</w:t>
      </w:r>
      <w:r w:rsidRPr="00E7031E">
        <w:rPr>
          <w:noProof/>
        </w:rPr>
        <w:t xml:space="preserve">, </w:t>
      </w:r>
      <w:r w:rsidRPr="00E7031E">
        <w:rPr>
          <w:i/>
          <w:iCs/>
          <w:noProof/>
        </w:rPr>
        <w:t>21</w:t>
      </w:r>
      <w:r w:rsidRPr="00E7031E">
        <w:rPr>
          <w:noProof/>
        </w:rPr>
        <w:t xml:space="preserve">, 1–11. </w:t>
      </w:r>
    </w:p>
    <w:p w14:paraId="1DF74239"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Harguindey, S., Stanciu, D., Devesa, J., Alfarouk, K., Cardone, R. A., Polo Orozco, J. D., Devesa, P., Rauch, C., Orive, G., Anitua, E., Roger, S., &amp; Reshkin, S. J. (2017). Cellular acidification as a new approach to cancer treatment and to the understanding and therapeutics of neurodegenerative diseases. </w:t>
      </w:r>
      <w:r w:rsidRPr="00E7031E">
        <w:rPr>
          <w:i/>
          <w:iCs/>
          <w:noProof/>
        </w:rPr>
        <w:t>Seminars in Cancer Biology, 43,</w:t>
      </w:r>
      <w:r w:rsidRPr="00E7031E">
        <w:t xml:space="preserve"> </w:t>
      </w:r>
      <w:r w:rsidRPr="00E7031E">
        <w:rPr>
          <w:iCs/>
          <w:noProof/>
        </w:rPr>
        <w:t>157-179</w:t>
      </w:r>
      <w:r w:rsidRPr="00E7031E">
        <w:rPr>
          <w:noProof/>
        </w:rPr>
        <w:t xml:space="preserve">. </w:t>
      </w:r>
    </w:p>
    <w:p w14:paraId="31B43A95" w14:textId="77777777" w:rsidR="00824E31" w:rsidRPr="00E7031E" w:rsidRDefault="00824E31" w:rsidP="00E7031E">
      <w:pPr>
        <w:widowControl w:val="0"/>
        <w:autoSpaceDE w:val="0"/>
        <w:autoSpaceDN w:val="0"/>
        <w:adjustRightInd w:val="0"/>
        <w:spacing w:line="480" w:lineRule="auto"/>
        <w:ind w:left="480" w:hanging="480"/>
        <w:jc w:val="both"/>
        <w:rPr>
          <w:noProof/>
        </w:rPr>
      </w:pPr>
      <w:r w:rsidRPr="00E7031E">
        <w:rPr>
          <w:noProof/>
        </w:rPr>
        <w:t xml:space="preserve">Hurley, L. H. (2002). DNA and its associated processes as targets for cancer therapy. </w:t>
      </w:r>
      <w:r w:rsidRPr="00E7031E">
        <w:rPr>
          <w:i/>
          <w:iCs/>
          <w:noProof/>
        </w:rPr>
        <w:t>Nature Reviews Cancer,</w:t>
      </w:r>
      <w:r w:rsidRPr="00E7031E">
        <w:t xml:space="preserve"> </w:t>
      </w:r>
      <w:r w:rsidRPr="00E7031E">
        <w:rPr>
          <w:i/>
          <w:iCs/>
          <w:noProof/>
        </w:rPr>
        <w:t xml:space="preserve">2, </w:t>
      </w:r>
      <w:r w:rsidRPr="00E7031E">
        <w:rPr>
          <w:iCs/>
          <w:noProof/>
        </w:rPr>
        <w:t>188–200</w:t>
      </w:r>
      <w:r w:rsidRPr="00E7031E">
        <w:rPr>
          <w:i/>
          <w:iCs/>
          <w:noProof/>
        </w:rPr>
        <w:t xml:space="preserve">. </w:t>
      </w:r>
    </w:p>
    <w:p w14:paraId="6A38309B"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Kumar, K., Yadav, A. N., Kumar, V., Vyas, P., &amp; Dhaliwal, H. S. (2017). Food waste: a potential bioresource for extraction of nutraceuticals and bioactive compounds. </w:t>
      </w:r>
      <w:r w:rsidRPr="00E7031E">
        <w:rPr>
          <w:i/>
          <w:iCs/>
          <w:noProof/>
        </w:rPr>
        <w:t xml:space="preserve">Bioresources and Bioprocessing, </w:t>
      </w:r>
      <w:r w:rsidRPr="00E7031E">
        <w:rPr>
          <w:i/>
          <w:noProof/>
        </w:rPr>
        <w:t>4</w:t>
      </w:r>
      <w:r w:rsidRPr="00E7031E">
        <w:rPr>
          <w:noProof/>
        </w:rPr>
        <w:t xml:space="preserve">, 18-31. </w:t>
      </w:r>
    </w:p>
    <w:p w14:paraId="08AD9948"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Kuzuhara, T., Sei, Y., Yamaguchi, K., Suganuma, M., &amp; Fujiki, H. (2006). DNA and RNA as </w:t>
      </w:r>
      <w:r w:rsidRPr="00E7031E">
        <w:rPr>
          <w:noProof/>
        </w:rPr>
        <w:lastRenderedPageBreak/>
        <w:t xml:space="preserve">new binding targets of green tea catechins. </w:t>
      </w:r>
      <w:r w:rsidRPr="00E7031E">
        <w:rPr>
          <w:i/>
          <w:iCs/>
          <w:noProof/>
        </w:rPr>
        <w:t xml:space="preserve">Journal of Biological Chemistry, 281, </w:t>
      </w:r>
      <w:r w:rsidRPr="00E7031E">
        <w:rPr>
          <w:iCs/>
          <w:noProof/>
        </w:rPr>
        <w:t>17446-17456</w:t>
      </w:r>
      <w:r w:rsidRPr="00E7031E">
        <w:rPr>
          <w:noProof/>
        </w:rPr>
        <w:t xml:space="preserve">. </w:t>
      </w:r>
    </w:p>
    <w:p w14:paraId="06DE1303"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Manton, K. G., Volovik, S., &amp; Kulminski, A. (2004). ROS effects on neurodegeneration in Alzheimer’s disease and related disorders: on environmental stresses of ionizing radiation. </w:t>
      </w:r>
      <w:r w:rsidRPr="00E7031E">
        <w:rPr>
          <w:i/>
          <w:iCs/>
          <w:noProof/>
        </w:rPr>
        <w:t>Current Alzheimer Research,</w:t>
      </w:r>
      <w:r w:rsidRPr="00E7031E">
        <w:t xml:space="preserve"> </w:t>
      </w:r>
      <w:r w:rsidRPr="00E7031E">
        <w:rPr>
          <w:i/>
          <w:iCs/>
          <w:noProof/>
        </w:rPr>
        <w:t xml:space="preserve">1, </w:t>
      </w:r>
      <w:r w:rsidRPr="00E7031E">
        <w:rPr>
          <w:iCs/>
          <w:noProof/>
        </w:rPr>
        <w:t>277-293</w:t>
      </w:r>
      <w:r w:rsidRPr="00E7031E">
        <w:rPr>
          <w:i/>
          <w:iCs/>
          <w:noProof/>
        </w:rPr>
        <w:t xml:space="preserve"> </w:t>
      </w:r>
      <w:r w:rsidRPr="00E7031E">
        <w:rPr>
          <w:noProof/>
        </w:rPr>
        <w:t>.</w:t>
      </w:r>
    </w:p>
    <w:p w14:paraId="108C01E1"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Mergny, J.-L., &amp; Lacroix, L. (2003). Analysis of Thermal Melting Curves. </w:t>
      </w:r>
      <w:r w:rsidRPr="00E7031E">
        <w:rPr>
          <w:i/>
          <w:iCs/>
          <w:noProof/>
        </w:rPr>
        <w:t>Oligonucleotides,</w:t>
      </w:r>
      <w:r w:rsidRPr="00E7031E">
        <w:t xml:space="preserve"> </w:t>
      </w:r>
      <w:r w:rsidRPr="00E7031E">
        <w:rPr>
          <w:i/>
          <w:iCs/>
          <w:noProof/>
        </w:rPr>
        <w:t xml:space="preserve">13, </w:t>
      </w:r>
      <w:r w:rsidRPr="00E7031E">
        <w:rPr>
          <w:iCs/>
          <w:noProof/>
        </w:rPr>
        <w:t>515-537</w:t>
      </w:r>
      <w:r w:rsidRPr="00E7031E">
        <w:rPr>
          <w:noProof/>
        </w:rPr>
        <w:t xml:space="preserve">. </w:t>
      </w:r>
    </w:p>
    <w:p w14:paraId="6630D985" w14:textId="77777777" w:rsidR="00824E31" w:rsidRPr="00E7031E" w:rsidRDefault="00824E31" w:rsidP="00F27FFE">
      <w:pPr>
        <w:widowControl w:val="0"/>
        <w:autoSpaceDE w:val="0"/>
        <w:autoSpaceDN w:val="0"/>
        <w:adjustRightInd w:val="0"/>
        <w:spacing w:line="480" w:lineRule="auto"/>
        <w:ind w:left="480" w:hanging="480"/>
        <w:jc w:val="both"/>
        <w:rPr>
          <w:noProof/>
          <w:lang w:val="it-IT"/>
        </w:rPr>
      </w:pPr>
      <w:r w:rsidRPr="00E7031E">
        <w:rPr>
          <w:noProof/>
        </w:rPr>
        <w:t xml:space="preserve">Nam, W.M., Zhao, J., Sang Lee, M., Hoon Jeong, J., &amp; Lee, J.  (2015). Enhanced extraction of bioactive natural products using tailor-made deep eutectic solvents: application to flavonoid extraction from Flos sophorae. </w:t>
      </w:r>
      <w:r w:rsidRPr="00E7031E">
        <w:rPr>
          <w:i/>
          <w:iCs/>
          <w:noProof/>
          <w:lang w:val="it-IT"/>
        </w:rPr>
        <w:t>Green Chemistry</w:t>
      </w:r>
      <w:r w:rsidRPr="00E7031E">
        <w:rPr>
          <w:noProof/>
          <w:lang w:val="it-IT"/>
        </w:rPr>
        <w:t xml:space="preserve">, </w:t>
      </w:r>
      <w:r w:rsidRPr="00E7031E">
        <w:rPr>
          <w:i/>
          <w:iCs/>
          <w:noProof/>
          <w:lang w:val="it-IT"/>
        </w:rPr>
        <w:t>17</w:t>
      </w:r>
      <w:r w:rsidRPr="00E7031E">
        <w:rPr>
          <w:noProof/>
          <w:lang w:val="it-IT"/>
        </w:rPr>
        <w:t>, 1718–1727.</w:t>
      </w:r>
    </w:p>
    <w:p w14:paraId="7B15B9C6"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lang w:val="it-IT"/>
        </w:rPr>
        <w:t xml:space="preserve">Ninfali, P., Mea, G., Giorgini, S., Rocchi, M., &amp; Bacchiocca, M. (2005). </w:t>
      </w:r>
      <w:r w:rsidRPr="00E7031E">
        <w:rPr>
          <w:noProof/>
        </w:rPr>
        <w:t xml:space="preserve">Antioxidant capacity of vegetables, spices and dressings relevant to nutrition. </w:t>
      </w:r>
      <w:r w:rsidRPr="00E7031E">
        <w:rPr>
          <w:i/>
          <w:iCs/>
          <w:noProof/>
        </w:rPr>
        <w:t>British Journal of Nutrition</w:t>
      </w:r>
      <w:r w:rsidRPr="00E7031E">
        <w:rPr>
          <w:noProof/>
        </w:rPr>
        <w:t xml:space="preserve">, </w:t>
      </w:r>
      <w:r w:rsidRPr="00E7031E">
        <w:rPr>
          <w:i/>
          <w:iCs/>
          <w:noProof/>
        </w:rPr>
        <w:t>93</w:t>
      </w:r>
      <w:r w:rsidRPr="00E7031E">
        <w:rPr>
          <w:noProof/>
        </w:rPr>
        <w:t>, 257.</w:t>
      </w:r>
    </w:p>
    <w:p w14:paraId="0B84E7CE" w14:textId="77777777" w:rsidR="00824E31" w:rsidRPr="00E7031E" w:rsidRDefault="00824E31" w:rsidP="00F27FFE">
      <w:pPr>
        <w:shd w:val="clear" w:color="auto" w:fill="FFFFFF"/>
        <w:autoSpaceDE w:val="0"/>
        <w:autoSpaceDN w:val="0"/>
        <w:adjustRightInd w:val="0"/>
        <w:spacing w:line="480" w:lineRule="auto"/>
        <w:ind w:left="709" w:hanging="709"/>
        <w:jc w:val="both"/>
        <w:rPr>
          <w:lang w:eastAsia="hr-HR"/>
        </w:rPr>
      </w:pPr>
      <w:r w:rsidRPr="00E7031E">
        <w:rPr>
          <w:lang w:eastAsia="hr-HR"/>
        </w:rPr>
        <w:t xml:space="preserve">Paini, M., Casazza, A.A, Aliakbarrian, B., Perego, P., Binello, A., &amp; Cravotto, G. (2016). Influence of ethanol/water ratio in ultrasound and high-pressure/high-temperature phenolic compound extraction from agri-food waste. </w:t>
      </w:r>
      <w:r w:rsidRPr="00E7031E">
        <w:rPr>
          <w:i/>
          <w:lang w:eastAsia="hr-HR"/>
        </w:rPr>
        <w:t>International Journal of Food Science and Technology, 51,</w:t>
      </w:r>
      <w:r w:rsidRPr="00E7031E">
        <w:rPr>
          <w:lang w:eastAsia="hr-HR"/>
        </w:rPr>
        <w:t xml:space="preserve"> 349-358.</w:t>
      </w:r>
    </w:p>
    <w:p w14:paraId="04BD7B84"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Paiva, A., Craveiro, R., Aroso, I., Martins, M., Reis, R. L., &amp; Duarte, A. R. C. (2014). Natural deep eutectic solvents - Solvents for the 21st century. </w:t>
      </w:r>
      <w:r w:rsidRPr="00E7031E">
        <w:rPr>
          <w:i/>
          <w:iCs/>
          <w:noProof/>
        </w:rPr>
        <w:t>ACS Sustainable Chemistry and Engineering</w:t>
      </w:r>
      <w:r w:rsidRPr="00E7031E">
        <w:rPr>
          <w:noProof/>
        </w:rPr>
        <w:t xml:space="preserve">, </w:t>
      </w:r>
      <w:r w:rsidRPr="00E7031E">
        <w:rPr>
          <w:i/>
          <w:iCs/>
          <w:noProof/>
        </w:rPr>
        <w:t>2</w:t>
      </w:r>
      <w:r w:rsidRPr="00E7031E">
        <w:rPr>
          <w:noProof/>
        </w:rPr>
        <w:t>, 1063–1071.</w:t>
      </w:r>
    </w:p>
    <w:p w14:paraId="74383AD6" w14:textId="77777777" w:rsidR="00824E31" w:rsidRPr="00E7031E" w:rsidRDefault="00824E31" w:rsidP="00F27FFE">
      <w:pPr>
        <w:shd w:val="clear" w:color="auto" w:fill="FFFFFF"/>
        <w:autoSpaceDE w:val="0"/>
        <w:autoSpaceDN w:val="0"/>
        <w:adjustRightInd w:val="0"/>
        <w:spacing w:line="480" w:lineRule="auto"/>
        <w:ind w:left="709" w:hanging="709"/>
        <w:jc w:val="both"/>
        <w:rPr>
          <w:lang w:eastAsia="hr-HR"/>
        </w:rPr>
      </w:pPr>
      <w:r w:rsidRPr="00E7031E">
        <w:rPr>
          <w:noProof/>
        </w:rPr>
        <w:t xml:space="preserve">Pandya, N., Khan, N. U. H., Prathap, K. J., Kureshy, R. I., Abdi, S. H. R., Mishra, S., &amp; Bajaj, H. C. (2012). DNA binding, antioxidant activity, and DNA damage protection of chiral macrocyclic Mn(III) salen complexes. </w:t>
      </w:r>
      <w:r w:rsidRPr="00E7031E">
        <w:rPr>
          <w:i/>
          <w:iCs/>
          <w:noProof/>
        </w:rPr>
        <w:t xml:space="preserve">Chirality, 24, </w:t>
      </w:r>
      <w:r w:rsidRPr="00E7031E">
        <w:rPr>
          <w:iCs/>
          <w:noProof/>
        </w:rPr>
        <w:t>1063–1073</w:t>
      </w:r>
      <w:r w:rsidRPr="00E7031E">
        <w:rPr>
          <w:noProof/>
        </w:rPr>
        <w:t>.</w:t>
      </w:r>
    </w:p>
    <w:p w14:paraId="2C361350"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Radošević, K., Ćurko, N., Gaurina Srček, V., Cvjetko Bubalo, M., Tomašević, M., Kovačević Ganić, K., &amp; Radojčić Redovniković, I. (2016). Natural deep eutectic solvents as </w:t>
      </w:r>
      <w:r w:rsidRPr="00E7031E">
        <w:rPr>
          <w:noProof/>
        </w:rPr>
        <w:lastRenderedPageBreak/>
        <w:t xml:space="preserve">beneficial extractants for enhancement of plant extracts bioactivity. </w:t>
      </w:r>
      <w:r w:rsidRPr="00E7031E">
        <w:rPr>
          <w:i/>
          <w:iCs/>
          <w:noProof/>
        </w:rPr>
        <w:t>LWT - Food Science and Technology</w:t>
      </w:r>
      <w:r w:rsidRPr="00E7031E">
        <w:rPr>
          <w:noProof/>
        </w:rPr>
        <w:t xml:space="preserve">, </w:t>
      </w:r>
      <w:r w:rsidRPr="00E7031E">
        <w:rPr>
          <w:i/>
          <w:iCs/>
          <w:noProof/>
        </w:rPr>
        <w:t>73</w:t>
      </w:r>
      <w:r w:rsidRPr="00E7031E">
        <w:rPr>
          <w:noProof/>
        </w:rPr>
        <w:t>, 45–51.</w:t>
      </w:r>
    </w:p>
    <w:p w14:paraId="318FA95F"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Ravindran, R., &amp; Jaiswal, A. K. (2016). Exploitation of Food Industry Waste for High-Value Products. </w:t>
      </w:r>
      <w:r w:rsidRPr="00E7031E">
        <w:rPr>
          <w:i/>
          <w:iCs/>
          <w:noProof/>
        </w:rPr>
        <w:t xml:space="preserve">Trends in Biotechnology, 34, </w:t>
      </w:r>
      <w:r w:rsidRPr="00E7031E">
        <w:rPr>
          <w:noProof/>
        </w:rPr>
        <w:t xml:space="preserve">58-69. </w:t>
      </w:r>
    </w:p>
    <w:p w14:paraId="6F617C06"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Ruesgas-Ramon, M., Figueroa-Espinoza, M. C., &amp; Durand, E. (2017). Application of Deep Eutectic Solvents (DES) for phenolic compounds extraction: overview, challenges, and opportunities. </w:t>
      </w:r>
      <w:r w:rsidRPr="00E7031E">
        <w:rPr>
          <w:i/>
          <w:noProof/>
        </w:rPr>
        <w:t>Journal of Agricultural and Food Chemistry,</w:t>
      </w:r>
      <w:r w:rsidRPr="00E7031E">
        <w:t xml:space="preserve"> </w:t>
      </w:r>
      <w:r w:rsidRPr="00E7031E">
        <w:rPr>
          <w:i/>
          <w:noProof/>
        </w:rPr>
        <w:t xml:space="preserve">65, </w:t>
      </w:r>
      <w:r w:rsidRPr="00E7031E">
        <w:rPr>
          <w:noProof/>
        </w:rPr>
        <w:t>3591–3601.</w:t>
      </w:r>
    </w:p>
    <w:p w14:paraId="09DFDC35"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Russo, G., Vivaldi, G. A., De Gennaro, B., &amp; Camposeo, S. (2015). Environmental sustainability of different soil management techniques in a high-density olive orchard. </w:t>
      </w:r>
      <w:r w:rsidRPr="00E7031E">
        <w:rPr>
          <w:i/>
          <w:iCs/>
          <w:noProof/>
        </w:rPr>
        <w:t>Journal of Cleaner Production</w:t>
      </w:r>
      <w:r w:rsidRPr="00E7031E">
        <w:rPr>
          <w:noProof/>
        </w:rPr>
        <w:t xml:space="preserve">, </w:t>
      </w:r>
      <w:r w:rsidRPr="00E7031E">
        <w:rPr>
          <w:i/>
          <w:noProof/>
        </w:rPr>
        <w:t>107</w:t>
      </w:r>
      <w:r w:rsidRPr="00E7031E">
        <w:rPr>
          <w:noProof/>
        </w:rPr>
        <w:t xml:space="preserve">, 498-508. </w:t>
      </w:r>
    </w:p>
    <w:p w14:paraId="6C0F91A0"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Schieber, M., &amp; Chandel, N. S. (2014). ROS function in redox signaling and oxidative stress. </w:t>
      </w:r>
      <w:r w:rsidRPr="00E7031E">
        <w:rPr>
          <w:i/>
          <w:iCs/>
          <w:noProof/>
        </w:rPr>
        <w:t>Current Biology, 24, 453-462</w:t>
      </w:r>
      <w:r w:rsidRPr="00E7031E">
        <w:rPr>
          <w:noProof/>
        </w:rPr>
        <w:t xml:space="preserve">. </w:t>
      </w:r>
    </w:p>
    <w:p w14:paraId="2C52A60E" w14:textId="77777777" w:rsidR="00475C3A" w:rsidRPr="00E7031E" w:rsidRDefault="00475C3A" w:rsidP="00475C3A">
      <w:pPr>
        <w:widowControl w:val="0"/>
        <w:autoSpaceDE w:val="0"/>
        <w:autoSpaceDN w:val="0"/>
        <w:adjustRightInd w:val="0"/>
        <w:spacing w:line="480" w:lineRule="auto"/>
        <w:ind w:left="480" w:hanging="480"/>
        <w:rPr>
          <w:noProof/>
        </w:rPr>
      </w:pPr>
      <w:r w:rsidRPr="00E7031E">
        <w:rPr>
          <w:noProof/>
        </w:rPr>
        <w:t xml:space="preserve">Silva, J. M., Reis, R. L., Paiva, A., &amp; Duarte, A. R. C. (2018). Design of Functional Therapeutic Deep Eutectic Solvents Based on Choline Chloride and Ascorbic Acid. </w:t>
      </w:r>
      <w:r w:rsidRPr="00E7031E">
        <w:rPr>
          <w:i/>
          <w:iCs/>
          <w:noProof/>
        </w:rPr>
        <w:t xml:space="preserve">ACS Sustainable Chemistry &amp; Engineering. </w:t>
      </w:r>
      <w:r w:rsidRPr="00E7031E">
        <w:rPr>
          <w:iCs/>
          <w:noProof/>
        </w:rPr>
        <w:t>Retrieve from https://pubs.acs.org/doi/pdf/10.1021/acssuschemeng.8b01687</w:t>
      </w:r>
    </w:p>
    <w:p w14:paraId="79B93588"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Teixeira, A., Baenas, N., Dominguez-Perles, R., Barros, A., Rosa, E., Moreno, D. A., &amp; Garcia-Viguera, C. (2014). Natural bioactive compounds from winery by-products as health promoters: A review. </w:t>
      </w:r>
      <w:r w:rsidRPr="00E7031E">
        <w:rPr>
          <w:i/>
          <w:iCs/>
          <w:noProof/>
        </w:rPr>
        <w:t>International Journal of Molecular Sciences</w:t>
      </w:r>
      <w:r w:rsidRPr="00E7031E">
        <w:rPr>
          <w:noProof/>
        </w:rPr>
        <w:t xml:space="preserve">, </w:t>
      </w:r>
      <w:r w:rsidRPr="00E7031E">
        <w:rPr>
          <w:i/>
          <w:iCs/>
          <w:noProof/>
        </w:rPr>
        <w:t>15</w:t>
      </w:r>
      <w:r w:rsidRPr="00E7031E">
        <w:rPr>
          <w:noProof/>
        </w:rPr>
        <w:t>, 15638–15678.</w:t>
      </w:r>
    </w:p>
    <w:p w14:paraId="5147A96D" w14:textId="77777777" w:rsidR="00825EA2" w:rsidRPr="00E7031E" w:rsidRDefault="00825EA2" w:rsidP="00F27FFE">
      <w:pPr>
        <w:widowControl w:val="0"/>
        <w:autoSpaceDE w:val="0"/>
        <w:autoSpaceDN w:val="0"/>
        <w:adjustRightInd w:val="0"/>
        <w:spacing w:line="480" w:lineRule="auto"/>
        <w:ind w:left="480" w:hanging="480"/>
        <w:jc w:val="both"/>
        <w:rPr>
          <w:noProof/>
        </w:rPr>
      </w:pPr>
      <w:r w:rsidRPr="00E7031E">
        <w:t>U.S. Department of Health and Human Services, National Institutes of Health, Office of Dietary Supplements (2018). Choline: Fact Sheet for Health Professionals. Retrieved from https://ods.od.nih.gov/factsheets/Choline-HealthProfessional/#disc</w:t>
      </w:r>
    </w:p>
    <w:p w14:paraId="453BA0BA" w14:textId="77777777" w:rsidR="00824E31" w:rsidRPr="00E7031E" w:rsidRDefault="00824E31" w:rsidP="00F27FFE">
      <w:pPr>
        <w:widowControl w:val="0"/>
        <w:autoSpaceDE w:val="0"/>
        <w:autoSpaceDN w:val="0"/>
        <w:adjustRightInd w:val="0"/>
        <w:spacing w:line="480" w:lineRule="auto"/>
        <w:ind w:left="480" w:hanging="480"/>
        <w:jc w:val="both"/>
        <w:rPr>
          <w:noProof/>
        </w:rPr>
      </w:pPr>
      <w:r w:rsidRPr="00E7031E">
        <w:rPr>
          <w:noProof/>
        </w:rPr>
        <w:t xml:space="preserve">Vujčić, V., Radić Brkanac, S., Radojčić Redovniković, I., Ivanković, S., Stojković, R., Žilić, I., &amp; Radić Stojković, M. (2017). Phytochemical and Bioactive Potential of in vivo and in vitro Grown Plants of Centaurea ragusina L. – Detection of DNA/RNA Active Compounds </w:t>
      </w:r>
      <w:r w:rsidRPr="00E7031E">
        <w:rPr>
          <w:noProof/>
        </w:rPr>
        <w:lastRenderedPageBreak/>
        <w:t xml:space="preserve">in Plant Extracts via Thermal Denaturation and Circular Dichroism. </w:t>
      </w:r>
      <w:r w:rsidRPr="00E7031E">
        <w:rPr>
          <w:i/>
          <w:iCs/>
          <w:noProof/>
        </w:rPr>
        <w:t xml:space="preserve">Phytochemical Analysis, 28, </w:t>
      </w:r>
      <w:r w:rsidRPr="00E7031E">
        <w:rPr>
          <w:iCs/>
          <w:noProof/>
        </w:rPr>
        <w:t>584–592</w:t>
      </w:r>
      <w:r w:rsidRPr="00E7031E">
        <w:rPr>
          <w:noProof/>
        </w:rPr>
        <w:t xml:space="preserve">. </w:t>
      </w:r>
    </w:p>
    <w:p w14:paraId="1B91C927" w14:textId="77777777" w:rsidR="00824E31" w:rsidRPr="00E7031E" w:rsidRDefault="00824E31" w:rsidP="00F27FFE">
      <w:pPr>
        <w:widowControl w:val="0"/>
        <w:autoSpaceDE w:val="0"/>
        <w:autoSpaceDN w:val="0"/>
        <w:adjustRightInd w:val="0"/>
        <w:spacing w:line="480" w:lineRule="auto"/>
        <w:ind w:left="480" w:hanging="480"/>
        <w:jc w:val="both"/>
        <w:rPr>
          <w:rStyle w:val="fontstyle21"/>
          <w:color w:val="auto"/>
        </w:rPr>
      </w:pPr>
      <w:r w:rsidRPr="00E7031E">
        <w:rPr>
          <w:noProof/>
          <w:lang w:val="it-IT"/>
        </w:rPr>
        <w:t>Xia, E., He, X., Li, H., Wu, S., Li, S., &amp; Deng, G. (201</w:t>
      </w:r>
      <w:r w:rsidR="00E5132A" w:rsidRPr="00E7031E">
        <w:rPr>
          <w:noProof/>
          <w:lang w:val="it-IT"/>
        </w:rPr>
        <w:t>0</w:t>
      </w:r>
      <w:r w:rsidRPr="00E7031E">
        <w:rPr>
          <w:noProof/>
          <w:lang w:val="it-IT"/>
        </w:rPr>
        <w:t xml:space="preserve">). </w:t>
      </w:r>
      <w:r w:rsidRPr="00E7031E">
        <w:rPr>
          <w:noProof/>
        </w:rPr>
        <w:t xml:space="preserve">Biological Activities of Polyphenols from Grapes. </w:t>
      </w:r>
      <w:r w:rsidRPr="00E7031E">
        <w:rPr>
          <w:i/>
          <w:noProof/>
        </w:rPr>
        <w:t>International Journal of Molecular Sciences</w:t>
      </w:r>
      <w:r w:rsidRPr="00E7031E">
        <w:rPr>
          <w:noProof/>
        </w:rPr>
        <w:t>, 11, 622–646</w:t>
      </w:r>
      <w:r w:rsidRPr="00E7031E">
        <w:rPr>
          <w:rStyle w:val="fontstyle21"/>
          <w:color w:val="auto"/>
          <w:highlight w:val="yellow"/>
        </w:rPr>
        <w:fldChar w:fldCharType="end"/>
      </w:r>
      <w:r w:rsidRPr="00E7031E">
        <w:rPr>
          <w:rStyle w:val="fontstyle21"/>
          <w:color w:val="auto"/>
        </w:rPr>
        <w:t>.</w:t>
      </w:r>
    </w:p>
    <w:p w14:paraId="42DE9EE1" w14:textId="77777777" w:rsidR="00910E65" w:rsidRPr="00E7031E" w:rsidRDefault="00910E65" w:rsidP="00F27FFE">
      <w:pPr>
        <w:widowControl w:val="0"/>
        <w:autoSpaceDE w:val="0"/>
        <w:autoSpaceDN w:val="0"/>
        <w:adjustRightInd w:val="0"/>
        <w:spacing w:line="480" w:lineRule="auto"/>
        <w:ind w:left="480" w:hanging="480"/>
        <w:jc w:val="both"/>
        <w:rPr>
          <w:rStyle w:val="fontstyle21"/>
          <w:color w:val="auto"/>
        </w:rPr>
      </w:pPr>
      <w:r w:rsidRPr="00E7031E">
        <w:rPr>
          <w:noProof/>
        </w:rPr>
        <w:t xml:space="preserve">Xu, X., Gammon, M. D., Zeisel, S. H., Bradshaw, P. T., Wetmur, J. G., Teitelbaum, S. L., </w:t>
      </w:r>
      <w:r w:rsidR="00892B93" w:rsidRPr="00892B93">
        <w:rPr>
          <w:noProof/>
        </w:rPr>
        <w:t>Neugut</w:t>
      </w:r>
      <w:r w:rsidR="00892B93">
        <w:rPr>
          <w:noProof/>
        </w:rPr>
        <w:t>,</w:t>
      </w:r>
      <w:r w:rsidR="00892B93" w:rsidRPr="00892B93">
        <w:rPr>
          <w:noProof/>
        </w:rPr>
        <w:t xml:space="preserve"> A</w:t>
      </w:r>
      <w:r w:rsidR="00892B93">
        <w:rPr>
          <w:noProof/>
        </w:rPr>
        <w:t>.</w:t>
      </w:r>
      <w:r w:rsidR="00892B93" w:rsidRPr="00892B93">
        <w:rPr>
          <w:noProof/>
        </w:rPr>
        <w:t>I</w:t>
      </w:r>
      <w:r w:rsidR="00892B93">
        <w:rPr>
          <w:noProof/>
        </w:rPr>
        <w:t>.</w:t>
      </w:r>
      <w:r w:rsidR="00892B93" w:rsidRPr="00892B93">
        <w:rPr>
          <w:noProof/>
        </w:rPr>
        <w:t>, Santella</w:t>
      </w:r>
      <w:r w:rsidR="00892B93">
        <w:rPr>
          <w:noProof/>
        </w:rPr>
        <w:t>,</w:t>
      </w:r>
      <w:r w:rsidR="00892B93" w:rsidRPr="00892B93">
        <w:rPr>
          <w:noProof/>
        </w:rPr>
        <w:t xml:space="preserve"> R</w:t>
      </w:r>
      <w:r w:rsidR="00892B93">
        <w:rPr>
          <w:noProof/>
        </w:rPr>
        <w:t>.</w:t>
      </w:r>
      <w:r w:rsidR="00892B93" w:rsidRPr="00892B93">
        <w:rPr>
          <w:noProof/>
        </w:rPr>
        <w:t>M</w:t>
      </w:r>
      <w:r w:rsidR="00892B93">
        <w:rPr>
          <w:noProof/>
        </w:rPr>
        <w:t>.</w:t>
      </w:r>
      <w:r w:rsidR="00892B93" w:rsidRPr="00892B93">
        <w:rPr>
          <w:noProof/>
        </w:rPr>
        <w:t>,</w:t>
      </w:r>
      <w:r w:rsidRPr="00E7031E">
        <w:rPr>
          <w:noProof/>
        </w:rPr>
        <w:t xml:space="preserve"> </w:t>
      </w:r>
      <w:r w:rsidR="00AC1706" w:rsidRPr="00E7031E">
        <w:rPr>
          <w:noProof/>
          <w:lang w:val="it-IT"/>
        </w:rPr>
        <w:t>&amp;</w:t>
      </w:r>
      <w:r w:rsidR="00AC1706">
        <w:rPr>
          <w:noProof/>
          <w:lang w:val="it-IT"/>
        </w:rPr>
        <w:t xml:space="preserve"> </w:t>
      </w:r>
      <w:r w:rsidRPr="00E7031E">
        <w:rPr>
          <w:noProof/>
        </w:rPr>
        <w:t xml:space="preserve">Chen, J. (2009). High intakes of choline and betaine reduce breast cancer mortality in a population-based study. </w:t>
      </w:r>
      <w:r w:rsidRPr="00E7031E">
        <w:rPr>
          <w:i/>
          <w:iCs/>
          <w:noProof/>
        </w:rPr>
        <w:t>The Faseb Journal</w:t>
      </w:r>
      <w:r w:rsidRPr="00E7031E">
        <w:rPr>
          <w:noProof/>
        </w:rPr>
        <w:t xml:space="preserve">, </w:t>
      </w:r>
      <w:r w:rsidRPr="00E7031E">
        <w:rPr>
          <w:i/>
          <w:iCs/>
          <w:noProof/>
        </w:rPr>
        <w:t>23</w:t>
      </w:r>
      <w:r w:rsidRPr="00E7031E">
        <w:rPr>
          <w:noProof/>
        </w:rPr>
        <w:t>, 4022–4028.</w:t>
      </w:r>
    </w:p>
    <w:p w14:paraId="7182030A" w14:textId="77777777" w:rsidR="008A15C4" w:rsidRPr="00E7031E" w:rsidRDefault="008A15C4" w:rsidP="00F27FFE">
      <w:pPr>
        <w:widowControl w:val="0"/>
        <w:autoSpaceDE w:val="0"/>
        <w:autoSpaceDN w:val="0"/>
        <w:adjustRightInd w:val="0"/>
        <w:spacing w:line="480" w:lineRule="auto"/>
        <w:ind w:left="480" w:hanging="480"/>
        <w:jc w:val="both"/>
        <w:rPr>
          <w:rStyle w:val="fontstyle21"/>
          <w:color w:val="auto"/>
          <w:highlight w:val="yellow"/>
        </w:rPr>
      </w:pPr>
      <w:r w:rsidRPr="00E7031E">
        <w:rPr>
          <w:noProof/>
        </w:rPr>
        <w:t xml:space="preserve">Yoshikawa, K., Saito, S., &amp; Sakuragawa, A. (2011). Simultaneous analysis of acidulants and preservatives in food samples by using capillary zone electrophoresis with indirect UV detection. </w:t>
      </w:r>
      <w:r w:rsidRPr="00E7031E">
        <w:rPr>
          <w:i/>
          <w:iCs/>
          <w:noProof/>
        </w:rPr>
        <w:t>Food Chemistry</w:t>
      </w:r>
      <w:r w:rsidRPr="00E7031E">
        <w:rPr>
          <w:noProof/>
        </w:rPr>
        <w:t xml:space="preserve">, </w:t>
      </w:r>
      <w:r w:rsidRPr="00E7031E">
        <w:rPr>
          <w:i/>
          <w:iCs/>
          <w:noProof/>
        </w:rPr>
        <w:t>127</w:t>
      </w:r>
      <w:r w:rsidRPr="00E7031E">
        <w:rPr>
          <w:noProof/>
        </w:rPr>
        <w:t>, 1385–1390.</w:t>
      </w:r>
    </w:p>
    <w:p w14:paraId="23BB86A7" w14:textId="77777777" w:rsidR="00824E31" w:rsidRPr="00E7031E" w:rsidRDefault="00824E31" w:rsidP="00F27FFE">
      <w:pPr>
        <w:spacing w:line="480" w:lineRule="auto"/>
        <w:ind w:left="709" w:hanging="709"/>
        <w:jc w:val="both"/>
      </w:pPr>
      <w:r w:rsidRPr="00E7031E">
        <w:t xml:space="preserve">Zanke, B. W., Lee, C., Arab, S., </w:t>
      </w:r>
      <w:r w:rsidRPr="00E7031E">
        <w:rPr>
          <w:noProof/>
        </w:rPr>
        <w:t xml:space="preserve">&amp; </w:t>
      </w:r>
      <w:r w:rsidRPr="00E7031E">
        <w:t xml:space="preserve">Tannock, I.F. (1998). Death of Tumor Cells after Intracellular Acidification Is Dependent on Stress-activated Protein Kinases (SAPK/JNK) Pathway Activation and Cannot Be Inhibited by Bcl-2 Expression or Interleukin 1β-converting Enzyme Inhibition. </w:t>
      </w:r>
      <w:r w:rsidRPr="00E7031E">
        <w:rPr>
          <w:i/>
        </w:rPr>
        <w:t>Cancer Research</w:t>
      </w:r>
      <w:r w:rsidRPr="00E7031E">
        <w:t xml:space="preserve">, </w:t>
      </w:r>
      <w:r w:rsidRPr="00E7031E">
        <w:rPr>
          <w:i/>
        </w:rPr>
        <w:t>5,</w:t>
      </w:r>
      <w:r w:rsidRPr="00E7031E">
        <w:t xml:space="preserve"> 2801-2808.</w:t>
      </w:r>
    </w:p>
    <w:p w14:paraId="6C297D6C" w14:textId="77777777" w:rsidR="001F463E" w:rsidRPr="00E7031E" w:rsidRDefault="001F463E" w:rsidP="00F27FFE">
      <w:pPr>
        <w:spacing w:line="480" w:lineRule="auto"/>
        <w:ind w:left="709" w:hanging="709"/>
        <w:jc w:val="both"/>
      </w:pPr>
      <w:r w:rsidRPr="00E7031E">
        <w:rPr>
          <w:noProof/>
        </w:rPr>
        <w:t xml:space="preserve">Zeisel, S. H. (2012). Dietary choline deficiency causes DNA strand breaks and alters epigenetic marks on DNA and histones. </w:t>
      </w:r>
      <w:r w:rsidRPr="00E7031E">
        <w:rPr>
          <w:i/>
          <w:iCs/>
          <w:noProof/>
        </w:rPr>
        <w:t>Mutation Research - Fundamental and Molecular Mechanisms of Mutagenesis,</w:t>
      </w:r>
      <w:r w:rsidRPr="00E7031E">
        <w:t xml:space="preserve"> </w:t>
      </w:r>
      <w:r w:rsidRPr="00E7031E">
        <w:rPr>
          <w:i/>
          <w:iCs/>
          <w:noProof/>
        </w:rPr>
        <w:t xml:space="preserve">733, </w:t>
      </w:r>
      <w:r w:rsidRPr="00E7031E">
        <w:rPr>
          <w:iCs/>
          <w:noProof/>
        </w:rPr>
        <w:t>34–38</w:t>
      </w:r>
      <w:r w:rsidRPr="00E7031E">
        <w:rPr>
          <w:i/>
          <w:iCs/>
          <w:noProof/>
        </w:rPr>
        <w:t xml:space="preserve"> </w:t>
      </w:r>
      <w:r w:rsidRPr="00E7031E">
        <w:rPr>
          <w:noProof/>
        </w:rPr>
        <w:t>.</w:t>
      </w:r>
    </w:p>
    <w:p w14:paraId="0EBD8063" w14:textId="77777777" w:rsidR="00805255" w:rsidRDefault="00805255">
      <w:pPr>
        <w:rPr>
          <w:bCs/>
          <w:lang w:eastAsia="en-US"/>
        </w:rPr>
      </w:pPr>
      <w:r>
        <w:rPr>
          <w:bCs/>
          <w:lang w:eastAsia="en-US"/>
        </w:rPr>
        <w:br w:type="page"/>
      </w:r>
    </w:p>
    <w:p w14:paraId="16F31C07" w14:textId="77777777" w:rsidR="00805255" w:rsidRPr="006A559D" w:rsidRDefault="00805255" w:rsidP="00805255">
      <w:pPr>
        <w:shd w:val="clear" w:color="auto" w:fill="FFFFFF"/>
        <w:autoSpaceDE w:val="0"/>
        <w:autoSpaceDN w:val="0"/>
        <w:adjustRightInd w:val="0"/>
        <w:spacing w:line="480" w:lineRule="auto"/>
        <w:rPr>
          <w:bCs/>
          <w:color w:val="000000"/>
        </w:rPr>
      </w:pPr>
      <w:r w:rsidRPr="006A559D">
        <w:rPr>
          <w:b/>
          <w:bCs/>
        </w:rPr>
        <w:lastRenderedPageBreak/>
        <w:t>Figure 1.</w:t>
      </w:r>
      <w:r w:rsidRPr="006A559D">
        <w:rPr>
          <w:bCs/>
        </w:rPr>
        <w:t xml:space="preserve"> Effect of prepared extracts, solvents and NADES-forming compounds on HeLa and MCF-7 cell viability determined by the MTS assay was assessed in volume ratio 1%, 5% and 10% (v/v)</w:t>
      </w:r>
      <w:r w:rsidRPr="006A559D">
        <w:rPr>
          <w:bCs/>
          <w:color w:val="000000"/>
        </w:rPr>
        <w:t xml:space="preserve">. Cell viability (%) was expressed as percentage of treated cells versus control cells and the data were expressed as the means (n=5) ±S.D. </w:t>
      </w:r>
    </w:p>
    <w:p w14:paraId="0786E5A7" w14:textId="77777777" w:rsidR="00805255" w:rsidRPr="006A559D" w:rsidRDefault="00805255" w:rsidP="00805255">
      <w:pPr>
        <w:shd w:val="clear" w:color="auto" w:fill="FFFFFF"/>
        <w:autoSpaceDE w:val="0"/>
        <w:autoSpaceDN w:val="0"/>
        <w:adjustRightInd w:val="0"/>
        <w:spacing w:line="480" w:lineRule="auto"/>
        <w:rPr>
          <w:bCs/>
        </w:rPr>
      </w:pPr>
    </w:p>
    <w:p w14:paraId="5D24F87B" w14:textId="77777777" w:rsidR="00805255" w:rsidRPr="006A559D" w:rsidRDefault="00805255" w:rsidP="00805255">
      <w:pPr>
        <w:shd w:val="clear" w:color="auto" w:fill="FFFFFF"/>
        <w:autoSpaceDE w:val="0"/>
        <w:autoSpaceDN w:val="0"/>
        <w:adjustRightInd w:val="0"/>
        <w:spacing w:line="480" w:lineRule="auto"/>
        <w:jc w:val="both"/>
        <w:rPr>
          <w:bCs/>
        </w:rPr>
      </w:pPr>
      <w:r w:rsidRPr="006A559D">
        <w:rPr>
          <w:b/>
          <w:bCs/>
        </w:rPr>
        <w:t>Figure 2.</w:t>
      </w:r>
      <w:r w:rsidRPr="006A559D">
        <w:rPr>
          <w:bCs/>
        </w:rPr>
        <w:t xml:space="preserve"> Cell dead (a) and cell cycle (b) analysis of HeLa cells after treatment with 5% (v/v) grape and pomace extracts in NADES and conventional solvent. Distribution of cell populations (%) were expressed as the means (n=3) ±S.D. Non-identical lower-case letters in every group of results (a-c) indicate significant difference (P &lt; 0.05) determined by Tukey’s HSD test. </w:t>
      </w:r>
    </w:p>
    <w:p w14:paraId="6E5D6517" w14:textId="77777777" w:rsidR="00805255" w:rsidRPr="006A559D" w:rsidRDefault="00805255" w:rsidP="00805255">
      <w:pPr>
        <w:shd w:val="clear" w:color="auto" w:fill="FFFFFF"/>
        <w:autoSpaceDE w:val="0"/>
        <w:autoSpaceDN w:val="0"/>
        <w:adjustRightInd w:val="0"/>
        <w:spacing w:line="480" w:lineRule="auto"/>
        <w:jc w:val="both"/>
        <w:rPr>
          <w:bCs/>
        </w:rPr>
      </w:pPr>
    </w:p>
    <w:p w14:paraId="0FFC1E77" w14:textId="77777777" w:rsidR="00805255" w:rsidRPr="006A559D" w:rsidRDefault="00805255" w:rsidP="00805255">
      <w:pPr>
        <w:shd w:val="clear" w:color="auto" w:fill="FFFFFF"/>
        <w:autoSpaceDE w:val="0"/>
        <w:autoSpaceDN w:val="0"/>
        <w:adjustRightInd w:val="0"/>
        <w:spacing w:line="480" w:lineRule="auto"/>
        <w:rPr>
          <w:bCs/>
        </w:rPr>
      </w:pPr>
      <w:r w:rsidRPr="006A559D">
        <w:rPr>
          <w:b/>
          <w:bCs/>
        </w:rPr>
        <w:t>Figure 3</w:t>
      </w:r>
      <w:r w:rsidRPr="006A559D">
        <w:rPr>
          <w:bCs/>
        </w:rPr>
        <w:t>. Cell viability (%) of HeLa cells measured by MTS assay and percentage of ROS (+) cells pre-treated with 5 % (v/v) grape and pomace extracts in NADES and conventional solvent. Oxidative stress was induced with H</w:t>
      </w:r>
      <w:r w:rsidRPr="006A559D">
        <w:rPr>
          <w:bCs/>
          <w:vertAlign w:val="subscript"/>
        </w:rPr>
        <w:t>2</w:t>
      </w:r>
      <w:r w:rsidRPr="006A559D">
        <w:rPr>
          <w:bCs/>
        </w:rPr>
        <w:t>O</w:t>
      </w:r>
      <w:r w:rsidRPr="006A559D">
        <w:rPr>
          <w:bCs/>
          <w:vertAlign w:val="subscript"/>
        </w:rPr>
        <w:t>2</w:t>
      </w:r>
      <w:r w:rsidRPr="006A559D">
        <w:rPr>
          <w:bCs/>
        </w:rPr>
        <w:t xml:space="preserve"> (100 µM) after 24h pre-treatment. Cell viability was expressed as percentage of treated cells </w:t>
      </w:r>
      <w:r w:rsidRPr="006A559D">
        <w:rPr>
          <w:bCs/>
          <w:i/>
        </w:rPr>
        <w:t>vs</w:t>
      </w:r>
      <w:r w:rsidRPr="006A559D">
        <w:rPr>
          <w:bCs/>
        </w:rPr>
        <w:t xml:space="preserve">. control cells and the data were expressed as the means (n=5) ±S.D., as well as % of ROS (+) cells. Each sample followed by non-identical letters (a-b and A-B for cell viability (%) and % of ROS (+) cells respectively) indicate significant difference (P &lt; 0.05) determined by Tukey’s HSD test. </w:t>
      </w:r>
    </w:p>
    <w:p w14:paraId="56297F7D" w14:textId="77777777" w:rsidR="00805255" w:rsidRPr="006A559D" w:rsidRDefault="00805255" w:rsidP="00805255">
      <w:pPr>
        <w:shd w:val="clear" w:color="auto" w:fill="FFFFFF"/>
        <w:autoSpaceDE w:val="0"/>
        <w:autoSpaceDN w:val="0"/>
        <w:adjustRightInd w:val="0"/>
        <w:spacing w:line="480" w:lineRule="auto"/>
        <w:rPr>
          <w:bCs/>
        </w:rPr>
      </w:pPr>
    </w:p>
    <w:p w14:paraId="110CCA76" w14:textId="77777777" w:rsidR="00805255" w:rsidRPr="001C0CCA" w:rsidRDefault="00805255" w:rsidP="00805255">
      <w:pPr>
        <w:shd w:val="clear" w:color="auto" w:fill="FFFFFF"/>
        <w:autoSpaceDE w:val="0"/>
        <w:autoSpaceDN w:val="0"/>
        <w:adjustRightInd w:val="0"/>
        <w:spacing w:line="480" w:lineRule="auto"/>
        <w:rPr>
          <w:bCs/>
        </w:rPr>
      </w:pPr>
      <w:r w:rsidRPr="006A559D">
        <w:rPr>
          <w:b/>
          <w:bCs/>
        </w:rPr>
        <w:t>Figure 4.</w:t>
      </w:r>
      <w:r w:rsidRPr="006A559D">
        <w:rPr>
          <w:bCs/>
        </w:rPr>
        <w:t xml:space="preserve"> </w:t>
      </w:r>
      <w:r>
        <w:rPr>
          <w:bCs/>
        </w:rPr>
        <w:t xml:space="preserve">(a) </w:t>
      </w:r>
      <w:r w:rsidRPr="006A559D">
        <w:rPr>
          <w:bCs/>
        </w:rPr>
        <w:t xml:space="preserve">Denaturation curve of poly A - poly U upon addition of different concentrations of GPEtOH and OPEtOH </w:t>
      </w:r>
      <w:r w:rsidRPr="006A559D">
        <w:rPr>
          <w:iCs/>
        </w:rPr>
        <w:t>(</w:t>
      </w:r>
      <w:r w:rsidRPr="006A559D">
        <w:rPr>
          <w:rFonts w:ascii="Symbol" w:hAnsi="Symbol"/>
          <w:iCs/>
        </w:rPr>
        <w:t></w:t>
      </w:r>
      <w:r w:rsidRPr="006A559D">
        <w:rPr>
          <w:iCs/>
          <w:vertAlign w:val="subscript"/>
        </w:rPr>
        <w:t>(2a and 2b)</w:t>
      </w:r>
      <w:r w:rsidRPr="006A559D">
        <w:rPr>
          <w:iCs/>
        </w:rPr>
        <w:t xml:space="preserve"> = 0.4 mg mL</w:t>
      </w:r>
      <w:r w:rsidRPr="006A559D">
        <w:rPr>
          <w:iCs/>
          <w:vertAlign w:val="superscript"/>
        </w:rPr>
        <w:t>-1</w:t>
      </w:r>
      <w:r w:rsidRPr="006A559D">
        <w:rPr>
          <w:iCs/>
        </w:rPr>
        <w:t xml:space="preserve">, </w:t>
      </w:r>
      <w:r w:rsidRPr="006A559D">
        <w:rPr>
          <w:rFonts w:ascii="Symbol" w:hAnsi="Symbol"/>
          <w:iCs/>
        </w:rPr>
        <w:t></w:t>
      </w:r>
      <w:r w:rsidRPr="006A559D">
        <w:rPr>
          <w:iCs/>
          <w:vertAlign w:val="subscript"/>
        </w:rPr>
        <w:t>(4a and 4b)</w:t>
      </w:r>
      <w:r w:rsidRPr="006A559D">
        <w:rPr>
          <w:iCs/>
        </w:rPr>
        <w:t xml:space="preserve"> = 0.8 mg mL</w:t>
      </w:r>
      <w:r w:rsidRPr="006A559D">
        <w:rPr>
          <w:iCs/>
          <w:vertAlign w:val="superscript"/>
        </w:rPr>
        <w:t>-1</w:t>
      </w:r>
      <w:r w:rsidRPr="006A559D">
        <w:rPr>
          <w:iCs/>
        </w:rPr>
        <w:t>)</w:t>
      </w:r>
      <w:r w:rsidRPr="006A559D">
        <w:rPr>
          <w:bCs/>
        </w:rPr>
        <w:t xml:space="preserve"> at pH 7.0 (buffer sodium cacodylate, I = 0.05 mol dm</w:t>
      </w:r>
      <w:r w:rsidRPr="006A559D">
        <w:rPr>
          <w:bCs/>
          <w:vertAlign w:val="superscript"/>
        </w:rPr>
        <w:t>-3</w:t>
      </w:r>
      <w:r w:rsidRPr="006A559D">
        <w:rPr>
          <w:bCs/>
        </w:rPr>
        <w:t>)</w:t>
      </w:r>
      <w:r>
        <w:rPr>
          <w:bCs/>
        </w:rPr>
        <w:t xml:space="preserve">. (b) </w:t>
      </w:r>
      <w:r w:rsidRPr="006A559D">
        <w:rPr>
          <w:bCs/>
          <w:lang w:eastAsia="hr-HR"/>
        </w:rPr>
        <w:t>CD titrations of poly A - poly U (</w:t>
      </w:r>
      <w:r w:rsidRPr="006A559D">
        <w:rPr>
          <w:bCs/>
          <w:i/>
          <w:iCs/>
          <w:lang w:eastAsia="hr-HR"/>
        </w:rPr>
        <w:t xml:space="preserve">c </w:t>
      </w:r>
      <w:r w:rsidRPr="006A559D">
        <w:rPr>
          <w:bCs/>
          <w:lang w:eastAsia="hr-HR"/>
        </w:rPr>
        <w:t xml:space="preserve">= 3 </w:t>
      </w:r>
      <w:r w:rsidRPr="006A559D">
        <w:rPr>
          <w:bCs/>
          <w:lang w:eastAsia="hr-HR"/>
        </w:rPr>
        <w:sym w:font="Symbol" w:char="F0B4"/>
      </w:r>
      <w:r w:rsidRPr="006A559D">
        <w:rPr>
          <w:bCs/>
          <w:lang w:eastAsia="hr-HR"/>
        </w:rPr>
        <w:t xml:space="preserve"> 10</w:t>
      </w:r>
      <w:r w:rsidRPr="006A559D">
        <w:rPr>
          <w:bCs/>
          <w:vertAlign w:val="superscript"/>
          <w:lang w:eastAsia="hr-HR"/>
        </w:rPr>
        <w:t>-5</w:t>
      </w:r>
      <w:r w:rsidRPr="006A559D">
        <w:rPr>
          <w:bCs/>
          <w:lang w:eastAsia="hr-HR"/>
        </w:rPr>
        <w:t xml:space="preserve"> mol dm</w:t>
      </w:r>
      <w:r w:rsidRPr="006A559D">
        <w:rPr>
          <w:bCs/>
          <w:vertAlign w:val="superscript"/>
          <w:lang w:eastAsia="hr-HR"/>
        </w:rPr>
        <w:t>-3</w:t>
      </w:r>
      <w:r w:rsidRPr="006A559D">
        <w:rPr>
          <w:bCs/>
          <w:lang w:eastAsia="hr-HR"/>
        </w:rPr>
        <w:t>) with grape GPEtOH (</w:t>
      </w:r>
      <w:r w:rsidRPr="006A559D">
        <w:rPr>
          <w:bCs/>
          <w:lang w:val="en-US" w:eastAsia="hr-HR"/>
        </w:rPr>
        <w:sym w:font="Symbol" w:char="F067"/>
      </w:r>
      <w:r w:rsidRPr="006A559D">
        <w:rPr>
          <w:bCs/>
          <w:vertAlign w:val="subscript"/>
          <w:lang w:val="en-US" w:eastAsia="hr-HR"/>
        </w:rPr>
        <w:t>(G)</w:t>
      </w:r>
      <w:r w:rsidRPr="006A559D">
        <w:rPr>
          <w:bCs/>
          <w:lang w:val="en-US" w:eastAsia="hr-HR"/>
        </w:rPr>
        <w:t xml:space="preserve"> = 0.01; 0.02; 0.03; 0.1 mg mL</w:t>
      </w:r>
      <w:r w:rsidRPr="006A559D">
        <w:rPr>
          <w:bCs/>
          <w:vertAlign w:val="superscript"/>
          <w:lang w:val="en-US" w:eastAsia="hr-HR"/>
        </w:rPr>
        <w:t>-1</w:t>
      </w:r>
      <w:r w:rsidRPr="006A559D">
        <w:rPr>
          <w:bCs/>
          <w:lang w:eastAsia="hr-HR"/>
        </w:rPr>
        <w:t xml:space="preserve">) in sodium cacodylate buffer (pH 7.0, </w:t>
      </w:r>
      <w:r w:rsidRPr="006A559D">
        <w:rPr>
          <w:bCs/>
          <w:i/>
          <w:iCs/>
          <w:lang w:eastAsia="hr-HR"/>
        </w:rPr>
        <w:t>I</w:t>
      </w:r>
      <w:r w:rsidRPr="006A559D">
        <w:rPr>
          <w:bCs/>
          <w:lang w:eastAsia="hr-HR"/>
        </w:rPr>
        <w:t xml:space="preserve"> = 0.05 mol dm</w:t>
      </w:r>
      <w:r w:rsidRPr="006A559D">
        <w:rPr>
          <w:bCs/>
          <w:vertAlign w:val="superscript"/>
          <w:lang w:eastAsia="hr-HR"/>
        </w:rPr>
        <w:t>-3</w:t>
      </w:r>
      <w:r w:rsidRPr="006A559D">
        <w:rPr>
          <w:bCs/>
          <w:lang w:eastAsia="hr-HR"/>
        </w:rPr>
        <w:t>).</w:t>
      </w:r>
    </w:p>
    <w:p w14:paraId="32BFC17F" w14:textId="77777777" w:rsidR="00805255" w:rsidRDefault="00805255" w:rsidP="00805255"/>
    <w:p w14:paraId="016EFA8F" w14:textId="77777777" w:rsidR="00824E31" w:rsidRPr="00E7031E" w:rsidRDefault="00824E31" w:rsidP="00E7031E">
      <w:pPr>
        <w:spacing w:line="480" w:lineRule="auto"/>
        <w:jc w:val="both"/>
        <w:rPr>
          <w:bCs/>
          <w:lang w:eastAsia="en-US"/>
        </w:rPr>
      </w:pPr>
    </w:p>
    <w:sectPr w:rsidR="00824E31" w:rsidRPr="00E7031E" w:rsidSect="005450E1">
      <w:footerReference w:type="default" r:id="rId8"/>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40FB2" w14:textId="77777777" w:rsidR="003B7488" w:rsidRDefault="003B7488" w:rsidP="005209AD">
      <w:r>
        <w:separator/>
      </w:r>
    </w:p>
  </w:endnote>
  <w:endnote w:type="continuationSeparator" w:id="0">
    <w:p w14:paraId="0D7FD25F" w14:textId="77777777" w:rsidR="003B7488" w:rsidRDefault="003B7488" w:rsidP="0052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arnockPro-Regular">
    <w:altName w:val="Times New Roman"/>
    <w:panose1 w:val="00000000000000000000"/>
    <w:charset w:val="00"/>
    <w:family w:val="roman"/>
    <w:notTrueType/>
    <w:pitch w:val="default"/>
  </w:font>
  <w:font w:name="MyriadPro-Light">
    <w:altName w:val="Times New Roman"/>
    <w:panose1 w:val="00000000000000000000"/>
    <w:charset w:val="00"/>
    <w:family w:val="roman"/>
    <w:notTrueType/>
    <w:pitch w:val="default"/>
  </w:font>
  <w:font w:name="Tw Cen MT">
    <w:panose1 w:val="020B0602020104020603"/>
    <w:charset w:val="EE"/>
    <w:family w:val="swiss"/>
    <w:pitch w:val="variable"/>
    <w:sig w:usb0="00000007" w:usb1="00000000" w:usb2="00000000" w:usb3="00000000" w:csb0="00000003" w:csb1="00000000"/>
  </w:font>
  <w:font w:name="GulliverRM">
    <w:altName w:val="Microsoft YaHei"/>
    <w:panose1 w:val="00000000000000000000"/>
    <w:charset w:val="86"/>
    <w:family w:val="auto"/>
    <w:notTrueType/>
    <w:pitch w:val="default"/>
    <w:sig w:usb0="00000001" w:usb1="080F0000" w:usb2="00000010" w:usb3="00000000" w:csb0="00060002" w:csb1="00000000"/>
  </w:font>
  <w:font w:name="AdvTimes">
    <w:altName w:val="MS Mincho"/>
    <w:panose1 w:val="00000000000000000000"/>
    <w:charset w:val="80"/>
    <w:family w:val="auto"/>
    <w:notTrueType/>
    <w:pitch w:val="default"/>
    <w:sig w:usb0="00000001" w:usb1="08070000" w:usb2="00000010" w:usb3="00000000" w:csb0="00020000" w:csb1="00000000"/>
  </w:font>
  <w:font w:name="AdvGulliv-R">
    <w:altName w:val="MS Gothic"/>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211521"/>
      <w:docPartObj>
        <w:docPartGallery w:val="Page Numbers (Bottom of Page)"/>
        <w:docPartUnique/>
      </w:docPartObj>
    </w:sdtPr>
    <w:sdtEndPr/>
    <w:sdtContent>
      <w:p w14:paraId="4420C60B" w14:textId="5385B8EC" w:rsidR="005209AD" w:rsidRDefault="005209AD">
        <w:pPr>
          <w:pStyle w:val="Footer"/>
          <w:jc w:val="right"/>
        </w:pPr>
        <w:r>
          <w:fldChar w:fldCharType="begin"/>
        </w:r>
        <w:r>
          <w:instrText>PAGE   \* MERGEFORMAT</w:instrText>
        </w:r>
        <w:r>
          <w:fldChar w:fldCharType="separate"/>
        </w:r>
        <w:r w:rsidR="009070FE" w:rsidRPr="009070FE">
          <w:rPr>
            <w:noProof/>
            <w:lang w:val="hr-HR"/>
          </w:rPr>
          <w:t>1</w:t>
        </w:r>
        <w:r>
          <w:fldChar w:fldCharType="end"/>
        </w:r>
      </w:p>
    </w:sdtContent>
  </w:sdt>
  <w:p w14:paraId="385A7328" w14:textId="77777777" w:rsidR="005209AD" w:rsidRDefault="005209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89368" w14:textId="77777777" w:rsidR="003B7488" w:rsidRDefault="003B7488" w:rsidP="005209AD">
      <w:r>
        <w:separator/>
      </w:r>
    </w:p>
  </w:footnote>
  <w:footnote w:type="continuationSeparator" w:id="0">
    <w:p w14:paraId="6A66C804" w14:textId="77777777" w:rsidR="003B7488" w:rsidRDefault="003B7488" w:rsidP="005209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6BDC"/>
    <w:multiLevelType w:val="multilevel"/>
    <w:tmpl w:val="828237B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C9B3B0C"/>
    <w:multiLevelType w:val="hybridMultilevel"/>
    <w:tmpl w:val="E7B0DF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8B929DA"/>
    <w:multiLevelType w:val="hybridMultilevel"/>
    <w:tmpl w:val="7F5EA4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A1A17AB"/>
    <w:multiLevelType w:val="multilevel"/>
    <w:tmpl w:val="6F8E0B5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Y1sDA0MTYFMozNzJR0lIJTi4sz8/NACoyMagHzahUDLQAAAA=="/>
  </w:docVars>
  <w:rsids>
    <w:rsidRoot w:val="00396FE7"/>
    <w:rsid w:val="00004DDB"/>
    <w:rsid w:val="0000574A"/>
    <w:rsid w:val="00006487"/>
    <w:rsid w:val="00006E66"/>
    <w:rsid w:val="000156C6"/>
    <w:rsid w:val="000164AA"/>
    <w:rsid w:val="0001753B"/>
    <w:rsid w:val="000227D9"/>
    <w:rsid w:val="00023749"/>
    <w:rsid w:val="00024DFD"/>
    <w:rsid w:val="00030F0A"/>
    <w:rsid w:val="00032415"/>
    <w:rsid w:val="00035CF3"/>
    <w:rsid w:val="00040CE9"/>
    <w:rsid w:val="000414E0"/>
    <w:rsid w:val="000417DC"/>
    <w:rsid w:val="00043C7A"/>
    <w:rsid w:val="0004451C"/>
    <w:rsid w:val="00044767"/>
    <w:rsid w:val="000452E1"/>
    <w:rsid w:val="00045D7E"/>
    <w:rsid w:val="00046212"/>
    <w:rsid w:val="000465EF"/>
    <w:rsid w:val="0004668E"/>
    <w:rsid w:val="0005120A"/>
    <w:rsid w:val="00056A33"/>
    <w:rsid w:val="00061529"/>
    <w:rsid w:val="000650F6"/>
    <w:rsid w:val="000668FB"/>
    <w:rsid w:val="0006693B"/>
    <w:rsid w:val="000670C3"/>
    <w:rsid w:val="00071895"/>
    <w:rsid w:val="00075A90"/>
    <w:rsid w:val="000814BD"/>
    <w:rsid w:val="0008408D"/>
    <w:rsid w:val="00084222"/>
    <w:rsid w:val="00095857"/>
    <w:rsid w:val="00095EE0"/>
    <w:rsid w:val="00097C69"/>
    <w:rsid w:val="000A0266"/>
    <w:rsid w:val="000A1D95"/>
    <w:rsid w:val="000A3DBD"/>
    <w:rsid w:val="000A4DC6"/>
    <w:rsid w:val="000A506F"/>
    <w:rsid w:val="000A79EF"/>
    <w:rsid w:val="000B37ED"/>
    <w:rsid w:val="000C3BFB"/>
    <w:rsid w:val="000D10DA"/>
    <w:rsid w:val="000D1774"/>
    <w:rsid w:val="000D4633"/>
    <w:rsid w:val="000D4B79"/>
    <w:rsid w:val="000E1F79"/>
    <w:rsid w:val="000E35A9"/>
    <w:rsid w:val="000E43C8"/>
    <w:rsid w:val="000E76F7"/>
    <w:rsid w:val="000F142C"/>
    <w:rsid w:val="001006AA"/>
    <w:rsid w:val="00103CAA"/>
    <w:rsid w:val="001040C0"/>
    <w:rsid w:val="001063CC"/>
    <w:rsid w:val="0011032E"/>
    <w:rsid w:val="00113874"/>
    <w:rsid w:val="00116284"/>
    <w:rsid w:val="0012366D"/>
    <w:rsid w:val="00123694"/>
    <w:rsid w:val="00123C23"/>
    <w:rsid w:val="00123D84"/>
    <w:rsid w:val="00125598"/>
    <w:rsid w:val="0012564F"/>
    <w:rsid w:val="001316FB"/>
    <w:rsid w:val="00141E2D"/>
    <w:rsid w:val="00142BD7"/>
    <w:rsid w:val="001432F7"/>
    <w:rsid w:val="00146AC8"/>
    <w:rsid w:val="00150257"/>
    <w:rsid w:val="00152174"/>
    <w:rsid w:val="00154244"/>
    <w:rsid w:val="0015475C"/>
    <w:rsid w:val="00162435"/>
    <w:rsid w:val="0016317F"/>
    <w:rsid w:val="00163B83"/>
    <w:rsid w:val="001644F7"/>
    <w:rsid w:val="001648C4"/>
    <w:rsid w:val="00166595"/>
    <w:rsid w:val="001668C1"/>
    <w:rsid w:val="00166F41"/>
    <w:rsid w:val="00171A33"/>
    <w:rsid w:val="001733BB"/>
    <w:rsid w:val="00173F4D"/>
    <w:rsid w:val="00175209"/>
    <w:rsid w:val="001761F8"/>
    <w:rsid w:val="001803A9"/>
    <w:rsid w:val="0018507A"/>
    <w:rsid w:val="00192841"/>
    <w:rsid w:val="0019303E"/>
    <w:rsid w:val="00194D16"/>
    <w:rsid w:val="001A1127"/>
    <w:rsid w:val="001A5CEA"/>
    <w:rsid w:val="001B1795"/>
    <w:rsid w:val="001B1A98"/>
    <w:rsid w:val="001B25AB"/>
    <w:rsid w:val="001B54DA"/>
    <w:rsid w:val="001B5FFF"/>
    <w:rsid w:val="001C120B"/>
    <w:rsid w:val="001C3A56"/>
    <w:rsid w:val="001C5056"/>
    <w:rsid w:val="001C5972"/>
    <w:rsid w:val="001D04DD"/>
    <w:rsid w:val="001D0A7F"/>
    <w:rsid w:val="001D25C3"/>
    <w:rsid w:val="001D29AC"/>
    <w:rsid w:val="001D31DD"/>
    <w:rsid w:val="001D33B6"/>
    <w:rsid w:val="001D5167"/>
    <w:rsid w:val="001D632F"/>
    <w:rsid w:val="001D688A"/>
    <w:rsid w:val="001E10F2"/>
    <w:rsid w:val="001E39EF"/>
    <w:rsid w:val="001E61AE"/>
    <w:rsid w:val="001E795B"/>
    <w:rsid w:val="001F0F18"/>
    <w:rsid w:val="001F0FB5"/>
    <w:rsid w:val="001F3C58"/>
    <w:rsid w:val="001F463E"/>
    <w:rsid w:val="001F7D52"/>
    <w:rsid w:val="0020142E"/>
    <w:rsid w:val="00203A0A"/>
    <w:rsid w:val="00204F44"/>
    <w:rsid w:val="002058B5"/>
    <w:rsid w:val="00206EBB"/>
    <w:rsid w:val="002131D4"/>
    <w:rsid w:val="00213E56"/>
    <w:rsid w:val="00214CEE"/>
    <w:rsid w:val="00215DC7"/>
    <w:rsid w:val="00215F76"/>
    <w:rsid w:val="00216ECE"/>
    <w:rsid w:val="00216F49"/>
    <w:rsid w:val="00220478"/>
    <w:rsid w:val="002206A0"/>
    <w:rsid w:val="00220845"/>
    <w:rsid w:val="00221AF8"/>
    <w:rsid w:val="00224F72"/>
    <w:rsid w:val="00226A02"/>
    <w:rsid w:val="002331B6"/>
    <w:rsid w:val="00236773"/>
    <w:rsid w:val="00241A54"/>
    <w:rsid w:val="00246B95"/>
    <w:rsid w:val="00250492"/>
    <w:rsid w:val="002525D0"/>
    <w:rsid w:val="00252A31"/>
    <w:rsid w:val="00254C3D"/>
    <w:rsid w:val="00255958"/>
    <w:rsid w:val="00255A56"/>
    <w:rsid w:val="0026363D"/>
    <w:rsid w:val="00264B1A"/>
    <w:rsid w:val="00265803"/>
    <w:rsid w:val="00266982"/>
    <w:rsid w:val="0027164C"/>
    <w:rsid w:val="00271818"/>
    <w:rsid w:val="00275487"/>
    <w:rsid w:val="00281428"/>
    <w:rsid w:val="00281FBD"/>
    <w:rsid w:val="0028644F"/>
    <w:rsid w:val="00291856"/>
    <w:rsid w:val="00292A43"/>
    <w:rsid w:val="00294331"/>
    <w:rsid w:val="002A0311"/>
    <w:rsid w:val="002A3C20"/>
    <w:rsid w:val="002A7BE4"/>
    <w:rsid w:val="002B0022"/>
    <w:rsid w:val="002B3B23"/>
    <w:rsid w:val="002B3B4A"/>
    <w:rsid w:val="002B5E3D"/>
    <w:rsid w:val="002B64A6"/>
    <w:rsid w:val="002C0D7A"/>
    <w:rsid w:val="002C2468"/>
    <w:rsid w:val="002C4B28"/>
    <w:rsid w:val="002D65C1"/>
    <w:rsid w:val="002E0B3A"/>
    <w:rsid w:val="002E23FA"/>
    <w:rsid w:val="002E5316"/>
    <w:rsid w:val="002E6A45"/>
    <w:rsid w:val="002F12A8"/>
    <w:rsid w:val="002F167B"/>
    <w:rsid w:val="002F1855"/>
    <w:rsid w:val="002F4036"/>
    <w:rsid w:val="003005BB"/>
    <w:rsid w:val="0030305F"/>
    <w:rsid w:val="003035A9"/>
    <w:rsid w:val="003056AF"/>
    <w:rsid w:val="00306C37"/>
    <w:rsid w:val="00312E94"/>
    <w:rsid w:val="00313E2A"/>
    <w:rsid w:val="0031698E"/>
    <w:rsid w:val="00322DFB"/>
    <w:rsid w:val="00325A8E"/>
    <w:rsid w:val="00341F07"/>
    <w:rsid w:val="00346938"/>
    <w:rsid w:val="00347630"/>
    <w:rsid w:val="00352668"/>
    <w:rsid w:val="00352C0C"/>
    <w:rsid w:val="003530B1"/>
    <w:rsid w:val="00354C6A"/>
    <w:rsid w:val="00362660"/>
    <w:rsid w:val="00364691"/>
    <w:rsid w:val="0036711E"/>
    <w:rsid w:val="003701FF"/>
    <w:rsid w:val="003721AD"/>
    <w:rsid w:val="00384DC3"/>
    <w:rsid w:val="00385BE2"/>
    <w:rsid w:val="00392CF9"/>
    <w:rsid w:val="00394511"/>
    <w:rsid w:val="0039522F"/>
    <w:rsid w:val="00396FE7"/>
    <w:rsid w:val="00397B53"/>
    <w:rsid w:val="003A0FE7"/>
    <w:rsid w:val="003A156E"/>
    <w:rsid w:val="003B1EAB"/>
    <w:rsid w:val="003B4040"/>
    <w:rsid w:val="003B6BA0"/>
    <w:rsid w:val="003B7488"/>
    <w:rsid w:val="003C46E0"/>
    <w:rsid w:val="003D18E0"/>
    <w:rsid w:val="003D4B88"/>
    <w:rsid w:val="003D5A8B"/>
    <w:rsid w:val="003D70E0"/>
    <w:rsid w:val="003E1CBF"/>
    <w:rsid w:val="003E39B7"/>
    <w:rsid w:val="003E54A8"/>
    <w:rsid w:val="003E7B32"/>
    <w:rsid w:val="003F23FE"/>
    <w:rsid w:val="003F2CD4"/>
    <w:rsid w:val="003F4BFD"/>
    <w:rsid w:val="003F51C0"/>
    <w:rsid w:val="00411602"/>
    <w:rsid w:val="00412E43"/>
    <w:rsid w:val="004133F5"/>
    <w:rsid w:val="00414B20"/>
    <w:rsid w:val="00420AA6"/>
    <w:rsid w:val="004217DC"/>
    <w:rsid w:val="00426F61"/>
    <w:rsid w:val="00432617"/>
    <w:rsid w:val="004339FF"/>
    <w:rsid w:val="00440178"/>
    <w:rsid w:val="00446EAE"/>
    <w:rsid w:val="004472EA"/>
    <w:rsid w:val="0045051F"/>
    <w:rsid w:val="00451F55"/>
    <w:rsid w:val="004538EE"/>
    <w:rsid w:val="00453F7B"/>
    <w:rsid w:val="0046213A"/>
    <w:rsid w:val="00462881"/>
    <w:rsid w:val="00462A13"/>
    <w:rsid w:val="00463933"/>
    <w:rsid w:val="004655BD"/>
    <w:rsid w:val="004704B5"/>
    <w:rsid w:val="004723CC"/>
    <w:rsid w:val="004754BA"/>
    <w:rsid w:val="00475B3F"/>
    <w:rsid w:val="00475C3A"/>
    <w:rsid w:val="00483DC9"/>
    <w:rsid w:val="00484B10"/>
    <w:rsid w:val="00492EBF"/>
    <w:rsid w:val="00493B73"/>
    <w:rsid w:val="0049594C"/>
    <w:rsid w:val="00495D4B"/>
    <w:rsid w:val="004A02F0"/>
    <w:rsid w:val="004A0CAA"/>
    <w:rsid w:val="004A2A02"/>
    <w:rsid w:val="004A36D3"/>
    <w:rsid w:val="004A457A"/>
    <w:rsid w:val="004A4604"/>
    <w:rsid w:val="004A4EAD"/>
    <w:rsid w:val="004A7210"/>
    <w:rsid w:val="004B6A5C"/>
    <w:rsid w:val="004C0114"/>
    <w:rsid w:val="004C3416"/>
    <w:rsid w:val="004C5F11"/>
    <w:rsid w:val="004D0C08"/>
    <w:rsid w:val="004D1C08"/>
    <w:rsid w:val="004D475E"/>
    <w:rsid w:val="004E1407"/>
    <w:rsid w:val="004E24FF"/>
    <w:rsid w:val="004E2CB1"/>
    <w:rsid w:val="004E2D1C"/>
    <w:rsid w:val="004E40D2"/>
    <w:rsid w:val="004E43B4"/>
    <w:rsid w:val="004E7933"/>
    <w:rsid w:val="004E7A03"/>
    <w:rsid w:val="004F089F"/>
    <w:rsid w:val="004F24C6"/>
    <w:rsid w:val="004F4BB4"/>
    <w:rsid w:val="004F5021"/>
    <w:rsid w:val="00500016"/>
    <w:rsid w:val="00500F92"/>
    <w:rsid w:val="00501990"/>
    <w:rsid w:val="005020D7"/>
    <w:rsid w:val="00503F2E"/>
    <w:rsid w:val="005045CE"/>
    <w:rsid w:val="00510119"/>
    <w:rsid w:val="00511460"/>
    <w:rsid w:val="00512EBE"/>
    <w:rsid w:val="005140DB"/>
    <w:rsid w:val="00514B19"/>
    <w:rsid w:val="005209AD"/>
    <w:rsid w:val="005212F9"/>
    <w:rsid w:val="00524688"/>
    <w:rsid w:val="00527FA2"/>
    <w:rsid w:val="00533828"/>
    <w:rsid w:val="00535E10"/>
    <w:rsid w:val="005450E1"/>
    <w:rsid w:val="00545C38"/>
    <w:rsid w:val="00545F99"/>
    <w:rsid w:val="00550465"/>
    <w:rsid w:val="0055192D"/>
    <w:rsid w:val="00552818"/>
    <w:rsid w:val="00556B8D"/>
    <w:rsid w:val="00564067"/>
    <w:rsid w:val="00564C6D"/>
    <w:rsid w:val="0056733C"/>
    <w:rsid w:val="005677F2"/>
    <w:rsid w:val="00572E86"/>
    <w:rsid w:val="0057424F"/>
    <w:rsid w:val="005754E6"/>
    <w:rsid w:val="0057628D"/>
    <w:rsid w:val="00576817"/>
    <w:rsid w:val="005805DE"/>
    <w:rsid w:val="00584C2C"/>
    <w:rsid w:val="00584D81"/>
    <w:rsid w:val="00585F20"/>
    <w:rsid w:val="0059268A"/>
    <w:rsid w:val="0059598D"/>
    <w:rsid w:val="005977C9"/>
    <w:rsid w:val="005A125D"/>
    <w:rsid w:val="005B0D70"/>
    <w:rsid w:val="005B5E0C"/>
    <w:rsid w:val="005C0940"/>
    <w:rsid w:val="005C24A1"/>
    <w:rsid w:val="005C3633"/>
    <w:rsid w:val="005C73C2"/>
    <w:rsid w:val="005D3098"/>
    <w:rsid w:val="005E2A77"/>
    <w:rsid w:val="005E2F6C"/>
    <w:rsid w:val="005E44D9"/>
    <w:rsid w:val="005E7272"/>
    <w:rsid w:val="005F0270"/>
    <w:rsid w:val="005F2F2C"/>
    <w:rsid w:val="005F5EB5"/>
    <w:rsid w:val="006009DC"/>
    <w:rsid w:val="00601C1F"/>
    <w:rsid w:val="00603897"/>
    <w:rsid w:val="00603AD5"/>
    <w:rsid w:val="00604A6D"/>
    <w:rsid w:val="00606D94"/>
    <w:rsid w:val="00607CD5"/>
    <w:rsid w:val="0061228A"/>
    <w:rsid w:val="00613DBE"/>
    <w:rsid w:val="00614C38"/>
    <w:rsid w:val="0061532F"/>
    <w:rsid w:val="00615AB2"/>
    <w:rsid w:val="00617041"/>
    <w:rsid w:val="00621E56"/>
    <w:rsid w:val="00622B43"/>
    <w:rsid w:val="00622EA0"/>
    <w:rsid w:val="006231CD"/>
    <w:rsid w:val="00623A05"/>
    <w:rsid w:val="0062548C"/>
    <w:rsid w:val="00625B63"/>
    <w:rsid w:val="00630355"/>
    <w:rsid w:val="00631451"/>
    <w:rsid w:val="00631A17"/>
    <w:rsid w:val="00632636"/>
    <w:rsid w:val="0063387B"/>
    <w:rsid w:val="006457AB"/>
    <w:rsid w:val="00646692"/>
    <w:rsid w:val="00647567"/>
    <w:rsid w:val="00651BCD"/>
    <w:rsid w:val="00660466"/>
    <w:rsid w:val="00661887"/>
    <w:rsid w:val="00664DAF"/>
    <w:rsid w:val="0066606E"/>
    <w:rsid w:val="006663A2"/>
    <w:rsid w:val="00673319"/>
    <w:rsid w:val="0067661B"/>
    <w:rsid w:val="0067720D"/>
    <w:rsid w:val="0068688E"/>
    <w:rsid w:val="006874A0"/>
    <w:rsid w:val="00694991"/>
    <w:rsid w:val="00696FF3"/>
    <w:rsid w:val="006A33FF"/>
    <w:rsid w:val="006A5974"/>
    <w:rsid w:val="006A6B82"/>
    <w:rsid w:val="006B0293"/>
    <w:rsid w:val="006B35FA"/>
    <w:rsid w:val="006C1233"/>
    <w:rsid w:val="006C1B57"/>
    <w:rsid w:val="006C5486"/>
    <w:rsid w:val="006C6D09"/>
    <w:rsid w:val="006D0543"/>
    <w:rsid w:val="006D10FC"/>
    <w:rsid w:val="006D11E6"/>
    <w:rsid w:val="006D14A7"/>
    <w:rsid w:val="006D15D8"/>
    <w:rsid w:val="006D6EFA"/>
    <w:rsid w:val="006D72A1"/>
    <w:rsid w:val="006D7C33"/>
    <w:rsid w:val="006D7CF7"/>
    <w:rsid w:val="006D7F05"/>
    <w:rsid w:val="006E03A9"/>
    <w:rsid w:val="006E1108"/>
    <w:rsid w:val="006E2436"/>
    <w:rsid w:val="006E321C"/>
    <w:rsid w:val="006E3613"/>
    <w:rsid w:val="006E4A3D"/>
    <w:rsid w:val="006E521D"/>
    <w:rsid w:val="006F0605"/>
    <w:rsid w:val="006F4D89"/>
    <w:rsid w:val="006F5533"/>
    <w:rsid w:val="006F5852"/>
    <w:rsid w:val="006F73CE"/>
    <w:rsid w:val="00703961"/>
    <w:rsid w:val="0070462D"/>
    <w:rsid w:val="00710E4B"/>
    <w:rsid w:val="007156B4"/>
    <w:rsid w:val="00716F64"/>
    <w:rsid w:val="007209B1"/>
    <w:rsid w:val="007258C4"/>
    <w:rsid w:val="007275BD"/>
    <w:rsid w:val="007309A1"/>
    <w:rsid w:val="00734E61"/>
    <w:rsid w:val="00737AE5"/>
    <w:rsid w:val="00745ADF"/>
    <w:rsid w:val="00747346"/>
    <w:rsid w:val="00751EF1"/>
    <w:rsid w:val="00752912"/>
    <w:rsid w:val="00754FDA"/>
    <w:rsid w:val="00756215"/>
    <w:rsid w:val="00756DD4"/>
    <w:rsid w:val="007572CE"/>
    <w:rsid w:val="0076024F"/>
    <w:rsid w:val="00761B23"/>
    <w:rsid w:val="007718E9"/>
    <w:rsid w:val="0077350C"/>
    <w:rsid w:val="0078031C"/>
    <w:rsid w:val="007826CF"/>
    <w:rsid w:val="00782CEE"/>
    <w:rsid w:val="00782E15"/>
    <w:rsid w:val="00786CFC"/>
    <w:rsid w:val="007874FD"/>
    <w:rsid w:val="007876A9"/>
    <w:rsid w:val="00787AD4"/>
    <w:rsid w:val="00797C4E"/>
    <w:rsid w:val="007A3255"/>
    <w:rsid w:val="007A3334"/>
    <w:rsid w:val="007A3C7A"/>
    <w:rsid w:val="007A68B9"/>
    <w:rsid w:val="007A7524"/>
    <w:rsid w:val="007A79DC"/>
    <w:rsid w:val="007A7EC8"/>
    <w:rsid w:val="007B2940"/>
    <w:rsid w:val="007B3C34"/>
    <w:rsid w:val="007B48BB"/>
    <w:rsid w:val="007B58C0"/>
    <w:rsid w:val="007B5B81"/>
    <w:rsid w:val="007B64D1"/>
    <w:rsid w:val="007C3B37"/>
    <w:rsid w:val="007C3F10"/>
    <w:rsid w:val="007C7776"/>
    <w:rsid w:val="007C7CFD"/>
    <w:rsid w:val="007D1C95"/>
    <w:rsid w:val="007D285A"/>
    <w:rsid w:val="007D297D"/>
    <w:rsid w:val="007D6832"/>
    <w:rsid w:val="007D7515"/>
    <w:rsid w:val="007D76AA"/>
    <w:rsid w:val="007E013B"/>
    <w:rsid w:val="007E4711"/>
    <w:rsid w:val="007E7ED0"/>
    <w:rsid w:val="007F0661"/>
    <w:rsid w:val="007F3F59"/>
    <w:rsid w:val="007F4036"/>
    <w:rsid w:val="007F6FA2"/>
    <w:rsid w:val="00800D82"/>
    <w:rsid w:val="00800D98"/>
    <w:rsid w:val="00805255"/>
    <w:rsid w:val="00810225"/>
    <w:rsid w:val="00813924"/>
    <w:rsid w:val="00817B7E"/>
    <w:rsid w:val="00822140"/>
    <w:rsid w:val="00822B1A"/>
    <w:rsid w:val="00823B5E"/>
    <w:rsid w:val="00824E31"/>
    <w:rsid w:val="00825EA2"/>
    <w:rsid w:val="00827632"/>
    <w:rsid w:val="008300E4"/>
    <w:rsid w:val="0083132C"/>
    <w:rsid w:val="008343BB"/>
    <w:rsid w:val="0084442E"/>
    <w:rsid w:val="0085196C"/>
    <w:rsid w:val="00853526"/>
    <w:rsid w:val="00854EC6"/>
    <w:rsid w:val="00855DA0"/>
    <w:rsid w:val="0085646F"/>
    <w:rsid w:val="00857FFC"/>
    <w:rsid w:val="00862732"/>
    <w:rsid w:val="00864586"/>
    <w:rsid w:val="00864CEF"/>
    <w:rsid w:val="00874976"/>
    <w:rsid w:val="008760ED"/>
    <w:rsid w:val="00876D7B"/>
    <w:rsid w:val="00883E2E"/>
    <w:rsid w:val="00886118"/>
    <w:rsid w:val="00886AC6"/>
    <w:rsid w:val="00887131"/>
    <w:rsid w:val="00892B93"/>
    <w:rsid w:val="00894D4A"/>
    <w:rsid w:val="008979BB"/>
    <w:rsid w:val="008A120C"/>
    <w:rsid w:val="008A15C4"/>
    <w:rsid w:val="008A4AE2"/>
    <w:rsid w:val="008A4B77"/>
    <w:rsid w:val="008B28F8"/>
    <w:rsid w:val="008B380F"/>
    <w:rsid w:val="008B4DA9"/>
    <w:rsid w:val="008B7D9F"/>
    <w:rsid w:val="008C057D"/>
    <w:rsid w:val="008C1190"/>
    <w:rsid w:val="008C48E8"/>
    <w:rsid w:val="008C4930"/>
    <w:rsid w:val="008C4E6F"/>
    <w:rsid w:val="008C5C8B"/>
    <w:rsid w:val="008C61B0"/>
    <w:rsid w:val="008C671C"/>
    <w:rsid w:val="008D24C3"/>
    <w:rsid w:val="008D57F9"/>
    <w:rsid w:val="008E2019"/>
    <w:rsid w:val="008E58B3"/>
    <w:rsid w:val="008E6392"/>
    <w:rsid w:val="008E678A"/>
    <w:rsid w:val="008E7EE8"/>
    <w:rsid w:val="008F0EE0"/>
    <w:rsid w:val="008F18DF"/>
    <w:rsid w:val="008F30A9"/>
    <w:rsid w:val="00902FAE"/>
    <w:rsid w:val="0090490E"/>
    <w:rsid w:val="009070FE"/>
    <w:rsid w:val="00907494"/>
    <w:rsid w:val="009075C9"/>
    <w:rsid w:val="00910E65"/>
    <w:rsid w:val="00912137"/>
    <w:rsid w:val="0091233B"/>
    <w:rsid w:val="00912F83"/>
    <w:rsid w:val="0091361B"/>
    <w:rsid w:val="0091684A"/>
    <w:rsid w:val="00920739"/>
    <w:rsid w:val="00922031"/>
    <w:rsid w:val="00924A11"/>
    <w:rsid w:val="00924B53"/>
    <w:rsid w:val="00924BA7"/>
    <w:rsid w:val="0092795B"/>
    <w:rsid w:val="00931ED2"/>
    <w:rsid w:val="00932168"/>
    <w:rsid w:val="00933158"/>
    <w:rsid w:val="009354E4"/>
    <w:rsid w:val="009359CA"/>
    <w:rsid w:val="0094030E"/>
    <w:rsid w:val="00945296"/>
    <w:rsid w:val="009462CC"/>
    <w:rsid w:val="009464F9"/>
    <w:rsid w:val="009476CA"/>
    <w:rsid w:val="00950C02"/>
    <w:rsid w:val="009525B9"/>
    <w:rsid w:val="00954727"/>
    <w:rsid w:val="00955069"/>
    <w:rsid w:val="00957EB9"/>
    <w:rsid w:val="00961384"/>
    <w:rsid w:val="00961B05"/>
    <w:rsid w:val="0096290C"/>
    <w:rsid w:val="00967D2E"/>
    <w:rsid w:val="009708CF"/>
    <w:rsid w:val="00980C13"/>
    <w:rsid w:val="00983315"/>
    <w:rsid w:val="00985D55"/>
    <w:rsid w:val="00991393"/>
    <w:rsid w:val="00993061"/>
    <w:rsid w:val="00995382"/>
    <w:rsid w:val="009955C2"/>
    <w:rsid w:val="009956BC"/>
    <w:rsid w:val="009A686D"/>
    <w:rsid w:val="009A7F8C"/>
    <w:rsid w:val="009B339E"/>
    <w:rsid w:val="009B4D6F"/>
    <w:rsid w:val="009B593E"/>
    <w:rsid w:val="009B7E32"/>
    <w:rsid w:val="009B7F47"/>
    <w:rsid w:val="009C125A"/>
    <w:rsid w:val="009C12B1"/>
    <w:rsid w:val="009D17E3"/>
    <w:rsid w:val="009D2873"/>
    <w:rsid w:val="009E16BF"/>
    <w:rsid w:val="009E19E1"/>
    <w:rsid w:val="009E32A6"/>
    <w:rsid w:val="009E3EAD"/>
    <w:rsid w:val="009E615B"/>
    <w:rsid w:val="009F08E7"/>
    <w:rsid w:val="009F099D"/>
    <w:rsid w:val="009F4041"/>
    <w:rsid w:val="009F4296"/>
    <w:rsid w:val="009F51C6"/>
    <w:rsid w:val="009F6DE7"/>
    <w:rsid w:val="009F7461"/>
    <w:rsid w:val="00A032C4"/>
    <w:rsid w:val="00A04F94"/>
    <w:rsid w:val="00A1149B"/>
    <w:rsid w:val="00A15009"/>
    <w:rsid w:val="00A162F9"/>
    <w:rsid w:val="00A1643A"/>
    <w:rsid w:val="00A21117"/>
    <w:rsid w:val="00A2398B"/>
    <w:rsid w:val="00A2444E"/>
    <w:rsid w:val="00A258E7"/>
    <w:rsid w:val="00A27E6F"/>
    <w:rsid w:val="00A30CD3"/>
    <w:rsid w:val="00A31F87"/>
    <w:rsid w:val="00A414F3"/>
    <w:rsid w:val="00A4483E"/>
    <w:rsid w:val="00A52E85"/>
    <w:rsid w:val="00A53E44"/>
    <w:rsid w:val="00A53EA2"/>
    <w:rsid w:val="00A57C69"/>
    <w:rsid w:val="00A66E18"/>
    <w:rsid w:val="00A67F69"/>
    <w:rsid w:val="00A70330"/>
    <w:rsid w:val="00A76871"/>
    <w:rsid w:val="00A8383E"/>
    <w:rsid w:val="00A87697"/>
    <w:rsid w:val="00A91BE4"/>
    <w:rsid w:val="00A91DE0"/>
    <w:rsid w:val="00A9321E"/>
    <w:rsid w:val="00A9472B"/>
    <w:rsid w:val="00A957E6"/>
    <w:rsid w:val="00AA13DC"/>
    <w:rsid w:val="00AA3CB7"/>
    <w:rsid w:val="00AA4753"/>
    <w:rsid w:val="00AA47C2"/>
    <w:rsid w:val="00AA7481"/>
    <w:rsid w:val="00AB3D78"/>
    <w:rsid w:val="00AB6098"/>
    <w:rsid w:val="00AC0AE0"/>
    <w:rsid w:val="00AC1706"/>
    <w:rsid w:val="00AC2A19"/>
    <w:rsid w:val="00AC31B5"/>
    <w:rsid w:val="00AC4034"/>
    <w:rsid w:val="00AC5E77"/>
    <w:rsid w:val="00AC7AD4"/>
    <w:rsid w:val="00AD1B7C"/>
    <w:rsid w:val="00AD1CD3"/>
    <w:rsid w:val="00AD3438"/>
    <w:rsid w:val="00AD5EF6"/>
    <w:rsid w:val="00AD6841"/>
    <w:rsid w:val="00AE04A8"/>
    <w:rsid w:val="00AE3443"/>
    <w:rsid w:val="00AE3BE7"/>
    <w:rsid w:val="00AE5A5E"/>
    <w:rsid w:val="00AE6E15"/>
    <w:rsid w:val="00AF0AC3"/>
    <w:rsid w:val="00AF3C61"/>
    <w:rsid w:val="00AF5935"/>
    <w:rsid w:val="00B00B2A"/>
    <w:rsid w:val="00B02608"/>
    <w:rsid w:val="00B03C4A"/>
    <w:rsid w:val="00B03F4D"/>
    <w:rsid w:val="00B05023"/>
    <w:rsid w:val="00B10018"/>
    <w:rsid w:val="00B10F3A"/>
    <w:rsid w:val="00B11FA7"/>
    <w:rsid w:val="00B12CB9"/>
    <w:rsid w:val="00B1549F"/>
    <w:rsid w:val="00B1611B"/>
    <w:rsid w:val="00B25478"/>
    <w:rsid w:val="00B300EB"/>
    <w:rsid w:val="00B3116D"/>
    <w:rsid w:val="00B37B3D"/>
    <w:rsid w:val="00B404AB"/>
    <w:rsid w:val="00B40BD7"/>
    <w:rsid w:val="00B40D43"/>
    <w:rsid w:val="00B415A3"/>
    <w:rsid w:val="00B417AA"/>
    <w:rsid w:val="00B42306"/>
    <w:rsid w:val="00B51C7D"/>
    <w:rsid w:val="00B522FF"/>
    <w:rsid w:val="00B54229"/>
    <w:rsid w:val="00B54DD6"/>
    <w:rsid w:val="00B54FE5"/>
    <w:rsid w:val="00B563A3"/>
    <w:rsid w:val="00B56AA6"/>
    <w:rsid w:val="00B56CDF"/>
    <w:rsid w:val="00B6025D"/>
    <w:rsid w:val="00B60372"/>
    <w:rsid w:val="00B61717"/>
    <w:rsid w:val="00B63A4D"/>
    <w:rsid w:val="00B653B4"/>
    <w:rsid w:val="00B66067"/>
    <w:rsid w:val="00B66A4A"/>
    <w:rsid w:val="00B66FE9"/>
    <w:rsid w:val="00B74226"/>
    <w:rsid w:val="00B80451"/>
    <w:rsid w:val="00B85234"/>
    <w:rsid w:val="00B8688F"/>
    <w:rsid w:val="00B90720"/>
    <w:rsid w:val="00B90F3B"/>
    <w:rsid w:val="00B9162A"/>
    <w:rsid w:val="00B93A75"/>
    <w:rsid w:val="00B93EB4"/>
    <w:rsid w:val="00B93FB5"/>
    <w:rsid w:val="00B963E2"/>
    <w:rsid w:val="00B967FA"/>
    <w:rsid w:val="00B9735F"/>
    <w:rsid w:val="00BA0FEC"/>
    <w:rsid w:val="00BA2268"/>
    <w:rsid w:val="00BA3157"/>
    <w:rsid w:val="00BA65B3"/>
    <w:rsid w:val="00BA6E9F"/>
    <w:rsid w:val="00BA73A7"/>
    <w:rsid w:val="00BB0283"/>
    <w:rsid w:val="00BB3A72"/>
    <w:rsid w:val="00BB7404"/>
    <w:rsid w:val="00BB74B0"/>
    <w:rsid w:val="00BC3AF1"/>
    <w:rsid w:val="00BC599B"/>
    <w:rsid w:val="00BC7E5D"/>
    <w:rsid w:val="00BD19D9"/>
    <w:rsid w:val="00BD42C5"/>
    <w:rsid w:val="00BD64D1"/>
    <w:rsid w:val="00BE2B37"/>
    <w:rsid w:val="00BE3731"/>
    <w:rsid w:val="00BE4ED3"/>
    <w:rsid w:val="00BE6ECA"/>
    <w:rsid w:val="00BF5A6E"/>
    <w:rsid w:val="00BF69FD"/>
    <w:rsid w:val="00C034FA"/>
    <w:rsid w:val="00C0416D"/>
    <w:rsid w:val="00C04618"/>
    <w:rsid w:val="00C04690"/>
    <w:rsid w:val="00C062F9"/>
    <w:rsid w:val="00C06DB1"/>
    <w:rsid w:val="00C12410"/>
    <w:rsid w:val="00C13C07"/>
    <w:rsid w:val="00C144E2"/>
    <w:rsid w:val="00C1453D"/>
    <w:rsid w:val="00C1567A"/>
    <w:rsid w:val="00C17531"/>
    <w:rsid w:val="00C178BE"/>
    <w:rsid w:val="00C201F7"/>
    <w:rsid w:val="00C21C40"/>
    <w:rsid w:val="00C21FC5"/>
    <w:rsid w:val="00C225B5"/>
    <w:rsid w:val="00C27EAC"/>
    <w:rsid w:val="00C30713"/>
    <w:rsid w:val="00C31443"/>
    <w:rsid w:val="00C3344A"/>
    <w:rsid w:val="00C41C76"/>
    <w:rsid w:val="00C4230D"/>
    <w:rsid w:val="00C4270B"/>
    <w:rsid w:val="00C44304"/>
    <w:rsid w:val="00C5105F"/>
    <w:rsid w:val="00C527F6"/>
    <w:rsid w:val="00C601AF"/>
    <w:rsid w:val="00C62CD6"/>
    <w:rsid w:val="00C70440"/>
    <w:rsid w:val="00C719BE"/>
    <w:rsid w:val="00C72281"/>
    <w:rsid w:val="00C7592B"/>
    <w:rsid w:val="00C75D94"/>
    <w:rsid w:val="00C84264"/>
    <w:rsid w:val="00C845DF"/>
    <w:rsid w:val="00C8723D"/>
    <w:rsid w:val="00C92542"/>
    <w:rsid w:val="00C927E0"/>
    <w:rsid w:val="00C954AB"/>
    <w:rsid w:val="00CA00F8"/>
    <w:rsid w:val="00CA1765"/>
    <w:rsid w:val="00CA20C2"/>
    <w:rsid w:val="00CA2F07"/>
    <w:rsid w:val="00CA3609"/>
    <w:rsid w:val="00CA3992"/>
    <w:rsid w:val="00CA6619"/>
    <w:rsid w:val="00CB253F"/>
    <w:rsid w:val="00CB32AA"/>
    <w:rsid w:val="00CB3A02"/>
    <w:rsid w:val="00CB4D6A"/>
    <w:rsid w:val="00CB609C"/>
    <w:rsid w:val="00CB7F5E"/>
    <w:rsid w:val="00CC2A5F"/>
    <w:rsid w:val="00CD03A9"/>
    <w:rsid w:val="00CD0464"/>
    <w:rsid w:val="00CD28E0"/>
    <w:rsid w:val="00CE0182"/>
    <w:rsid w:val="00CE1A83"/>
    <w:rsid w:val="00CE1AEF"/>
    <w:rsid w:val="00CE3047"/>
    <w:rsid w:val="00CE4FEE"/>
    <w:rsid w:val="00CE5E4C"/>
    <w:rsid w:val="00CE67D1"/>
    <w:rsid w:val="00CE6FA1"/>
    <w:rsid w:val="00CF29ED"/>
    <w:rsid w:val="00CF2DDD"/>
    <w:rsid w:val="00CF3DDA"/>
    <w:rsid w:val="00CF44BB"/>
    <w:rsid w:val="00CF5895"/>
    <w:rsid w:val="00CF5AF7"/>
    <w:rsid w:val="00CF7C2B"/>
    <w:rsid w:val="00D006C2"/>
    <w:rsid w:val="00D01196"/>
    <w:rsid w:val="00D02052"/>
    <w:rsid w:val="00D03CB9"/>
    <w:rsid w:val="00D13EB8"/>
    <w:rsid w:val="00D14C94"/>
    <w:rsid w:val="00D22289"/>
    <w:rsid w:val="00D23FC8"/>
    <w:rsid w:val="00D25096"/>
    <w:rsid w:val="00D27FD7"/>
    <w:rsid w:val="00D30B6D"/>
    <w:rsid w:val="00D358F9"/>
    <w:rsid w:val="00D36302"/>
    <w:rsid w:val="00D443D3"/>
    <w:rsid w:val="00D505CA"/>
    <w:rsid w:val="00D51BAE"/>
    <w:rsid w:val="00D52A0A"/>
    <w:rsid w:val="00D53AE7"/>
    <w:rsid w:val="00D549FA"/>
    <w:rsid w:val="00D55A10"/>
    <w:rsid w:val="00D568F2"/>
    <w:rsid w:val="00D57098"/>
    <w:rsid w:val="00D57216"/>
    <w:rsid w:val="00D64C20"/>
    <w:rsid w:val="00D6518A"/>
    <w:rsid w:val="00D6531C"/>
    <w:rsid w:val="00D65523"/>
    <w:rsid w:val="00D67760"/>
    <w:rsid w:val="00D74774"/>
    <w:rsid w:val="00D75944"/>
    <w:rsid w:val="00D81EF9"/>
    <w:rsid w:val="00D82149"/>
    <w:rsid w:val="00D85894"/>
    <w:rsid w:val="00D931D2"/>
    <w:rsid w:val="00D949B5"/>
    <w:rsid w:val="00D96397"/>
    <w:rsid w:val="00D96D2C"/>
    <w:rsid w:val="00D97900"/>
    <w:rsid w:val="00D97CBC"/>
    <w:rsid w:val="00DA1BE7"/>
    <w:rsid w:val="00DA31BA"/>
    <w:rsid w:val="00DA510E"/>
    <w:rsid w:val="00DA6CB7"/>
    <w:rsid w:val="00DB1B8A"/>
    <w:rsid w:val="00DB27A2"/>
    <w:rsid w:val="00DB6ECF"/>
    <w:rsid w:val="00DB6EF2"/>
    <w:rsid w:val="00DC5045"/>
    <w:rsid w:val="00DC526F"/>
    <w:rsid w:val="00DC6349"/>
    <w:rsid w:val="00DD1884"/>
    <w:rsid w:val="00DD468C"/>
    <w:rsid w:val="00DD4F28"/>
    <w:rsid w:val="00DD61DD"/>
    <w:rsid w:val="00DD72C0"/>
    <w:rsid w:val="00DE18B9"/>
    <w:rsid w:val="00DE2E77"/>
    <w:rsid w:val="00DE3FBD"/>
    <w:rsid w:val="00DE7573"/>
    <w:rsid w:val="00DF1C3A"/>
    <w:rsid w:val="00DF40A3"/>
    <w:rsid w:val="00DF4CE8"/>
    <w:rsid w:val="00DF503B"/>
    <w:rsid w:val="00DF6715"/>
    <w:rsid w:val="00DF6AC8"/>
    <w:rsid w:val="00E00B8A"/>
    <w:rsid w:val="00E02254"/>
    <w:rsid w:val="00E02329"/>
    <w:rsid w:val="00E05B69"/>
    <w:rsid w:val="00E070EB"/>
    <w:rsid w:val="00E12E79"/>
    <w:rsid w:val="00E13B53"/>
    <w:rsid w:val="00E13BE3"/>
    <w:rsid w:val="00E14A49"/>
    <w:rsid w:val="00E158D8"/>
    <w:rsid w:val="00E173FC"/>
    <w:rsid w:val="00E175B1"/>
    <w:rsid w:val="00E23E97"/>
    <w:rsid w:val="00E25683"/>
    <w:rsid w:val="00E25D37"/>
    <w:rsid w:val="00E26747"/>
    <w:rsid w:val="00E273EC"/>
    <w:rsid w:val="00E30F3A"/>
    <w:rsid w:val="00E3187F"/>
    <w:rsid w:val="00E41FFD"/>
    <w:rsid w:val="00E43C66"/>
    <w:rsid w:val="00E441AE"/>
    <w:rsid w:val="00E466E5"/>
    <w:rsid w:val="00E508DD"/>
    <w:rsid w:val="00E50916"/>
    <w:rsid w:val="00E5132A"/>
    <w:rsid w:val="00E52EFE"/>
    <w:rsid w:val="00E5408E"/>
    <w:rsid w:val="00E54510"/>
    <w:rsid w:val="00E568DF"/>
    <w:rsid w:val="00E610E0"/>
    <w:rsid w:val="00E635D8"/>
    <w:rsid w:val="00E66A09"/>
    <w:rsid w:val="00E67C94"/>
    <w:rsid w:val="00E7031E"/>
    <w:rsid w:val="00E73914"/>
    <w:rsid w:val="00E80E93"/>
    <w:rsid w:val="00E81260"/>
    <w:rsid w:val="00E90499"/>
    <w:rsid w:val="00E90E4D"/>
    <w:rsid w:val="00E914A4"/>
    <w:rsid w:val="00E9398C"/>
    <w:rsid w:val="00E95614"/>
    <w:rsid w:val="00EB0A84"/>
    <w:rsid w:val="00EB1668"/>
    <w:rsid w:val="00EB5035"/>
    <w:rsid w:val="00EB7C6E"/>
    <w:rsid w:val="00EC23D3"/>
    <w:rsid w:val="00EC259D"/>
    <w:rsid w:val="00EC3D60"/>
    <w:rsid w:val="00EC7AE0"/>
    <w:rsid w:val="00EC7B32"/>
    <w:rsid w:val="00ED0A00"/>
    <w:rsid w:val="00ED2A4F"/>
    <w:rsid w:val="00ED2D8F"/>
    <w:rsid w:val="00ED709D"/>
    <w:rsid w:val="00ED7C47"/>
    <w:rsid w:val="00EE1BAA"/>
    <w:rsid w:val="00EE2848"/>
    <w:rsid w:val="00EE2B32"/>
    <w:rsid w:val="00EE3795"/>
    <w:rsid w:val="00EE3EFE"/>
    <w:rsid w:val="00EE56F9"/>
    <w:rsid w:val="00EF70DA"/>
    <w:rsid w:val="00F00277"/>
    <w:rsid w:val="00F02051"/>
    <w:rsid w:val="00F04A70"/>
    <w:rsid w:val="00F056EF"/>
    <w:rsid w:val="00F1059F"/>
    <w:rsid w:val="00F1514E"/>
    <w:rsid w:val="00F20305"/>
    <w:rsid w:val="00F20C1E"/>
    <w:rsid w:val="00F21026"/>
    <w:rsid w:val="00F2697D"/>
    <w:rsid w:val="00F27FFE"/>
    <w:rsid w:val="00F3391F"/>
    <w:rsid w:val="00F33961"/>
    <w:rsid w:val="00F4118E"/>
    <w:rsid w:val="00F5100E"/>
    <w:rsid w:val="00F52360"/>
    <w:rsid w:val="00F532B7"/>
    <w:rsid w:val="00F538CD"/>
    <w:rsid w:val="00F55817"/>
    <w:rsid w:val="00F56A69"/>
    <w:rsid w:val="00F634DD"/>
    <w:rsid w:val="00F649CB"/>
    <w:rsid w:val="00F673FB"/>
    <w:rsid w:val="00F72172"/>
    <w:rsid w:val="00F74D75"/>
    <w:rsid w:val="00F76909"/>
    <w:rsid w:val="00F76969"/>
    <w:rsid w:val="00F833F9"/>
    <w:rsid w:val="00F8466D"/>
    <w:rsid w:val="00F860F1"/>
    <w:rsid w:val="00F9140F"/>
    <w:rsid w:val="00F92F96"/>
    <w:rsid w:val="00F93C17"/>
    <w:rsid w:val="00F96A96"/>
    <w:rsid w:val="00FA5567"/>
    <w:rsid w:val="00FA56AD"/>
    <w:rsid w:val="00FA5ED7"/>
    <w:rsid w:val="00FB2D40"/>
    <w:rsid w:val="00FB3428"/>
    <w:rsid w:val="00FB3E2D"/>
    <w:rsid w:val="00FB3FDD"/>
    <w:rsid w:val="00FB60B8"/>
    <w:rsid w:val="00FB660F"/>
    <w:rsid w:val="00FB74F4"/>
    <w:rsid w:val="00FC02E1"/>
    <w:rsid w:val="00FC23D5"/>
    <w:rsid w:val="00FC2483"/>
    <w:rsid w:val="00FC3AFC"/>
    <w:rsid w:val="00FC77BB"/>
    <w:rsid w:val="00FC78D5"/>
    <w:rsid w:val="00FD4D6C"/>
    <w:rsid w:val="00FE5349"/>
    <w:rsid w:val="00FF2E3A"/>
    <w:rsid w:val="00FF3075"/>
    <w:rsid w:val="00FF39C0"/>
    <w:rsid w:val="00FF79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0B4DB1D"/>
  <w15:docId w15:val="{F2E0BE96-0444-4129-8021-A4B12769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FE7"/>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9"/>
    <w:qFormat/>
    <w:rsid w:val="003056AF"/>
    <w:pPr>
      <w:keepNext/>
      <w:keepLines/>
      <w:spacing w:before="240"/>
      <w:outlineLvl w:val="0"/>
    </w:pPr>
    <w:rPr>
      <w:rFonts w:ascii="Calibri Light" w:hAnsi="Calibri Light"/>
      <w:color w:val="2E74B5"/>
      <w:sz w:val="32"/>
      <w:szCs w:val="32"/>
    </w:rPr>
  </w:style>
  <w:style w:type="paragraph" w:styleId="Heading2">
    <w:name w:val="heading 2"/>
    <w:basedOn w:val="Normal"/>
    <w:link w:val="Heading2Char"/>
    <w:uiPriority w:val="99"/>
    <w:qFormat/>
    <w:rsid w:val="009C125A"/>
    <w:pPr>
      <w:spacing w:before="100" w:beforeAutospacing="1" w:after="100" w:afterAutospacing="1"/>
      <w:outlineLvl w:val="1"/>
    </w:pPr>
    <w:rPr>
      <w:b/>
      <w:bCs/>
      <w:sz w:val="36"/>
      <w:szCs w:val="36"/>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056AF"/>
    <w:rPr>
      <w:rFonts w:ascii="Calibri Light" w:hAnsi="Calibri Light" w:cs="Times New Roman"/>
      <w:color w:val="2E74B5"/>
      <w:sz w:val="32"/>
      <w:szCs w:val="32"/>
      <w:lang w:val="en-GB" w:eastAsia="en-GB"/>
    </w:rPr>
  </w:style>
  <w:style w:type="character" w:customStyle="1" w:styleId="Heading2Char">
    <w:name w:val="Heading 2 Char"/>
    <w:link w:val="Heading2"/>
    <w:uiPriority w:val="99"/>
    <w:locked/>
    <w:rsid w:val="009C125A"/>
    <w:rPr>
      <w:rFonts w:ascii="Times New Roman" w:hAnsi="Times New Roman" w:cs="Times New Roman"/>
      <w:b/>
      <w:bCs/>
      <w:sz w:val="36"/>
      <w:szCs w:val="36"/>
      <w:lang w:eastAsia="hr-HR"/>
    </w:rPr>
  </w:style>
  <w:style w:type="character" w:styleId="CommentReference">
    <w:name w:val="annotation reference"/>
    <w:uiPriority w:val="99"/>
    <w:semiHidden/>
    <w:rsid w:val="00F56A69"/>
    <w:rPr>
      <w:rFonts w:cs="Times New Roman"/>
      <w:sz w:val="16"/>
      <w:szCs w:val="16"/>
    </w:rPr>
  </w:style>
  <w:style w:type="paragraph" w:styleId="CommentText">
    <w:name w:val="annotation text"/>
    <w:basedOn w:val="Normal"/>
    <w:link w:val="CommentTextChar"/>
    <w:uiPriority w:val="99"/>
    <w:rsid w:val="00F56A69"/>
    <w:rPr>
      <w:sz w:val="20"/>
      <w:szCs w:val="20"/>
    </w:rPr>
  </w:style>
  <w:style w:type="character" w:customStyle="1" w:styleId="CommentTextChar">
    <w:name w:val="Comment Text Char"/>
    <w:link w:val="CommentText"/>
    <w:uiPriority w:val="99"/>
    <w:locked/>
    <w:rsid w:val="00F56A69"/>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rsid w:val="00F56A69"/>
    <w:rPr>
      <w:b/>
      <w:bCs/>
    </w:rPr>
  </w:style>
  <w:style w:type="character" w:customStyle="1" w:styleId="CommentSubjectChar">
    <w:name w:val="Comment Subject Char"/>
    <w:link w:val="CommentSubject"/>
    <w:uiPriority w:val="99"/>
    <w:semiHidden/>
    <w:locked/>
    <w:rsid w:val="00F56A69"/>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semiHidden/>
    <w:rsid w:val="00F56A69"/>
    <w:rPr>
      <w:rFonts w:ascii="Segoe UI" w:hAnsi="Segoe UI" w:cs="Segoe UI"/>
      <w:sz w:val="18"/>
      <w:szCs w:val="18"/>
    </w:rPr>
  </w:style>
  <w:style w:type="character" w:customStyle="1" w:styleId="BalloonTextChar">
    <w:name w:val="Balloon Text Char"/>
    <w:link w:val="BalloonText"/>
    <w:uiPriority w:val="99"/>
    <w:semiHidden/>
    <w:locked/>
    <w:rsid w:val="00F56A69"/>
    <w:rPr>
      <w:rFonts w:ascii="Segoe UI" w:hAnsi="Segoe UI" w:cs="Segoe UI"/>
      <w:sz w:val="18"/>
      <w:szCs w:val="18"/>
      <w:lang w:val="en-GB" w:eastAsia="en-GB"/>
    </w:rPr>
  </w:style>
  <w:style w:type="paragraph" w:styleId="NormalWeb">
    <w:name w:val="Normal (Web)"/>
    <w:basedOn w:val="Normal"/>
    <w:uiPriority w:val="99"/>
    <w:rsid w:val="00E90E4D"/>
    <w:pPr>
      <w:spacing w:before="100" w:beforeAutospacing="1" w:after="100" w:afterAutospacing="1"/>
    </w:pPr>
    <w:rPr>
      <w:lang w:val="hr-HR" w:eastAsia="hr-HR"/>
    </w:rPr>
  </w:style>
  <w:style w:type="character" w:customStyle="1" w:styleId="fontstyle01">
    <w:name w:val="fontstyle01"/>
    <w:uiPriority w:val="99"/>
    <w:rsid w:val="00E90E4D"/>
    <w:rPr>
      <w:rFonts w:ascii="WarnockPro-Regular" w:hAnsi="WarnockPro-Regular" w:cs="Times New Roman"/>
      <w:color w:val="000000"/>
      <w:sz w:val="20"/>
      <w:szCs w:val="20"/>
    </w:rPr>
  </w:style>
  <w:style w:type="character" w:customStyle="1" w:styleId="fontstyle21">
    <w:name w:val="fontstyle21"/>
    <w:rsid w:val="009C125A"/>
    <w:rPr>
      <w:rFonts w:ascii="MyriadPro-Light" w:hAnsi="MyriadPro-Light" w:cs="Times New Roman"/>
      <w:color w:val="000000"/>
      <w:sz w:val="22"/>
      <w:szCs w:val="22"/>
    </w:rPr>
  </w:style>
  <w:style w:type="character" w:customStyle="1" w:styleId="size-m">
    <w:name w:val="size-m"/>
    <w:uiPriority w:val="99"/>
    <w:rsid w:val="009C125A"/>
    <w:rPr>
      <w:rFonts w:cs="Times New Roman"/>
    </w:rPr>
  </w:style>
  <w:style w:type="character" w:styleId="Hyperlink">
    <w:name w:val="Hyperlink"/>
    <w:uiPriority w:val="99"/>
    <w:rsid w:val="009C125A"/>
    <w:rPr>
      <w:rFonts w:cs="Times New Roman"/>
      <w:color w:val="0000FF"/>
      <w:u w:val="single"/>
    </w:rPr>
  </w:style>
  <w:style w:type="table" w:styleId="TableGrid">
    <w:name w:val="Table Grid"/>
    <w:basedOn w:val="TableNormal"/>
    <w:uiPriority w:val="99"/>
    <w:rsid w:val="00FB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B3428"/>
    <w:pPr>
      <w:widowControl w:val="0"/>
      <w:ind w:left="720"/>
      <w:contextualSpacing/>
    </w:pPr>
    <w:rPr>
      <w:rFonts w:ascii="Tw Cen MT" w:eastAsia="Calibri" w:hAnsi="Tw Cen MT" w:cs="Tw Cen MT"/>
      <w:sz w:val="22"/>
      <w:szCs w:val="22"/>
      <w:lang w:val="en-US" w:eastAsia="en-US"/>
    </w:rPr>
  </w:style>
  <w:style w:type="paragraph" w:styleId="EndnoteText">
    <w:name w:val="endnote text"/>
    <w:basedOn w:val="Normal"/>
    <w:link w:val="EndnoteTextChar"/>
    <w:uiPriority w:val="99"/>
    <w:rsid w:val="006B35FA"/>
    <w:pPr>
      <w:widowControl w:val="0"/>
    </w:pPr>
    <w:rPr>
      <w:rFonts w:ascii="Tw Cen MT" w:eastAsia="Calibri" w:hAnsi="Tw Cen MT" w:cs="Tw Cen MT"/>
      <w:sz w:val="20"/>
      <w:szCs w:val="20"/>
      <w:lang w:val="en-US" w:eastAsia="en-US"/>
    </w:rPr>
  </w:style>
  <w:style w:type="character" w:customStyle="1" w:styleId="EndnoteTextChar">
    <w:name w:val="Endnote Text Char"/>
    <w:link w:val="EndnoteText"/>
    <w:uiPriority w:val="99"/>
    <w:locked/>
    <w:rsid w:val="006B35FA"/>
    <w:rPr>
      <w:rFonts w:ascii="Tw Cen MT" w:hAnsi="Tw Cen MT" w:cs="Tw Cen MT"/>
      <w:sz w:val="20"/>
      <w:szCs w:val="20"/>
      <w:lang w:val="en-US"/>
    </w:rPr>
  </w:style>
  <w:style w:type="paragraph" w:customStyle="1" w:styleId="Tablica">
    <w:name w:val="Tablica"/>
    <w:basedOn w:val="Normal"/>
    <w:link w:val="TablicaChar"/>
    <w:uiPriority w:val="99"/>
    <w:rsid w:val="00463933"/>
    <w:pPr>
      <w:spacing w:after="160" w:line="360" w:lineRule="auto"/>
      <w:jc w:val="center"/>
    </w:pPr>
    <w:rPr>
      <w:rFonts w:eastAsia="Calibri"/>
      <w:szCs w:val="20"/>
      <w:lang w:val="en-US" w:eastAsia="ja-JP"/>
    </w:rPr>
  </w:style>
  <w:style w:type="character" w:customStyle="1" w:styleId="TablicaChar">
    <w:name w:val="Tablica Char"/>
    <w:link w:val="Tablica"/>
    <w:uiPriority w:val="99"/>
    <w:locked/>
    <w:rsid w:val="00463933"/>
    <w:rPr>
      <w:rFonts w:ascii="Times New Roman" w:hAnsi="Times New Roman"/>
      <w:sz w:val="24"/>
      <w:lang w:val="en-US"/>
    </w:rPr>
  </w:style>
  <w:style w:type="character" w:customStyle="1" w:styleId="shorttext">
    <w:name w:val="short_text"/>
    <w:uiPriority w:val="99"/>
    <w:rsid w:val="00625B63"/>
    <w:rPr>
      <w:rFonts w:cs="Times New Roman"/>
    </w:rPr>
  </w:style>
  <w:style w:type="character" w:customStyle="1" w:styleId="UnresolvedMention1">
    <w:name w:val="Unresolved Mention1"/>
    <w:uiPriority w:val="99"/>
    <w:semiHidden/>
    <w:rsid w:val="00484B10"/>
    <w:rPr>
      <w:rFonts w:cs="Times New Roman"/>
      <w:color w:val="605E5C"/>
      <w:shd w:val="clear" w:color="auto" w:fill="E1DFDD"/>
    </w:rPr>
  </w:style>
  <w:style w:type="character" w:customStyle="1" w:styleId="UnresolvedMention2">
    <w:name w:val="Unresolved Mention2"/>
    <w:uiPriority w:val="99"/>
    <w:semiHidden/>
    <w:rsid w:val="006C5486"/>
    <w:rPr>
      <w:rFonts w:cs="Times New Roman"/>
      <w:color w:val="605E5C"/>
      <w:shd w:val="clear" w:color="auto" w:fill="E1DFDD"/>
    </w:rPr>
  </w:style>
  <w:style w:type="character" w:customStyle="1" w:styleId="gt-baf-word-clickable">
    <w:name w:val="gt-baf-word-clickable"/>
    <w:uiPriority w:val="99"/>
    <w:rsid w:val="00DF6715"/>
    <w:rPr>
      <w:rFonts w:cs="Times New Roman"/>
    </w:rPr>
  </w:style>
  <w:style w:type="character" w:styleId="LineNumber">
    <w:name w:val="line number"/>
    <w:basedOn w:val="DefaultParagraphFont"/>
    <w:uiPriority w:val="99"/>
    <w:semiHidden/>
    <w:unhideWhenUsed/>
    <w:rsid w:val="00510119"/>
  </w:style>
  <w:style w:type="paragraph" w:styleId="Header">
    <w:name w:val="header"/>
    <w:basedOn w:val="Normal"/>
    <w:link w:val="HeaderChar"/>
    <w:uiPriority w:val="99"/>
    <w:unhideWhenUsed/>
    <w:rsid w:val="005209AD"/>
    <w:pPr>
      <w:tabs>
        <w:tab w:val="center" w:pos="4536"/>
        <w:tab w:val="right" w:pos="9072"/>
      </w:tabs>
    </w:pPr>
  </w:style>
  <w:style w:type="character" w:customStyle="1" w:styleId="HeaderChar">
    <w:name w:val="Header Char"/>
    <w:basedOn w:val="DefaultParagraphFont"/>
    <w:link w:val="Header"/>
    <w:uiPriority w:val="99"/>
    <w:rsid w:val="005209AD"/>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5209AD"/>
    <w:pPr>
      <w:tabs>
        <w:tab w:val="center" w:pos="4536"/>
        <w:tab w:val="right" w:pos="9072"/>
      </w:tabs>
    </w:pPr>
  </w:style>
  <w:style w:type="character" w:customStyle="1" w:styleId="FooterChar">
    <w:name w:val="Footer Char"/>
    <w:basedOn w:val="DefaultParagraphFont"/>
    <w:link w:val="Footer"/>
    <w:uiPriority w:val="99"/>
    <w:rsid w:val="005209AD"/>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942024">
      <w:bodyDiv w:val="1"/>
      <w:marLeft w:val="0"/>
      <w:marRight w:val="0"/>
      <w:marTop w:val="0"/>
      <w:marBottom w:val="0"/>
      <w:divBdr>
        <w:top w:val="none" w:sz="0" w:space="0" w:color="auto"/>
        <w:left w:val="none" w:sz="0" w:space="0" w:color="auto"/>
        <w:bottom w:val="none" w:sz="0" w:space="0" w:color="auto"/>
        <w:right w:val="none" w:sz="0" w:space="0" w:color="auto"/>
      </w:divBdr>
    </w:div>
    <w:div w:id="1829056547">
      <w:marLeft w:val="0"/>
      <w:marRight w:val="0"/>
      <w:marTop w:val="0"/>
      <w:marBottom w:val="0"/>
      <w:divBdr>
        <w:top w:val="none" w:sz="0" w:space="0" w:color="auto"/>
        <w:left w:val="none" w:sz="0" w:space="0" w:color="auto"/>
        <w:bottom w:val="none" w:sz="0" w:space="0" w:color="auto"/>
        <w:right w:val="none" w:sz="0" w:space="0" w:color="auto"/>
      </w:divBdr>
    </w:div>
    <w:div w:id="1829056552">
      <w:marLeft w:val="0"/>
      <w:marRight w:val="0"/>
      <w:marTop w:val="0"/>
      <w:marBottom w:val="0"/>
      <w:divBdr>
        <w:top w:val="none" w:sz="0" w:space="0" w:color="auto"/>
        <w:left w:val="none" w:sz="0" w:space="0" w:color="auto"/>
        <w:bottom w:val="none" w:sz="0" w:space="0" w:color="auto"/>
        <w:right w:val="none" w:sz="0" w:space="0" w:color="auto"/>
      </w:divBdr>
    </w:div>
    <w:div w:id="1829056553">
      <w:marLeft w:val="0"/>
      <w:marRight w:val="0"/>
      <w:marTop w:val="0"/>
      <w:marBottom w:val="0"/>
      <w:divBdr>
        <w:top w:val="none" w:sz="0" w:space="0" w:color="auto"/>
        <w:left w:val="none" w:sz="0" w:space="0" w:color="auto"/>
        <w:bottom w:val="none" w:sz="0" w:space="0" w:color="auto"/>
        <w:right w:val="none" w:sz="0" w:space="0" w:color="auto"/>
      </w:divBdr>
    </w:div>
    <w:div w:id="1829056556">
      <w:marLeft w:val="0"/>
      <w:marRight w:val="0"/>
      <w:marTop w:val="0"/>
      <w:marBottom w:val="0"/>
      <w:divBdr>
        <w:top w:val="none" w:sz="0" w:space="0" w:color="auto"/>
        <w:left w:val="none" w:sz="0" w:space="0" w:color="auto"/>
        <w:bottom w:val="none" w:sz="0" w:space="0" w:color="auto"/>
        <w:right w:val="none" w:sz="0" w:space="0" w:color="auto"/>
      </w:divBdr>
      <w:divsChild>
        <w:div w:id="1829056557">
          <w:marLeft w:val="0"/>
          <w:marRight w:val="0"/>
          <w:marTop w:val="0"/>
          <w:marBottom w:val="0"/>
          <w:divBdr>
            <w:top w:val="none" w:sz="0" w:space="0" w:color="auto"/>
            <w:left w:val="none" w:sz="0" w:space="0" w:color="auto"/>
            <w:bottom w:val="none" w:sz="0" w:space="0" w:color="auto"/>
            <w:right w:val="none" w:sz="0" w:space="0" w:color="auto"/>
          </w:divBdr>
        </w:div>
      </w:divsChild>
    </w:div>
    <w:div w:id="1829056559">
      <w:marLeft w:val="0"/>
      <w:marRight w:val="0"/>
      <w:marTop w:val="0"/>
      <w:marBottom w:val="0"/>
      <w:divBdr>
        <w:top w:val="none" w:sz="0" w:space="0" w:color="auto"/>
        <w:left w:val="none" w:sz="0" w:space="0" w:color="auto"/>
        <w:bottom w:val="none" w:sz="0" w:space="0" w:color="auto"/>
        <w:right w:val="none" w:sz="0" w:space="0" w:color="auto"/>
      </w:divBdr>
      <w:divsChild>
        <w:div w:id="1829056566">
          <w:marLeft w:val="0"/>
          <w:marRight w:val="0"/>
          <w:marTop w:val="0"/>
          <w:marBottom w:val="0"/>
          <w:divBdr>
            <w:top w:val="none" w:sz="0" w:space="0" w:color="auto"/>
            <w:left w:val="none" w:sz="0" w:space="0" w:color="auto"/>
            <w:bottom w:val="none" w:sz="0" w:space="0" w:color="auto"/>
            <w:right w:val="none" w:sz="0" w:space="0" w:color="auto"/>
          </w:divBdr>
        </w:div>
        <w:div w:id="1829056572">
          <w:marLeft w:val="0"/>
          <w:marRight w:val="0"/>
          <w:marTop w:val="0"/>
          <w:marBottom w:val="0"/>
          <w:divBdr>
            <w:top w:val="none" w:sz="0" w:space="0" w:color="auto"/>
            <w:left w:val="none" w:sz="0" w:space="0" w:color="auto"/>
            <w:bottom w:val="none" w:sz="0" w:space="0" w:color="auto"/>
            <w:right w:val="none" w:sz="0" w:space="0" w:color="auto"/>
          </w:divBdr>
        </w:div>
      </w:divsChild>
    </w:div>
    <w:div w:id="1829056560">
      <w:marLeft w:val="0"/>
      <w:marRight w:val="0"/>
      <w:marTop w:val="0"/>
      <w:marBottom w:val="0"/>
      <w:divBdr>
        <w:top w:val="none" w:sz="0" w:space="0" w:color="auto"/>
        <w:left w:val="none" w:sz="0" w:space="0" w:color="auto"/>
        <w:bottom w:val="none" w:sz="0" w:space="0" w:color="auto"/>
        <w:right w:val="none" w:sz="0" w:space="0" w:color="auto"/>
      </w:divBdr>
    </w:div>
    <w:div w:id="1829056561">
      <w:marLeft w:val="0"/>
      <w:marRight w:val="0"/>
      <w:marTop w:val="0"/>
      <w:marBottom w:val="0"/>
      <w:divBdr>
        <w:top w:val="none" w:sz="0" w:space="0" w:color="auto"/>
        <w:left w:val="none" w:sz="0" w:space="0" w:color="auto"/>
        <w:bottom w:val="none" w:sz="0" w:space="0" w:color="auto"/>
        <w:right w:val="none" w:sz="0" w:space="0" w:color="auto"/>
      </w:divBdr>
    </w:div>
    <w:div w:id="1829056563">
      <w:marLeft w:val="0"/>
      <w:marRight w:val="0"/>
      <w:marTop w:val="0"/>
      <w:marBottom w:val="0"/>
      <w:divBdr>
        <w:top w:val="none" w:sz="0" w:space="0" w:color="auto"/>
        <w:left w:val="none" w:sz="0" w:space="0" w:color="auto"/>
        <w:bottom w:val="none" w:sz="0" w:space="0" w:color="auto"/>
        <w:right w:val="none" w:sz="0" w:space="0" w:color="auto"/>
      </w:divBdr>
      <w:divsChild>
        <w:div w:id="1829056576">
          <w:marLeft w:val="0"/>
          <w:marRight w:val="0"/>
          <w:marTop w:val="0"/>
          <w:marBottom w:val="0"/>
          <w:divBdr>
            <w:top w:val="none" w:sz="0" w:space="0" w:color="auto"/>
            <w:left w:val="none" w:sz="0" w:space="0" w:color="auto"/>
            <w:bottom w:val="none" w:sz="0" w:space="0" w:color="auto"/>
            <w:right w:val="none" w:sz="0" w:space="0" w:color="auto"/>
          </w:divBdr>
        </w:div>
        <w:div w:id="1829056591">
          <w:marLeft w:val="0"/>
          <w:marRight w:val="0"/>
          <w:marTop w:val="0"/>
          <w:marBottom w:val="0"/>
          <w:divBdr>
            <w:top w:val="none" w:sz="0" w:space="0" w:color="auto"/>
            <w:left w:val="none" w:sz="0" w:space="0" w:color="auto"/>
            <w:bottom w:val="none" w:sz="0" w:space="0" w:color="auto"/>
            <w:right w:val="none" w:sz="0" w:space="0" w:color="auto"/>
          </w:divBdr>
        </w:div>
      </w:divsChild>
    </w:div>
    <w:div w:id="1829056565">
      <w:marLeft w:val="0"/>
      <w:marRight w:val="0"/>
      <w:marTop w:val="0"/>
      <w:marBottom w:val="0"/>
      <w:divBdr>
        <w:top w:val="none" w:sz="0" w:space="0" w:color="auto"/>
        <w:left w:val="none" w:sz="0" w:space="0" w:color="auto"/>
        <w:bottom w:val="none" w:sz="0" w:space="0" w:color="auto"/>
        <w:right w:val="none" w:sz="0" w:space="0" w:color="auto"/>
      </w:divBdr>
    </w:div>
    <w:div w:id="1829056567">
      <w:marLeft w:val="0"/>
      <w:marRight w:val="0"/>
      <w:marTop w:val="0"/>
      <w:marBottom w:val="0"/>
      <w:divBdr>
        <w:top w:val="none" w:sz="0" w:space="0" w:color="auto"/>
        <w:left w:val="none" w:sz="0" w:space="0" w:color="auto"/>
        <w:bottom w:val="none" w:sz="0" w:space="0" w:color="auto"/>
        <w:right w:val="none" w:sz="0" w:space="0" w:color="auto"/>
      </w:divBdr>
    </w:div>
    <w:div w:id="1829056578">
      <w:marLeft w:val="0"/>
      <w:marRight w:val="0"/>
      <w:marTop w:val="0"/>
      <w:marBottom w:val="0"/>
      <w:divBdr>
        <w:top w:val="none" w:sz="0" w:space="0" w:color="auto"/>
        <w:left w:val="none" w:sz="0" w:space="0" w:color="auto"/>
        <w:bottom w:val="none" w:sz="0" w:space="0" w:color="auto"/>
        <w:right w:val="none" w:sz="0" w:space="0" w:color="auto"/>
      </w:divBdr>
    </w:div>
    <w:div w:id="1829056580">
      <w:marLeft w:val="0"/>
      <w:marRight w:val="0"/>
      <w:marTop w:val="0"/>
      <w:marBottom w:val="0"/>
      <w:divBdr>
        <w:top w:val="none" w:sz="0" w:space="0" w:color="auto"/>
        <w:left w:val="none" w:sz="0" w:space="0" w:color="auto"/>
        <w:bottom w:val="none" w:sz="0" w:space="0" w:color="auto"/>
        <w:right w:val="none" w:sz="0" w:space="0" w:color="auto"/>
      </w:divBdr>
    </w:div>
    <w:div w:id="1829056582">
      <w:marLeft w:val="0"/>
      <w:marRight w:val="0"/>
      <w:marTop w:val="0"/>
      <w:marBottom w:val="0"/>
      <w:divBdr>
        <w:top w:val="none" w:sz="0" w:space="0" w:color="auto"/>
        <w:left w:val="none" w:sz="0" w:space="0" w:color="auto"/>
        <w:bottom w:val="none" w:sz="0" w:space="0" w:color="auto"/>
        <w:right w:val="none" w:sz="0" w:space="0" w:color="auto"/>
      </w:divBdr>
      <w:divsChild>
        <w:div w:id="1829056588">
          <w:marLeft w:val="0"/>
          <w:marRight w:val="0"/>
          <w:marTop w:val="0"/>
          <w:marBottom w:val="0"/>
          <w:divBdr>
            <w:top w:val="none" w:sz="0" w:space="0" w:color="auto"/>
            <w:left w:val="none" w:sz="0" w:space="0" w:color="auto"/>
            <w:bottom w:val="none" w:sz="0" w:space="0" w:color="auto"/>
            <w:right w:val="none" w:sz="0" w:space="0" w:color="auto"/>
          </w:divBdr>
          <w:divsChild>
            <w:div w:id="1829056545">
              <w:marLeft w:val="0"/>
              <w:marRight w:val="0"/>
              <w:marTop w:val="0"/>
              <w:marBottom w:val="0"/>
              <w:divBdr>
                <w:top w:val="none" w:sz="0" w:space="0" w:color="auto"/>
                <w:left w:val="none" w:sz="0" w:space="0" w:color="auto"/>
                <w:bottom w:val="none" w:sz="0" w:space="0" w:color="auto"/>
                <w:right w:val="none" w:sz="0" w:space="0" w:color="auto"/>
              </w:divBdr>
              <w:divsChild>
                <w:div w:id="1829056581">
                  <w:marLeft w:val="0"/>
                  <w:marRight w:val="0"/>
                  <w:marTop w:val="0"/>
                  <w:marBottom w:val="0"/>
                  <w:divBdr>
                    <w:top w:val="none" w:sz="0" w:space="0" w:color="auto"/>
                    <w:left w:val="none" w:sz="0" w:space="0" w:color="auto"/>
                    <w:bottom w:val="none" w:sz="0" w:space="0" w:color="auto"/>
                    <w:right w:val="none" w:sz="0" w:space="0" w:color="auto"/>
                  </w:divBdr>
                </w:div>
                <w:div w:id="1829056594">
                  <w:marLeft w:val="0"/>
                  <w:marRight w:val="0"/>
                  <w:marTop w:val="0"/>
                  <w:marBottom w:val="0"/>
                  <w:divBdr>
                    <w:top w:val="none" w:sz="0" w:space="0" w:color="auto"/>
                    <w:left w:val="none" w:sz="0" w:space="0" w:color="auto"/>
                    <w:bottom w:val="none" w:sz="0" w:space="0" w:color="auto"/>
                    <w:right w:val="none" w:sz="0" w:space="0" w:color="auto"/>
                  </w:divBdr>
                </w:div>
              </w:divsChild>
            </w:div>
            <w:div w:id="1829056577">
              <w:marLeft w:val="0"/>
              <w:marRight w:val="0"/>
              <w:marTop w:val="0"/>
              <w:marBottom w:val="0"/>
              <w:divBdr>
                <w:top w:val="none" w:sz="0" w:space="0" w:color="auto"/>
                <w:left w:val="none" w:sz="0" w:space="0" w:color="auto"/>
                <w:bottom w:val="none" w:sz="0" w:space="0" w:color="auto"/>
                <w:right w:val="none" w:sz="0" w:space="0" w:color="auto"/>
              </w:divBdr>
              <w:divsChild>
                <w:div w:id="1829056554">
                  <w:marLeft w:val="0"/>
                  <w:marRight w:val="0"/>
                  <w:marTop w:val="0"/>
                  <w:marBottom w:val="0"/>
                  <w:divBdr>
                    <w:top w:val="none" w:sz="0" w:space="0" w:color="auto"/>
                    <w:left w:val="none" w:sz="0" w:space="0" w:color="auto"/>
                    <w:bottom w:val="none" w:sz="0" w:space="0" w:color="auto"/>
                    <w:right w:val="none" w:sz="0" w:space="0" w:color="auto"/>
                  </w:divBdr>
                </w:div>
                <w:div w:id="1829056574">
                  <w:marLeft w:val="0"/>
                  <w:marRight w:val="0"/>
                  <w:marTop w:val="0"/>
                  <w:marBottom w:val="0"/>
                  <w:divBdr>
                    <w:top w:val="none" w:sz="0" w:space="0" w:color="auto"/>
                    <w:left w:val="none" w:sz="0" w:space="0" w:color="auto"/>
                    <w:bottom w:val="none" w:sz="0" w:space="0" w:color="auto"/>
                    <w:right w:val="none" w:sz="0" w:space="0" w:color="auto"/>
                  </w:divBdr>
                </w:div>
              </w:divsChild>
            </w:div>
            <w:div w:id="1829056585">
              <w:marLeft w:val="0"/>
              <w:marRight w:val="0"/>
              <w:marTop w:val="0"/>
              <w:marBottom w:val="0"/>
              <w:divBdr>
                <w:top w:val="none" w:sz="0" w:space="0" w:color="auto"/>
                <w:left w:val="none" w:sz="0" w:space="0" w:color="auto"/>
                <w:bottom w:val="none" w:sz="0" w:space="0" w:color="auto"/>
                <w:right w:val="none" w:sz="0" w:space="0" w:color="auto"/>
              </w:divBdr>
              <w:divsChild>
                <w:div w:id="1829056568">
                  <w:marLeft w:val="0"/>
                  <w:marRight w:val="0"/>
                  <w:marTop w:val="0"/>
                  <w:marBottom w:val="0"/>
                  <w:divBdr>
                    <w:top w:val="none" w:sz="0" w:space="0" w:color="auto"/>
                    <w:left w:val="none" w:sz="0" w:space="0" w:color="auto"/>
                    <w:bottom w:val="none" w:sz="0" w:space="0" w:color="auto"/>
                    <w:right w:val="none" w:sz="0" w:space="0" w:color="auto"/>
                  </w:divBdr>
                </w:div>
                <w:div w:id="18290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6593">
          <w:marLeft w:val="0"/>
          <w:marRight w:val="0"/>
          <w:marTop w:val="0"/>
          <w:marBottom w:val="0"/>
          <w:divBdr>
            <w:top w:val="none" w:sz="0" w:space="0" w:color="auto"/>
            <w:left w:val="none" w:sz="0" w:space="0" w:color="auto"/>
            <w:bottom w:val="none" w:sz="0" w:space="0" w:color="auto"/>
            <w:right w:val="none" w:sz="0" w:space="0" w:color="auto"/>
          </w:divBdr>
        </w:div>
        <w:div w:id="1829056595">
          <w:marLeft w:val="0"/>
          <w:marRight w:val="0"/>
          <w:marTop w:val="0"/>
          <w:marBottom w:val="0"/>
          <w:divBdr>
            <w:top w:val="none" w:sz="0" w:space="0" w:color="auto"/>
            <w:left w:val="none" w:sz="0" w:space="0" w:color="auto"/>
            <w:bottom w:val="none" w:sz="0" w:space="0" w:color="auto"/>
            <w:right w:val="none" w:sz="0" w:space="0" w:color="auto"/>
          </w:divBdr>
        </w:div>
      </w:divsChild>
    </w:div>
    <w:div w:id="1829056587">
      <w:marLeft w:val="0"/>
      <w:marRight w:val="0"/>
      <w:marTop w:val="0"/>
      <w:marBottom w:val="0"/>
      <w:divBdr>
        <w:top w:val="none" w:sz="0" w:space="0" w:color="auto"/>
        <w:left w:val="none" w:sz="0" w:space="0" w:color="auto"/>
        <w:bottom w:val="none" w:sz="0" w:space="0" w:color="auto"/>
        <w:right w:val="none" w:sz="0" w:space="0" w:color="auto"/>
      </w:divBdr>
      <w:divsChild>
        <w:div w:id="1829056551">
          <w:marLeft w:val="0"/>
          <w:marRight w:val="0"/>
          <w:marTop w:val="0"/>
          <w:marBottom w:val="0"/>
          <w:divBdr>
            <w:top w:val="none" w:sz="0" w:space="0" w:color="auto"/>
            <w:left w:val="none" w:sz="0" w:space="0" w:color="auto"/>
            <w:bottom w:val="none" w:sz="0" w:space="0" w:color="auto"/>
            <w:right w:val="none" w:sz="0" w:space="0" w:color="auto"/>
          </w:divBdr>
        </w:div>
        <w:div w:id="1829056555">
          <w:marLeft w:val="0"/>
          <w:marRight w:val="0"/>
          <w:marTop w:val="0"/>
          <w:marBottom w:val="0"/>
          <w:divBdr>
            <w:top w:val="none" w:sz="0" w:space="0" w:color="auto"/>
            <w:left w:val="none" w:sz="0" w:space="0" w:color="auto"/>
            <w:bottom w:val="none" w:sz="0" w:space="0" w:color="auto"/>
            <w:right w:val="none" w:sz="0" w:space="0" w:color="auto"/>
          </w:divBdr>
          <w:divsChild>
            <w:div w:id="1829056549">
              <w:marLeft w:val="0"/>
              <w:marRight w:val="0"/>
              <w:marTop w:val="0"/>
              <w:marBottom w:val="0"/>
              <w:divBdr>
                <w:top w:val="none" w:sz="0" w:space="0" w:color="auto"/>
                <w:left w:val="none" w:sz="0" w:space="0" w:color="auto"/>
                <w:bottom w:val="none" w:sz="0" w:space="0" w:color="auto"/>
                <w:right w:val="none" w:sz="0" w:space="0" w:color="auto"/>
              </w:divBdr>
              <w:divsChild>
                <w:div w:id="1829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6571">
          <w:marLeft w:val="0"/>
          <w:marRight w:val="0"/>
          <w:marTop w:val="0"/>
          <w:marBottom w:val="0"/>
          <w:divBdr>
            <w:top w:val="none" w:sz="0" w:space="0" w:color="auto"/>
            <w:left w:val="none" w:sz="0" w:space="0" w:color="auto"/>
            <w:bottom w:val="none" w:sz="0" w:space="0" w:color="auto"/>
            <w:right w:val="none" w:sz="0" w:space="0" w:color="auto"/>
          </w:divBdr>
          <w:divsChild>
            <w:div w:id="1829056562">
              <w:marLeft w:val="0"/>
              <w:marRight w:val="0"/>
              <w:marTop w:val="0"/>
              <w:marBottom w:val="0"/>
              <w:divBdr>
                <w:top w:val="none" w:sz="0" w:space="0" w:color="auto"/>
                <w:left w:val="none" w:sz="0" w:space="0" w:color="auto"/>
                <w:bottom w:val="none" w:sz="0" w:space="0" w:color="auto"/>
                <w:right w:val="none" w:sz="0" w:space="0" w:color="auto"/>
              </w:divBdr>
              <w:divsChild>
                <w:div w:id="1829056569">
                  <w:marLeft w:val="0"/>
                  <w:marRight w:val="0"/>
                  <w:marTop w:val="0"/>
                  <w:marBottom w:val="0"/>
                  <w:divBdr>
                    <w:top w:val="none" w:sz="0" w:space="0" w:color="auto"/>
                    <w:left w:val="none" w:sz="0" w:space="0" w:color="auto"/>
                    <w:bottom w:val="none" w:sz="0" w:space="0" w:color="auto"/>
                    <w:right w:val="none" w:sz="0" w:space="0" w:color="auto"/>
                  </w:divBdr>
                  <w:divsChild>
                    <w:div w:id="18290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6586">
          <w:marLeft w:val="0"/>
          <w:marRight w:val="0"/>
          <w:marTop w:val="0"/>
          <w:marBottom w:val="0"/>
          <w:divBdr>
            <w:top w:val="none" w:sz="0" w:space="0" w:color="auto"/>
            <w:left w:val="none" w:sz="0" w:space="0" w:color="auto"/>
            <w:bottom w:val="none" w:sz="0" w:space="0" w:color="auto"/>
            <w:right w:val="none" w:sz="0" w:space="0" w:color="auto"/>
          </w:divBdr>
          <w:divsChild>
            <w:div w:id="1829056573">
              <w:marLeft w:val="0"/>
              <w:marRight w:val="0"/>
              <w:marTop w:val="0"/>
              <w:marBottom w:val="0"/>
              <w:divBdr>
                <w:top w:val="none" w:sz="0" w:space="0" w:color="auto"/>
                <w:left w:val="none" w:sz="0" w:space="0" w:color="auto"/>
                <w:bottom w:val="none" w:sz="0" w:space="0" w:color="auto"/>
                <w:right w:val="none" w:sz="0" w:space="0" w:color="auto"/>
              </w:divBdr>
            </w:div>
            <w:div w:id="1829056589">
              <w:marLeft w:val="0"/>
              <w:marRight w:val="0"/>
              <w:marTop w:val="0"/>
              <w:marBottom w:val="0"/>
              <w:divBdr>
                <w:top w:val="none" w:sz="0" w:space="0" w:color="auto"/>
                <w:left w:val="none" w:sz="0" w:space="0" w:color="auto"/>
                <w:bottom w:val="none" w:sz="0" w:space="0" w:color="auto"/>
                <w:right w:val="none" w:sz="0" w:space="0" w:color="auto"/>
              </w:divBdr>
              <w:divsChild>
                <w:div w:id="18290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6590">
      <w:marLeft w:val="0"/>
      <w:marRight w:val="0"/>
      <w:marTop w:val="0"/>
      <w:marBottom w:val="0"/>
      <w:divBdr>
        <w:top w:val="none" w:sz="0" w:space="0" w:color="auto"/>
        <w:left w:val="none" w:sz="0" w:space="0" w:color="auto"/>
        <w:bottom w:val="none" w:sz="0" w:space="0" w:color="auto"/>
        <w:right w:val="none" w:sz="0" w:space="0" w:color="auto"/>
      </w:divBdr>
      <w:divsChild>
        <w:div w:id="1829056546">
          <w:marLeft w:val="0"/>
          <w:marRight w:val="0"/>
          <w:marTop w:val="0"/>
          <w:marBottom w:val="0"/>
          <w:divBdr>
            <w:top w:val="none" w:sz="0" w:space="0" w:color="auto"/>
            <w:left w:val="none" w:sz="0" w:space="0" w:color="auto"/>
            <w:bottom w:val="none" w:sz="0" w:space="0" w:color="auto"/>
            <w:right w:val="none" w:sz="0" w:space="0" w:color="auto"/>
          </w:divBdr>
        </w:div>
        <w:div w:id="1829056548">
          <w:marLeft w:val="0"/>
          <w:marRight w:val="0"/>
          <w:marTop w:val="0"/>
          <w:marBottom w:val="0"/>
          <w:divBdr>
            <w:top w:val="none" w:sz="0" w:space="0" w:color="auto"/>
            <w:left w:val="none" w:sz="0" w:space="0" w:color="auto"/>
            <w:bottom w:val="none" w:sz="0" w:space="0" w:color="auto"/>
            <w:right w:val="none" w:sz="0" w:space="0" w:color="auto"/>
          </w:divBdr>
        </w:div>
        <w:div w:id="1829056550">
          <w:marLeft w:val="0"/>
          <w:marRight w:val="0"/>
          <w:marTop w:val="0"/>
          <w:marBottom w:val="0"/>
          <w:divBdr>
            <w:top w:val="none" w:sz="0" w:space="0" w:color="auto"/>
            <w:left w:val="none" w:sz="0" w:space="0" w:color="auto"/>
            <w:bottom w:val="none" w:sz="0" w:space="0" w:color="auto"/>
            <w:right w:val="none" w:sz="0" w:space="0" w:color="auto"/>
          </w:divBdr>
        </w:div>
        <w:div w:id="1829056558">
          <w:marLeft w:val="0"/>
          <w:marRight w:val="0"/>
          <w:marTop w:val="0"/>
          <w:marBottom w:val="0"/>
          <w:divBdr>
            <w:top w:val="none" w:sz="0" w:space="0" w:color="auto"/>
            <w:left w:val="none" w:sz="0" w:space="0" w:color="auto"/>
            <w:bottom w:val="none" w:sz="0" w:space="0" w:color="auto"/>
            <w:right w:val="none" w:sz="0" w:space="0" w:color="auto"/>
          </w:divBdr>
        </w:div>
        <w:div w:id="1829056564">
          <w:marLeft w:val="0"/>
          <w:marRight w:val="0"/>
          <w:marTop w:val="0"/>
          <w:marBottom w:val="0"/>
          <w:divBdr>
            <w:top w:val="none" w:sz="0" w:space="0" w:color="auto"/>
            <w:left w:val="none" w:sz="0" w:space="0" w:color="auto"/>
            <w:bottom w:val="none" w:sz="0" w:space="0" w:color="auto"/>
            <w:right w:val="none" w:sz="0" w:space="0" w:color="auto"/>
          </w:divBdr>
        </w:div>
        <w:div w:id="1829056575">
          <w:marLeft w:val="0"/>
          <w:marRight w:val="0"/>
          <w:marTop w:val="0"/>
          <w:marBottom w:val="0"/>
          <w:divBdr>
            <w:top w:val="none" w:sz="0" w:space="0" w:color="auto"/>
            <w:left w:val="none" w:sz="0" w:space="0" w:color="auto"/>
            <w:bottom w:val="none" w:sz="0" w:space="0" w:color="auto"/>
            <w:right w:val="none" w:sz="0" w:space="0" w:color="auto"/>
          </w:divBdr>
        </w:div>
        <w:div w:id="1829056579">
          <w:marLeft w:val="0"/>
          <w:marRight w:val="0"/>
          <w:marTop w:val="0"/>
          <w:marBottom w:val="0"/>
          <w:divBdr>
            <w:top w:val="none" w:sz="0" w:space="0" w:color="auto"/>
            <w:left w:val="none" w:sz="0" w:space="0" w:color="auto"/>
            <w:bottom w:val="none" w:sz="0" w:space="0" w:color="auto"/>
            <w:right w:val="none" w:sz="0" w:space="0" w:color="auto"/>
          </w:divBdr>
        </w:div>
        <w:div w:id="1829056583">
          <w:marLeft w:val="0"/>
          <w:marRight w:val="0"/>
          <w:marTop w:val="0"/>
          <w:marBottom w:val="0"/>
          <w:divBdr>
            <w:top w:val="none" w:sz="0" w:space="0" w:color="auto"/>
            <w:left w:val="none" w:sz="0" w:space="0" w:color="auto"/>
            <w:bottom w:val="none" w:sz="0" w:space="0" w:color="auto"/>
            <w:right w:val="none" w:sz="0" w:space="0" w:color="auto"/>
          </w:divBdr>
        </w:div>
        <w:div w:id="1829056584">
          <w:marLeft w:val="0"/>
          <w:marRight w:val="0"/>
          <w:marTop w:val="0"/>
          <w:marBottom w:val="0"/>
          <w:divBdr>
            <w:top w:val="none" w:sz="0" w:space="0" w:color="auto"/>
            <w:left w:val="none" w:sz="0" w:space="0" w:color="auto"/>
            <w:bottom w:val="none" w:sz="0" w:space="0" w:color="auto"/>
            <w:right w:val="none" w:sz="0" w:space="0" w:color="auto"/>
          </w:divBdr>
        </w:div>
      </w:divsChild>
    </w:div>
    <w:div w:id="1829056597">
      <w:marLeft w:val="0"/>
      <w:marRight w:val="0"/>
      <w:marTop w:val="0"/>
      <w:marBottom w:val="0"/>
      <w:divBdr>
        <w:top w:val="none" w:sz="0" w:space="0" w:color="auto"/>
        <w:left w:val="none" w:sz="0" w:space="0" w:color="auto"/>
        <w:bottom w:val="none" w:sz="0" w:space="0" w:color="auto"/>
        <w:right w:val="none" w:sz="0" w:space="0" w:color="auto"/>
      </w:divBdr>
    </w:div>
    <w:div w:id="1829056599">
      <w:marLeft w:val="0"/>
      <w:marRight w:val="0"/>
      <w:marTop w:val="0"/>
      <w:marBottom w:val="0"/>
      <w:divBdr>
        <w:top w:val="none" w:sz="0" w:space="0" w:color="auto"/>
        <w:left w:val="none" w:sz="0" w:space="0" w:color="auto"/>
        <w:bottom w:val="none" w:sz="0" w:space="0" w:color="auto"/>
        <w:right w:val="none" w:sz="0" w:space="0" w:color="auto"/>
      </w:divBdr>
    </w:div>
    <w:div w:id="1829056601">
      <w:marLeft w:val="0"/>
      <w:marRight w:val="0"/>
      <w:marTop w:val="0"/>
      <w:marBottom w:val="0"/>
      <w:divBdr>
        <w:top w:val="none" w:sz="0" w:space="0" w:color="auto"/>
        <w:left w:val="none" w:sz="0" w:space="0" w:color="auto"/>
        <w:bottom w:val="none" w:sz="0" w:space="0" w:color="auto"/>
        <w:right w:val="none" w:sz="0" w:space="0" w:color="auto"/>
      </w:divBdr>
      <w:divsChild>
        <w:div w:id="1829056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A36FA-B8C1-43D0-8926-FBE02290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7451</Words>
  <Characters>42473</Characters>
  <Application>Microsoft Office Word</Application>
  <DocSecurity>0</DocSecurity>
  <Lines>353</Lines>
  <Paragraphs>99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READY-TO-USE GREEN POLYPHENOLIC EXTRACTS FROM FOOD BY-PRODUCTS</vt:lpstr>
      <vt:lpstr>READY-TO-USE GREEN POLYPHENOLIC EXTRACTS FROM FOOD BY-PRODUCTS</vt:lpstr>
    </vt:vector>
  </TitlesOfParts>
  <Company/>
  <LinksUpToDate>false</LinksUpToDate>
  <CharactersWithSpaces>49825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READY-TO-USE GREEN POLYPHENOLIC EXTRACTS FROM FOOD BY-PRODUCTS</dc:title>
  <dc:subject/>
  <dc:creator>Ivana RR</dc:creator>
  <cp:keywords/>
  <dc:description/>
  <cp:lastModifiedBy>Sofija</cp:lastModifiedBy>
  <cp:revision>2</cp:revision>
  <cp:lastPrinted>2018-02-15T14:44:00Z</cp:lastPrinted>
  <dcterms:created xsi:type="dcterms:W3CDTF">2020-12-04T14:06:00Z</dcterms:created>
  <dcterms:modified xsi:type="dcterms:W3CDTF">2020-12-04T14:06:00Z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6b870595-d8cb-367c-acb7-25b11856551c</vt:lpwstr>
  </property>
  <property fmtid="{D5CDD505-2E9C-101B-9397-08002B2CF9AE}" pid="24" name="Mendeley Citation Style_1">
    <vt:lpwstr>http://www.zotero.org/styles/american-sociological-association</vt:lpwstr>
  </property>
</Properties>
</file>