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2A5" w:rsidRPr="00E63E1C" w:rsidRDefault="004E25B5" w:rsidP="00C90ADA">
      <w:pPr>
        <w:tabs>
          <w:tab w:val="left" w:pos="1800"/>
        </w:tabs>
        <w:spacing w:after="120" w:line="360" w:lineRule="auto"/>
        <w:rPr>
          <w:sz w:val="28"/>
          <w:szCs w:val="28"/>
          <w:lang w:val="en-GB"/>
        </w:rPr>
      </w:pPr>
      <w:r w:rsidRPr="00E63E1C">
        <w:rPr>
          <w:sz w:val="28"/>
          <w:szCs w:val="28"/>
          <w:lang w:val="en-GB"/>
        </w:rPr>
        <w:t>Free fatty acids, t</w:t>
      </w:r>
      <w:r w:rsidR="00C0668F" w:rsidRPr="00E63E1C">
        <w:rPr>
          <w:sz w:val="28"/>
          <w:szCs w:val="28"/>
          <w:lang w:val="en-GB"/>
        </w:rPr>
        <w:t>ri</w:t>
      </w:r>
      <w:r w:rsidRPr="00E63E1C">
        <w:rPr>
          <w:sz w:val="28"/>
          <w:szCs w:val="28"/>
          <w:lang w:val="en-GB"/>
        </w:rPr>
        <w:t>-, di- and mono</w:t>
      </w:r>
      <w:r w:rsidR="00AE2D1B" w:rsidRPr="00E63E1C">
        <w:rPr>
          <w:sz w:val="28"/>
          <w:szCs w:val="28"/>
          <w:lang w:val="en-GB"/>
        </w:rPr>
        <w:t>acylglycerol</w:t>
      </w:r>
      <w:r w:rsidR="00C0668F" w:rsidRPr="00E63E1C">
        <w:rPr>
          <w:sz w:val="28"/>
          <w:szCs w:val="28"/>
          <w:lang w:val="en-GB"/>
        </w:rPr>
        <w:t xml:space="preserve"> </w:t>
      </w:r>
      <w:r w:rsidR="00C42290" w:rsidRPr="00E63E1C">
        <w:rPr>
          <w:sz w:val="28"/>
          <w:szCs w:val="28"/>
          <w:lang w:val="en-GB"/>
        </w:rPr>
        <w:t xml:space="preserve">production and </w:t>
      </w:r>
      <w:r w:rsidR="00CB24F8" w:rsidRPr="00E63E1C">
        <w:rPr>
          <w:sz w:val="28"/>
          <w:szCs w:val="28"/>
          <w:lang w:val="en-GB"/>
        </w:rPr>
        <w:t>depth-</w:t>
      </w:r>
      <w:r w:rsidR="00C90ADA" w:rsidRPr="00E63E1C">
        <w:rPr>
          <w:sz w:val="28"/>
          <w:szCs w:val="28"/>
          <w:lang w:val="en-GB"/>
        </w:rPr>
        <w:t xml:space="preserve">related </w:t>
      </w:r>
      <w:r w:rsidR="00C0668F" w:rsidRPr="00E63E1C">
        <w:rPr>
          <w:sz w:val="28"/>
          <w:szCs w:val="28"/>
          <w:lang w:val="en-GB"/>
        </w:rPr>
        <w:t xml:space="preserve">cycling </w:t>
      </w:r>
      <w:r w:rsidR="005C431B" w:rsidRPr="00E63E1C">
        <w:rPr>
          <w:sz w:val="28"/>
          <w:szCs w:val="28"/>
          <w:lang w:val="en-GB"/>
        </w:rPr>
        <w:t xml:space="preserve">in the </w:t>
      </w:r>
      <w:r w:rsidR="00A56D93" w:rsidRPr="00E63E1C">
        <w:rPr>
          <w:sz w:val="28"/>
          <w:szCs w:val="28"/>
          <w:lang w:val="en-GB"/>
        </w:rPr>
        <w:t>Northe</w:t>
      </w:r>
      <w:r w:rsidR="00912B0A" w:rsidRPr="00E63E1C">
        <w:rPr>
          <w:sz w:val="28"/>
          <w:szCs w:val="28"/>
          <w:lang w:val="en-GB"/>
        </w:rPr>
        <w:t xml:space="preserve">ast </w:t>
      </w:r>
      <w:r w:rsidR="00C0668F" w:rsidRPr="00E63E1C">
        <w:rPr>
          <w:sz w:val="28"/>
          <w:szCs w:val="28"/>
          <w:lang w:val="en-GB"/>
        </w:rPr>
        <w:t xml:space="preserve">Atlantic </w:t>
      </w:r>
    </w:p>
    <w:p w:rsidR="00C0668F" w:rsidRPr="00E63E1C" w:rsidRDefault="00C0668F" w:rsidP="006E1617">
      <w:pPr>
        <w:spacing w:after="120"/>
        <w:ind w:firstLine="720"/>
        <w:rPr>
          <w:lang w:val="en-GB"/>
        </w:rPr>
      </w:pPr>
    </w:p>
    <w:p w:rsidR="00C0668F" w:rsidRPr="00E63E1C" w:rsidRDefault="00C0668F" w:rsidP="00E97A8B">
      <w:pPr>
        <w:spacing w:after="120" w:line="360" w:lineRule="auto"/>
        <w:jc w:val="both"/>
        <w:rPr>
          <w:vertAlign w:val="superscript"/>
          <w:lang w:val="en-GB"/>
        </w:rPr>
      </w:pPr>
      <w:r w:rsidRPr="00E63E1C">
        <w:rPr>
          <w:lang w:val="en-GB"/>
        </w:rPr>
        <w:t>Blaženka Gašparović</w:t>
      </w:r>
      <w:r w:rsidRPr="00E63E1C">
        <w:rPr>
          <w:vertAlign w:val="superscript"/>
          <w:lang w:val="en-GB"/>
        </w:rPr>
        <w:t>1</w:t>
      </w:r>
      <w:r w:rsidRPr="00E63E1C">
        <w:rPr>
          <w:lang w:val="en-GB"/>
        </w:rPr>
        <w:t xml:space="preserve">, </w:t>
      </w:r>
      <w:r w:rsidR="000C0A69" w:rsidRPr="00E63E1C">
        <w:rPr>
          <w:lang w:val="en-GB"/>
        </w:rPr>
        <w:t>Abra Penezić</w:t>
      </w:r>
      <w:r w:rsidR="000C0A69" w:rsidRPr="00E63E1C">
        <w:rPr>
          <w:vertAlign w:val="superscript"/>
          <w:lang w:val="en-GB"/>
        </w:rPr>
        <w:t>1</w:t>
      </w:r>
      <w:r w:rsidR="000C0A69" w:rsidRPr="00E63E1C">
        <w:rPr>
          <w:lang w:val="en-GB"/>
        </w:rPr>
        <w:t xml:space="preserve">, </w:t>
      </w:r>
      <w:r w:rsidRPr="00E63E1C">
        <w:rPr>
          <w:lang w:val="en-GB"/>
        </w:rPr>
        <w:t>Richard S. Lampitt,</w:t>
      </w:r>
      <w:r w:rsidRPr="00E63E1C">
        <w:rPr>
          <w:vertAlign w:val="superscript"/>
          <w:lang w:val="en-GB"/>
        </w:rPr>
        <w:t>2</w:t>
      </w:r>
      <w:r w:rsidRPr="00E63E1C">
        <w:rPr>
          <w:lang w:val="en-GB"/>
        </w:rPr>
        <w:t xml:space="preserve"> Nilusha Sudasinghe,</w:t>
      </w:r>
      <w:r w:rsidRPr="00E63E1C">
        <w:rPr>
          <w:vertAlign w:val="superscript"/>
          <w:lang w:val="en-GB"/>
        </w:rPr>
        <w:t>3</w:t>
      </w:r>
      <w:r w:rsidRPr="00E63E1C">
        <w:rPr>
          <w:lang w:val="en-GB"/>
        </w:rPr>
        <w:t xml:space="preserve"> Tanner Schaub</w:t>
      </w:r>
      <w:r w:rsidRPr="00E63E1C">
        <w:rPr>
          <w:vertAlign w:val="superscript"/>
          <w:lang w:val="en-GB"/>
        </w:rPr>
        <w:t>3</w:t>
      </w:r>
    </w:p>
    <w:p w:rsidR="00C0668F" w:rsidRPr="00E63E1C" w:rsidRDefault="00C0668F" w:rsidP="00E725F2">
      <w:pPr>
        <w:pStyle w:val="Teilnehmer"/>
        <w:spacing w:after="120"/>
        <w:rPr>
          <w:rFonts w:ascii="Times New Roman" w:hAnsi="Times New Roman" w:cs="Times New Roman"/>
          <w:i w:val="0"/>
          <w:iCs/>
          <w:sz w:val="22"/>
          <w:szCs w:val="22"/>
          <w:lang w:val="en-GB"/>
        </w:rPr>
      </w:pPr>
      <w:r w:rsidRPr="00E63E1C">
        <w:rPr>
          <w:rFonts w:ascii="Times New Roman" w:hAnsi="Times New Roman" w:cs="Times New Roman"/>
          <w:i w:val="0"/>
          <w:iCs/>
          <w:sz w:val="22"/>
          <w:szCs w:val="22"/>
          <w:vertAlign w:val="superscript"/>
          <w:lang w:val="en-GB"/>
        </w:rPr>
        <w:t>1</w:t>
      </w:r>
      <w:r w:rsidRPr="00E63E1C">
        <w:rPr>
          <w:rFonts w:ascii="Times New Roman" w:hAnsi="Times New Roman" w:cs="Times New Roman"/>
          <w:i w:val="0"/>
          <w:iCs/>
          <w:sz w:val="22"/>
          <w:szCs w:val="22"/>
          <w:lang w:val="en-GB"/>
        </w:rPr>
        <w:t xml:space="preserve">Division for Marine and Environmental Research, Ruđer Bošković Institute, POB 180, HR-10002 Zagreb, Croatia; </w:t>
      </w:r>
      <w:r w:rsidRPr="00E63E1C">
        <w:rPr>
          <w:rFonts w:ascii="Times New Roman" w:hAnsi="Times New Roman" w:cs="Times New Roman"/>
          <w:i w:val="0"/>
          <w:iCs/>
          <w:sz w:val="22"/>
          <w:szCs w:val="22"/>
          <w:vertAlign w:val="superscript"/>
          <w:lang w:val="en-GB"/>
        </w:rPr>
        <w:t>2</w:t>
      </w:r>
      <w:r w:rsidRPr="00E63E1C">
        <w:rPr>
          <w:rFonts w:ascii="Times New Roman" w:hAnsi="Times New Roman" w:cs="Times New Roman"/>
          <w:i w:val="0"/>
          <w:iCs/>
          <w:sz w:val="22"/>
          <w:szCs w:val="22"/>
          <w:lang w:val="en-GB"/>
        </w:rPr>
        <w:t xml:space="preserve">National Oceanography Centre, Southampton, United Kingdom; </w:t>
      </w:r>
      <w:r w:rsidRPr="00E63E1C">
        <w:rPr>
          <w:rFonts w:ascii="Times New Roman" w:hAnsi="Times New Roman" w:cs="Times New Roman"/>
          <w:i w:val="0"/>
          <w:iCs/>
          <w:sz w:val="22"/>
          <w:szCs w:val="22"/>
          <w:vertAlign w:val="superscript"/>
          <w:lang w:val="en-GB"/>
        </w:rPr>
        <w:t>3</w:t>
      </w:r>
      <w:r w:rsidR="009D6646" w:rsidRPr="00E63E1C">
        <w:rPr>
          <w:rFonts w:ascii="Times New Roman" w:hAnsi="Times New Roman" w:cs="Times New Roman"/>
          <w:i w:val="0"/>
          <w:iCs/>
          <w:sz w:val="22"/>
          <w:szCs w:val="22"/>
          <w:lang w:val="en-GB"/>
        </w:rPr>
        <w:t>Chemical</w:t>
      </w:r>
      <w:r w:rsidR="009D6646" w:rsidRPr="00E63E1C">
        <w:rPr>
          <w:rFonts w:ascii="Times New Roman" w:hAnsi="Times New Roman" w:cs="Times New Roman"/>
          <w:i w:val="0"/>
          <w:iCs/>
          <w:sz w:val="22"/>
          <w:szCs w:val="22"/>
          <w:vertAlign w:val="superscript"/>
          <w:lang w:val="en-GB"/>
        </w:rPr>
        <w:t xml:space="preserve"> </w:t>
      </w:r>
      <w:r w:rsidR="009D6646" w:rsidRPr="00E63E1C">
        <w:rPr>
          <w:rFonts w:ascii="Times New Roman" w:hAnsi="Times New Roman" w:cs="Times New Roman"/>
          <w:i w:val="0"/>
          <w:iCs/>
          <w:sz w:val="22"/>
          <w:szCs w:val="22"/>
          <w:lang w:val="en-GB"/>
        </w:rPr>
        <w:t xml:space="preserve">Analysis and Instrumentation Laboratory, </w:t>
      </w:r>
      <w:r w:rsidRPr="00E63E1C">
        <w:rPr>
          <w:rFonts w:ascii="Times New Roman" w:hAnsi="Times New Roman" w:cs="Times New Roman"/>
          <w:i w:val="0"/>
          <w:iCs/>
          <w:sz w:val="22"/>
          <w:szCs w:val="22"/>
          <w:lang w:val="en-GB"/>
        </w:rPr>
        <w:t xml:space="preserve">College of Agricultural, Consumer and Environmental Sciences, New Mexico State University, </w:t>
      </w:r>
      <w:r w:rsidR="009D6646" w:rsidRPr="00E63E1C">
        <w:rPr>
          <w:rFonts w:ascii="Times New Roman" w:hAnsi="Times New Roman" w:cs="Times New Roman"/>
          <w:i w:val="0"/>
          <w:iCs/>
          <w:sz w:val="22"/>
          <w:szCs w:val="22"/>
          <w:lang w:val="en-GB"/>
        </w:rPr>
        <w:t xml:space="preserve">Las Cruces, NM 88003, </w:t>
      </w:r>
      <w:r w:rsidRPr="00E63E1C">
        <w:rPr>
          <w:rFonts w:ascii="Times New Roman" w:hAnsi="Times New Roman" w:cs="Times New Roman"/>
          <w:i w:val="0"/>
          <w:iCs/>
          <w:sz w:val="22"/>
          <w:szCs w:val="22"/>
          <w:lang w:val="en-GB"/>
        </w:rPr>
        <w:t>United States</w:t>
      </w:r>
    </w:p>
    <w:p w:rsidR="004B3F65" w:rsidRPr="00E63E1C" w:rsidRDefault="00C0668F" w:rsidP="00E725F2">
      <w:pPr>
        <w:spacing w:after="120"/>
        <w:rPr>
          <w:lang w:val="en-GB"/>
        </w:rPr>
      </w:pPr>
      <w:r w:rsidRPr="00E63E1C">
        <w:rPr>
          <w:lang w:val="en-GB"/>
        </w:rPr>
        <w:t>*Corresponding author. E-mail: gaspar@irb.hr</w:t>
      </w:r>
    </w:p>
    <w:p w:rsidR="004B3F65" w:rsidRPr="00E63E1C" w:rsidRDefault="004B3F65" w:rsidP="006E1617">
      <w:pPr>
        <w:spacing w:after="120"/>
        <w:ind w:firstLine="720"/>
        <w:rPr>
          <w:lang w:val="en-GB"/>
        </w:rPr>
      </w:pPr>
    </w:p>
    <w:p w:rsidR="004D4229" w:rsidRPr="00E63E1C" w:rsidRDefault="004D4229" w:rsidP="00F36BB5">
      <w:pPr>
        <w:spacing w:after="120"/>
        <w:rPr>
          <w:b/>
          <w:lang w:val="en-GB"/>
        </w:rPr>
      </w:pPr>
      <w:r w:rsidRPr="00E63E1C">
        <w:rPr>
          <w:b/>
          <w:lang w:val="en-GB"/>
        </w:rPr>
        <w:t>Abstract</w:t>
      </w:r>
    </w:p>
    <w:p w:rsidR="004B0FE3" w:rsidRPr="00E63E1C" w:rsidRDefault="00BC0859" w:rsidP="00357744">
      <w:pPr>
        <w:spacing w:after="120" w:line="360" w:lineRule="auto"/>
        <w:jc w:val="both"/>
        <w:rPr>
          <w:lang w:val="en-GB"/>
        </w:rPr>
      </w:pPr>
      <w:r w:rsidRPr="00E63E1C">
        <w:rPr>
          <w:lang w:val="en-GB"/>
        </w:rPr>
        <w:t xml:space="preserve">We present the </w:t>
      </w:r>
      <w:r w:rsidR="00924B5C">
        <w:rPr>
          <w:lang w:val="en-GB"/>
        </w:rPr>
        <w:t>characterisation</w:t>
      </w:r>
      <w:r w:rsidR="00924B5C" w:rsidRPr="00E63E1C">
        <w:rPr>
          <w:lang w:val="en-GB"/>
        </w:rPr>
        <w:t xml:space="preserve"> </w:t>
      </w:r>
      <w:r w:rsidR="00550AE2" w:rsidRPr="00E63E1C">
        <w:rPr>
          <w:lang w:val="en-GB"/>
        </w:rPr>
        <w:t xml:space="preserve">and </w:t>
      </w:r>
      <w:r w:rsidRPr="00E63E1C">
        <w:rPr>
          <w:lang w:val="en-GB"/>
        </w:rPr>
        <w:t xml:space="preserve">vertical distribution of </w:t>
      </w:r>
      <w:r w:rsidR="00183AEE" w:rsidRPr="00E63E1C">
        <w:rPr>
          <w:lang w:val="en-GB"/>
        </w:rPr>
        <w:t xml:space="preserve">suspended </w:t>
      </w:r>
      <w:r w:rsidR="00B91435" w:rsidRPr="00E63E1C">
        <w:rPr>
          <w:lang w:val="en-GB"/>
        </w:rPr>
        <w:t xml:space="preserve">particulate </w:t>
      </w:r>
      <w:r w:rsidRPr="00E63E1C">
        <w:rPr>
          <w:lang w:val="en-GB"/>
        </w:rPr>
        <w:t>lipid</w:t>
      </w:r>
      <w:r w:rsidR="00B91435" w:rsidRPr="00E63E1C">
        <w:rPr>
          <w:lang w:val="en-GB"/>
        </w:rPr>
        <w:t xml:space="preserve">s </w:t>
      </w:r>
      <w:r w:rsidR="00924B5C">
        <w:rPr>
          <w:lang w:val="en-GB"/>
        </w:rPr>
        <w:t>containing</w:t>
      </w:r>
      <w:r w:rsidR="004838A7" w:rsidRPr="00E63E1C">
        <w:rPr>
          <w:lang w:val="en-GB"/>
        </w:rPr>
        <w:t xml:space="preserve"> </w:t>
      </w:r>
      <w:r w:rsidR="00B91435" w:rsidRPr="00E63E1C">
        <w:rPr>
          <w:lang w:val="en-GB"/>
        </w:rPr>
        <w:t xml:space="preserve">C, H and O </w:t>
      </w:r>
      <w:r w:rsidRPr="00E63E1C">
        <w:rPr>
          <w:lang w:val="en-GB"/>
        </w:rPr>
        <w:t xml:space="preserve">which have the potential to sequester carbon from the upper ocean when associated with sinking particles. Lipids have </w:t>
      </w:r>
      <w:r w:rsidR="005C431B" w:rsidRPr="00E63E1C">
        <w:rPr>
          <w:lang w:val="en-GB"/>
        </w:rPr>
        <w:t xml:space="preserve">been </w:t>
      </w:r>
      <w:r w:rsidRPr="00E63E1C">
        <w:rPr>
          <w:lang w:val="en-GB"/>
        </w:rPr>
        <w:t xml:space="preserve">shown to be valuable in a host of environments to </w:t>
      </w:r>
      <w:r w:rsidR="00962FD3">
        <w:rPr>
          <w:lang w:val="en-GB"/>
        </w:rPr>
        <w:t>provide insights into</w:t>
      </w:r>
      <w:r w:rsidRPr="00E63E1C">
        <w:rPr>
          <w:lang w:val="en-GB"/>
        </w:rPr>
        <w:t xml:space="preserve"> the sources and processing of organic materials in the oceans. </w:t>
      </w:r>
      <w:r w:rsidR="00A1635F" w:rsidRPr="00E63E1C">
        <w:rPr>
          <w:lang w:val="en-GB"/>
        </w:rPr>
        <w:t>Here we present,</w:t>
      </w:r>
      <w:r w:rsidRPr="00E63E1C">
        <w:rPr>
          <w:lang w:val="en-GB"/>
        </w:rPr>
        <w:t xml:space="preserve"> </w:t>
      </w:r>
      <w:r w:rsidR="00A1635F" w:rsidRPr="00E63E1C">
        <w:rPr>
          <w:lang w:val="en-GB"/>
        </w:rPr>
        <w:t xml:space="preserve">direct-infusion, </w:t>
      </w:r>
      <w:r w:rsidRPr="00E63E1C">
        <w:rPr>
          <w:lang w:val="en-GB"/>
        </w:rPr>
        <w:t>high resolution Fourier transform ion cyclotron resonance mass spectrometry (FT-ICR MS)</w:t>
      </w:r>
      <w:r w:rsidR="001F2455">
        <w:rPr>
          <w:lang w:val="en-GB"/>
        </w:rPr>
        <w:t xml:space="preserve"> combined with bulk lipid measures for marine lipid characteriazation</w:t>
      </w:r>
      <w:r w:rsidRPr="00E63E1C">
        <w:rPr>
          <w:lang w:val="en-GB"/>
        </w:rPr>
        <w:t xml:space="preserve">. </w:t>
      </w:r>
      <w:r w:rsidR="00A1635F" w:rsidRPr="00E63E1C">
        <w:rPr>
          <w:lang w:val="en-GB"/>
        </w:rPr>
        <w:t>We present the water column distribution of</w:t>
      </w:r>
      <w:r w:rsidRPr="00E63E1C">
        <w:rPr>
          <w:lang w:val="en-GB"/>
        </w:rPr>
        <w:t xml:space="preserve"> free fatty acids, tri-, di- and mono</w:t>
      </w:r>
      <w:r w:rsidR="00AE2D1B" w:rsidRPr="00E63E1C">
        <w:rPr>
          <w:lang w:val="en-GB"/>
        </w:rPr>
        <w:t>acylglycerol</w:t>
      </w:r>
      <w:r w:rsidRPr="00E63E1C">
        <w:rPr>
          <w:lang w:val="en-GB"/>
        </w:rPr>
        <w:t xml:space="preserve">s </w:t>
      </w:r>
      <w:r w:rsidR="00A1635F" w:rsidRPr="00E63E1C">
        <w:rPr>
          <w:lang w:val="en-GB"/>
        </w:rPr>
        <w:t>from the surface layer</w:t>
      </w:r>
      <w:r w:rsidRPr="00E63E1C">
        <w:rPr>
          <w:lang w:val="en-GB"/>
        </w:rPr>
        <w:t xml:space="preserve"> to </w:t>
      </w:r>
      <w:r w:rsidR="005A5854" w:rsidRPr="00E63E1C">
        <w:rPr>
          <w:lang w:val="en-GB"/>
        </w:rPr>
        <w:t>a</w:t>
      </w:r>
      <w:r w:rsidR="007442D4" w:rsidRPr="00E63E1C">
        <w:rPr>
          <w:lang w:val="en-GB"/>
        </w:rPr>
        <w:t>by</w:t>
      </w:r>
      <w:r w:rsidR="005C431B" w:rsidRPr="00E63E1C">
        <w:rPr>
          <w:lang w:val="en-GB"/>
        </w:rPr>
        <w:t>s</w:t>
      </w:r>
      <w:r w:rsidR="007442D4" w:rsidRPr="00E63E1C">
        <w:rPr>
          <w:lang w:val="en-GB"/>
        </w:rPr>
        <w:t>sopelagic</w:t>
      </w:r>
      <w:r w:rsidR="00A1635F" w:rsidRPr="00E63E1C">
        <w:rPr>
          <w:lang w:val="en-GB"/>
        </w:rPr>
        <w:t xml:space="preserve"> depth</w:t>
      </w:r>
      <w:r w:rsidR="00962FD3">
        <w:rPr>
          <w:lang w:val="en-GB"/>
        </w:rPr>
        <w:t>s</w:t>
      </w:r>
      <w:r w:rsidR="007442D4" w:rsidRPr="00E63E1C">
        <w:rPr>
          <w:lang w:val="en-GB"/>
        </w:rPr>
        <w:t xml:space="preserve"> (</w:t>
      </w:r>
      <w:r w:rsidRPr="00E63E1C">
        <w:rPr>
          <w:lang w:val="en-GB"/>
        </w:rPr>
        <w:t>4800 m</w:t>
      </w:r>
      <w:r w:rsidR="007442D4" w:rsidRPr="00E63E1C">
        <w:rPr>
          <w:lang w:val="en-GB"/>
        </w:rPr>
        <w:t>)</w:t>
      </w:r>
      <w:r w:rsidRPr="00E63E1C">
        <w:rPr>
          <w:lang w:val="en-GB"/>
        </w:rPr>
        <w:t xml:space="preserve"> </w:t>
      </w:r>
      <w:r w:rsidR="00A1635F" w:rsidRPr="00E63E1C">
        <w:rPr>
          <w:lang w:val="en-GB"/>
        </w:rPr>
        <w:t xml:space="preserve">for samples </w:t>
      </w:r>
      <w:r w:rsidR="00962FD3">
        <w:rPr>
          <w:lang w:val="en-GB"/>
        </w:rPr>
        <w:t>collected</w:t>
      </w:r>
      <w:r w:rsidR="00A1635F" w:rsidRPr="00E63E1C">
        <w:rPr>
          <w:lang w:val="en-GB"/>
        </w:rPr>
        <w:t xml:space="preserve"> in the</w:t>
      </w:r>
      <w:r w:rsidRPr="00E63E1C">
        <w:rPr>
          <w:lang w:val="en-GB"/>
        </w:rPr>
        <w:t xml:space="preserve"> Northeast Atlantic</w:t>
      </w:r>
      <w:r w:rsidR="005D2F7D" w:rsidRPr="00E63E1C">
        <w:rPr>
          <w:lang w:val="en-GB"/>
        </w:rPr>
        <w:t xml:space="preserve"> at </w:t>
      </w:r>
      <w:r w:rsidR="005C431B" w:rsidRPr="00E63E1C">
        <w:rPr>
          <w:lang w:val="en-GB"/>
        </w:rPr>
        <w:t xml:space="preserve">the </w:t>
      </w:r>
      <w:r w:rsidR="005D2F7D" w:rsidRPr="00E63E1C">
        <w:rPr>
          <w:lang w:val="en-GB"/>
        </w:rPr>
        <w:t xml:space="preserve">Porcupine Abyssal Plain sustained observatory </w:t>
      </w:r>
      <w:r w:rsidR="00EE2C4B" w:rsidRPr="00E63E1C">
        <w:rPr>
          <w:lang w:val="en-GB"/>
        </w:rPr>
        <w:t>(PAP-SO)</w:t>
      </w:r>
      <w:r w:rsidR="00456D3C" w:rsidRPr="00E63E1C">
        <w:rPr>
          <w:lang w:val="en-GB"/>
        </w:rPr>
        <w:t xml:space="preserve"> (49.</w:t>
      </w:r>
      <w:r w:rsidR="00962FD3">
        <w:rPr>
          <w:lang w:val="en-GB"/>
        </w:rPr>
        <w:t>0</w:t>
      </w:r>
      <w:r w:rsidR="00456D3C" w:rsidRPr="00E63E1C">
        <w:rPr>
          <w:lang w:val="en-GB"/>
        </w:rPr>
        <w:t xml:space="preserve"> °N, 16.5 °W)</w:t>
      </w:r>
      <w:r w:rsidRPr="00E63E1C">
        <w:rPr>
          <w:lang w:val="en-GB"/>
        </w:rPr>
        <w:t xml:space="preserve">. </w:t>
      </w:r>
      <w:r w:rsidR="007442D4" w:rsidRPr="00E63E1C">
        <w:rPr>
          <w:lang w:val="en-GB"/>
        </w:rPr>
        <w:t>Tri</w:t>
      </w:r>
      <w:r w:rsidR="00AE2D1B" w:rsidRPr="00E63E1C">
        <w:rPr>
          <w:lang w:val="en-GB"/>
        </w:rPr>
        <w:t>acylglycerol</w:t>
      </w:r>
      <w:r w:rsidR="007442D4" w:rsidRPr="00E63E1C">
        <w:rPr>
          <w:lang w:val="en-GB"/>
        </w:rPr>
        <w:t xml:space="preserve">s </w:t>
      </w:r>
      <w:r w:rsidR="000C0A69" w:rsidRPr="00E63E1C">
        <w:rPr>
          <w:lang w:val="en-GB"/>
        </w:rPr>
        <w:t xml:space="preserve">(TG) </w:t>
      </w:r>
      <w:r w:rsidR="007442D4" w:rsidRPr="00E63E1C">
        <w:rPr>
          <w:lang w:val="en-GB"/>
        </w:rPr>
        <w:t>with even carbon number (TG) and odd carbon number (oddTG</w:t>
      </w:r>
      <w:r w:rsidR="00A1635F" w:rsidRPr="00E63E1C">
        <w:rPr>
          <w:lang w:val="en-GB"/>
        </w:rPr>
        <w:t>, reflecting bacterial origin</w:t>
      </w:r>
      <w:r w:rsidR="007442D4" w:rsidRPr="00E63E1C">
        <w:rPr>
          <w:lang w:val="en-GB"/>
        </w:rPr>
        <w:t>)</w:t>
      </w:r>
      <w:r w:rsidR="00333DC8" w:rsidRPr="00E63E1C">
        <w:rPr>
          <w:lang w:val="en-GB"/>
        </w:rPr>
        <w:t xml:space="preserve">, </w:t>
      </w:r>
      <w:r w:rsidR="00C77A79" w:rsidRPr="00E63E1C">
        <w:rPr>
          <w:lang w:val="en-GB"/>
        </w:rPr>
        <w:t>were</w:t>
      </w:r>
      <w:r w:rsidR="00333DC8" w:rsidRPr="00E63E1C">
        <w:rPr>
          <w:lang w:val="en-GB"/>
        </w:rPr>
        <w:t xml:space="preserve"> </w:t>
      </w:r>
      <w:r w:rsidR="00357744" w:rsidRPr="00E63E1C">
        <w:rPr>
          <w:lang w:val="en-GB"/>
        </w:rPr>
        <w:t>analys</w:t>
      </w:r>
      <w:r w:rsidR="00A1635F" w:rsidRPr="00E63E1C">
        <w:rPr>
          <w:lang w:val="en-GB"/>
        </w:rPr>
        <w:t>ed</w:t>
      </w:r>
      <w:r w:rsidR="007442D4" w:rsidRPr="00E63E1C">
        <w:rPr>
          <w:lang w:val="en-GB"/>
        </w:rPr>
        <w:t xml:space="preserve">, while free fatty acids were </w:t>
      </w:r>
      <w:r w:rsidR="00357744" w:rsidRPr="00E63E1C">
        <w:rPr>
          <w:lang w:val="en-GB"/>
        </w:rPr>
        <w:t>analysed</w:t>
      </w:r>
      <w:r w:rsidR="007442D4" w:rsidRPr="00E63E1C">
        <w:rPr>
          <w:lang w:val="en-GB"/>
        </w:rPr>
        <w:t xml:space="preserve"> as unsaturated (UFA)</w:t>
      </w:r>
      <w:r w:rsidR="00C660C3" w:rsidRPr="00E63E1C">
        <w:rPr>
          <w:lang w:val="en-GB"/>
        </w:rPr>
        <w:t>,</w:t>
      </w:r>
      <w:r w:rsidR="007442D4" w:rsidRPr="00E63E1C">
        <w:rPr>
          <w:lang w:val="en-GB"/>
        </w:rPr>
        <w:t xml:space="preserve"> branched (BrFA) and saturated (SAFA) fatty acids. The surface productive layer (</w:t>
      </w:r>
      <w:r w:rsidR="00C77C76" w:rsidRPr="00E63E1C">
        <w:rPr>
          <w:lang w:val="en-GB"/>
        </w:rPr>
        <w:t>e</w:t>
      </w:r>
      <w:r w:rsidR="005C431B" w:rsidRPr="00E63E1C">
        <w:rPr>
          <w:lang w:val="en-GB"/>
        </w:rPr>
        <w:t>uphotic zone</w:t>
      </w:r>
      <w:r w:rsidR="007442D4" w:rsidRPr="00E63E1C">
        <w:rPr>
          <w:lang w:val="en-GB"/>
        </w:rPr>
        <w:t xml:space="preserve">) was characterized with the highest </w:t>
      </w:r>
      <w:r w:rsidR="00A1635F" w:rsidRPr="00E63E1C">
        <w:rPr>
          <w:lang w:val="en-GB"/>
        </w:rPr>
        <w:t xml:space="preserve">incidence of </w:t>
      </w:r>
      <w:r w:rsidR="001D1B5F" w:rsidRPr="00E63E1C">
        <w:rPr>
          <w:lang w:val="en-GB"/>
        </w:rPr>
        <w:t xml:space="preserve">lipids that are </w:t>
      </w:r>
      <w:r w:rsidR="00602D1B" w:rsidRPr="00E63E1C">
        <w:rPr>
          <w:lang w:val="en-GB"/>
        </w:rPr>
        <w:t>not reported in the Nature Lipidomics Gateway</w:t>
      </w:r>
      <w:r w:rsidR="001F2455">
        <w:rPr>
          <w:lang w:val="en-GB"/>
        </w:rPr>
        <w:t xml:space="preserve"> database</w:t>
      </w:r>
      <w:r w:rsidR="00E725F2" w:rsidRPr="00E63E1C">
        <w:rPr>
          <w:lang w:val="en-GB"/>
        </w:rPr>
        <w:t xml:space="preserve">, especially </w:t>
      </w:r>
      <w:r w:rsidR="00A1635F" w:rsidRPr="00E63E1C">
        <w:rPr>
          <w:lang w:val="en-GB"/>
        </w:rPr>
        <w:t>lipids that are</w:t>
      </w:r>
      <w:r w:rsidR="00EE2C4B" w:rsidRPr="00E63E1C">
        <w:rPr>
          <w:lang w:val="en-GB"/>
        </w:rPr>
        <w:t xml:space="preserve"> </w:t>
      </w:r>
      <w:r w:rsidR="00E45E3E" w:rsidRPr="00E63E1C">
        <w:rPr>
          <w:lang w:val="en-GB"/>
        </w:rPr>
        <w:t>highly unsaturated (acyl chain unsaturation was on average 3.8 for TG, oddTG, UFA and di</w:t>
      </w:r>
      <w:r w:rsidR="00AE2D1B" w:rsidRPr="00E63E1C">
        <w:rPr>
          <w:lang w:val="en-GB"/>
        </w:rPr>
        <w:t>acylglycerol</w:t>
      </w:r>
      <w:r w:rsidR="00E45E3E" w:rsidRPr="00E63E1C">
        <w:rPr>
          <w:lang w:val="en-GB"/>
        </w:rPr>
        <w:t xml:space="preserve">s (DG)). </w:t>
      </w:r>
      <w:r w:rsidR="00A1635F" w:rsidRPr="00E63E1C">
        <w:rPr>
          <w:lang w:val="en-GB"/>
        </w:rPr>
        <w:t>Additionally, we observe</w:t>
      </w:r>
      <w:r w:rsidR="005C431B" w:rsidRPr="00E63E1C">
        <w:rPr>
          <w:lang w:val="en-GB"/>
        </w:rPr>
        <w:t>d</w:t>
      </w:r>
      <w:r w:rsidR="00A1635F" w:rsidRPr="00E63E1C">
        <w:rPr>
          <w:lang w:val="en-GB"/>
        </w:rPr>
        <w:t xml:space="preserve"> </w:t>
      </w:r>
      <w:r w:rsidR="00E45E3E" w:rsidRPr="00E63E1C">
        <w:rPr>
          <w:lang w:val="en-GB"/>
        </w:rPr>
        <w:t xml:space="preserve">high lipid </w:t>
      </w:r>
      <w:r w:rsidR="007442D4" w:rsidRPr="00E63E1C">
        <w:rPr>
          <w:lang w:val="en-GB"/>
        </w:rPr>
        <w:t>degradation</w:t>
      </w:r>
      <w:r w:rsidR="00EE2C4B" w:rsidRPr="00E63E1C">
        <w:rPr>
          <w:lang w:val="en-GB"/>
        </w:rPr>
        <w:t xml:space="preserve"> at </w:t>
      </w:r>
      <w:r w:rsidR="00096379" w:rsidRPr="00E63E1C">
        <w:rPr>
          <w:lang w:val="en-GB"/>
        </w:rPr>
        <w:t>epipelagic depths</w:t>
      </w:r>
      <w:r w:rsidR="007442D4" w:rsidRPr="00E63E1C">
        <w:rPr>
          <w:lang w:val="en-GB"/>
        </w:rPr>
        <w:t>. Fatty acid markers indicate that diatoms and dinoflagellates</w:t>
      </w:r>
      <w:r w:rsidR="00EE2C4B" w:rsidRPr="00E63E1C">
        <w:rPr>
          <w:lang w:val="en-GB"/>
        </w:rPr>
        <w:t xml:space="preserve"> </w:t>
      </w:r>
      <w:r w:rsidR="00C660C3" w:rsidRPr="00E63E1C">
        <w:rPr>
          <w:lang w:val="en-GB"/>
        </w:rPr>
        <w:t>we</w:t>
      </w:r>
      <w:r w:rsidR="00A1635F" w:rsidRPr="00E63E1C">
        <w:rPr>
          <w:lang w:val="en-GB"/>
        </w:rPr>
        <w:t xml:space="preserve">re </w:t>
      </w:r>
      <w:r w:rsidR="00357744" w:rsidRPr="00E63E1C">
        <w:rPr>
          <w:lang w:val="en-GB"/>
        </w:rPr>
        <w:t>important</w:t>
      </w:r>
      <w:r w:rsidR="00EE2C4B" w:rsidRPr="00E63E1C">
        <w:rPr>
          <w:lang w:val="en-GB"/>
        </w:rPr>
        <w:t xml:space="preserve"> contributors to </w:t>
      </w:r>
      <w:r w:rsidR="005C431B" w:rsidRPr="00E63E1C">
        <w:rPr>
          <w:lang w:val="en-GB"/>
        </w:rPr>
        <w:t xml:space="preserve">the </w:t>
      </w:r>
      <w:r w:rsidR="00EE2C4B" w:rsidRPr="00E63E1C">
        <w:rPr>
          <w:lang w:val="en-GB"/>
        </w:rPr>
        <w:t>lipid pool</w:t>
      </w:r>
      <w:r w:rsidR="007442D4" w:rsidRPr="00E63E1C">
        <w:rPr>
          <w:lang w:val="en-GB"/>
        </w:rPr>
        <w:t xml:space="preserve">. </w:t>
      </w:r>
      <w:r w:rsidR="00B161A2" w:rsidRPr="00E63E1C">
        <w:rPr>
          <w:lang w:val="en-GB"/>
        </w:rPr>
        <w:t>Depth-</w:t>
      </w:r>
      <w:r w:rsidR="00E45E3E" w:rsidRPr="00E63E1C">
        <w:rPr>
          <w:lang w:val="en-GB"/>
        </w:rPr>
        <w:t>re</w:t>
      </w:r>
      <w:r w:rsidR="00B161A2" w:rsidRPr="00E63E1C">
        <w:rPr>
          <w:lang w:val="en-GB"/>
        </w:rPr>
        <w:t>solved</w:t>
      </w:r>
      <w:r w:rsidR="00E45E3E" w:rsidRPr="00E63E1C">
        <w:rPr>
          <w:lang w:val="en-GB"/>
        </w:rPr>
        <w:t xml:space="preserve"> lipid change </w:t>
      </w:r>
      <w:r w:rsidR="00C660C3" w:rsidRPr="00E63E1C">
        <w:rPr>
          <w:lang w:val="en-GB"/>
        </w:rPr>
        <w:t>include</w:t>
      </w:r>
      <w:r w:rsidR="001F2455">
        <w:rPr>
          <w:lang w:val="en-GB"/>
        </w:rPr>
        <w:t>s</w:t>
      </w:r>
      <w:r w:rsidR="00A1635F" w:rsidRPr="00E63E1C">
        <w:rPr>
          <w:lang w:val="en-GB"/>
        </w:rPr>
        <w:t xml:space="preserve"> </w:t>
      </w:r>
      <w:r w:rsidR="00E45E3E" w:rsidRPr="00E63E1C">
        <w:rPr>
          <w:lang w:val="en-GB"/>
        </w:rPr>
        <w:t xml:space="preserve">decreased lipid abundance </w:t>
      </w:r>
      <w:r w:rsidR="00EE2C4B" w:rsidRPr="00E63E1C">
        <w:rPr>
          <w:lang w:val="en-GB"/>
        </w:rPr>
        <w:t xml:space="preserve">and </w:t>
      </w:r>
      <w:r w:rsidR="00A425B4" w:rsidRPr="00E63E1C">
        <w:rPr>
          <w:lang w:val="en-GB"/>
        </w:rPr>
        <w:t xml:space="preserve">molecular </w:t>
      </w:r>
      <w:r w:rsidR="00EE2C4B" w:rsidRPr="00E63E1C">
        <w:rPr>
          <w:lang w:val="en-GB"/>
        </w:rPr>
        <w:t>diversity together with</w:t>
      </w:r>
      <w:r w:rsidR="00E45E3E" w:rsidRPr="00E63E1C">
        <w:rPr>
          <w:lang w:val="en-GB"/>
        </w:rPr>
        <w:t xml:space="preserve"> substantial loss of unsaturation with increasing depth. </w:t>
      </w:r>
      <w:r w:rsidR="003B225B" w:rsidRPr="00E63E1C">
        <w:rPr>
          <w:lang w:val="en-GB"/>
        </w:rPr>
        <w:t>The major lipid change</w:t>
      </w:r>
      <w:r w:rsidR="007D44AE" w:rsidRPr="00E63E1C">
        <w:rPr>
          <w:lang w:val="en-GB"/>
        </w:rPr>
        <w:t xml:space="preserve"> </w:t>
      </w:r>
      <w:r w:rsidR="005C4147" w:rsidRPr="00E63E1C">
        <w:rPr>
          <w:lang w:val="en-GB"/>
        </w:rPr>
        <w:t>occur</w:t>
      </w:r>
      <w:r w:rsidR="001F2455">
        <w:rPr>
          <w:lang w:val="en-GB"/>
        </w:rPr>
        <w:t>s</w:t>
      </w:r>
      <w:r w:rsidR="005C4147" w:rsidRPr="00E63E1C">
        <w:rPr>
          <w:lang w:val="en-GB"/>
        </w:rPr>
        <w:t xml:space="preserve"> at </w:t>
      </w:r>
      <w:r w:rsidR="003B225B" w:rsidRPr="00E63E1C">
        <w:rPr>
          <w:lang w:val="en-GB"/>
        </w:rPr>
        <w:t xml:space="preserve">upper </w:t>
      </w:r>
      <w:r w:rsidR="00063A43" w:rsidRPr="00E63E1C">
        <w:rPr>
          <w:lang w:val="en-GB"/>
        </w:rPr>
        <w:t>m</w:t>
      </w:r>
      <w:r w:rsidR="003B225B" w:rsidRPr="00E63E1C">
        <w:rPr>
          <w:lang w:val="en-GB"/>
        </w:rPr>
        <w:t>esopelagic</w:t>
      </w:r>
      <w:r w:rsidR="00A1635F" w:rsidRPr="00E63E1C">
        <w:rPr>
          <w:lang w:val="en-GB"/>
        </w:rPr>
        <w:t xml:space="preserve"> depths</w:t>
      </w:r>
      <w:r w:rsidR="003B225B" w:rsidRPr="00E63E1C">
        <w:rPr>
          <w:lang w:val="en-GB"/>
        </w:rPr>
        <w:t>.</w:t>
      </w:r>
      <w:r w:rsidR="00E45E3E" w:rsidRPr="00E63E1C">
        <w:rPr>
          <w:lang w:val="en-GB"/>
        </w:rPr>
        <w:t xml:space="preserve"> Unlike other </w:t>
      </w:r>
      <w:r w:rsidR="005C4147" w:rsidRPr="00E63E1C">
        <w:rPr>
          <w:lang w:val="en-GB"/>
        </w:rPr>
        <w:t>observed</w:t>
      </w:r>
      <w:r w:rsidR="00E45E3E" w:rsidRPr="00E63E1C">
        <w:rPr>
          <w:lang w:val="en-GB"/>
        </w:rPr>
        <w:t xml:space="preserve"> lipids</w:t>
      </w:r>
      <w:r w:rsidR="00646C08" w:rsidRPr="00E63E1C">
        <w:rPr>
          <w:lang w:val="en-GB"/>
        </w:rPr>
        <w:t>,</w:t>
      </w:r>
      <w:r w:rsidR="00E45E3E" w:rsidRPr="00E63E1C">
        <w:rPr>
          <w:lang w:val="en-GB"/>
        </w:rPr>
        <w:t xml:space="preserve"> </w:t>
      </w:r>
      <w:r w:rsidR="00A1635F" w:rsidRPr="00E63E1C">
        <w:rPr>
          <w:lang w:val="en-GB"/>
        </w:rPr>
        <w:t xml:space="preserve">the </w:t>
      </w:r>
      <w:r w:rsidR="00C77A79" w:rsidRPr="00E63E1C">
        <w:rPr>
          <w:lang w:val="en-GB"/>
        </w:rPr>
        <w:t xml:space="preserve">abundance of </w:t>
      </w:r>
      <w:r w:rsidR="00E45E3E" w:rsidRPr="00E63E1C">
        <w:rPr>
          <w:lang w:val="en-GB"/>
        </w:rPr>
        <w:t xml:space="preserve">SAFA remained essentially constant </w:t>
      </w:r>
      <w:r w:rsidR="00962FD3">
        <w:rPr>
          <w:lang w:val="en-GB"/>
        </w:rPr>
        <w:t>down</w:t>
      </w:r>
      <w:r w:rsidR="00962FD3" w:rsidRPr="00E63E1C">
        <w:rPr>
          <w:lang w:val="en-GB"/>
        </w:rPr>
        <w:t xml:space="preserve"> </w:t>
      </w:r>
      <w:r w:rsidR="005C431B" w:rsidRPr="00E63E1C">
        <w:rPr>
          <w:lang w:val="en-GB"/>
        </w:rPr>
        <w:t xml:space="preserve">the </w:t>
      </w:r>
      <w:r w:rsidR="00E725F2" w:rsidRPr="00E63E1C">
        <w:rPr>
          <w:lang w:val="en-GB"/>
        </w:rPr>
        <w:t xml:space="preserve">water column </w:t>
      </w:r>
      <w:r w:rsidR="00646C08" w:rsidRPr="00E63E1C">
        <w:rPr>
          <w:lang w:val="en-GB"/>
        </w:rPr>
        <w:t>whereas</w:t>
      </w:r>
      <w:r w:rsidR="00C77A79" w:rsidRPr="00E63E1C">
        <w:rPr>
          <w:lang w:val="en-GB"/>
        </w:rPr>
        <w:t xml:space="preserve"> the number of </w:t>
      </w:r>
      <w:r w:rsidR="00616F1B" w:rsidRPr="00E63E1C">
        <w:rPr>
          <w:lang w:val="en-GB"/>
        </w:rPr>
        <w:t>SAFAs</w:t>
      </w:r>
      <w:r w:rsidR="00C77A79" w:rsidRPr="00E63E1C">
        <w:rPr>
          <w:lang w:val="en-GB"/>
        </w:rPr>
        <w:t xml:space="preserve"> and their contribution to total </w:t>
      </w:r>
      <w:r w:rsidR="00C77A79" w:rsidRPr="00E63E1C">
        <w:rPr>
          <w:lang w:val="en-GB"/>
        </w:rPr>
        <w:lastRenderedPageBreak/>
        <w:t>lipids increased with depth</w:t>
      </w:r>
      <w:r w:rsidR="00E45E3E" w:rsidRPr="00E63E1C">
        <w:rPr>
          <w:lang w:val="en-GB"/>
        </w:rPr>
        <w:t xml:space="preserve">. </w:t>
      </w:r>
      <w:r w:rsidR="00A1635F" w:rsidRPr="00E63E1C">
        <w:rPr>
          <w:lang w:val="en-GB"/>
        </w:rPr>
        <w:t xml:space="preserve">Thus, we demonstrate </w:t>
      </w:r>
      <w:r w:rsidR="004B0FE3" w:rsidRPr="00E63E1C">
        <w:rPr>
          <w:lang w:val="en-GB"/>
        </w:rPr>
        <w:t xml:space="preserve">that lipid saturation </w:t>
      </w:r>
      <w:r w:rsidR="00DF34B2" w:rsidRPr="00E63E1C">
        <w:rPr>
          <w:lang w:val="en-GB"/>
        </w:rPr>
        <w:t>affects</w:t>
      </w:r>
      <w:r w:rsidR="00A1635F" w:rsidRPr="00E63E1C">
        <w:rPr>
          <w:lang w:val="en-GB"/>
        </w:rPr>
        <w:t xml:space="preserve"> the </w:t>
      </w:r>
      <w:r w:rsidR="004B0FE3" w:rsidRPr="00E63E1C">
        <w:rPr>
          <w:lang w:val="en-GB"/>
        </w:rPr>
        <w:t xml:space="preserve">export </w:t>
      </w:r>
      <w:r w:rsidR="00A1635F" w:rsidRPr="00E63E1C">
        <w:rPr>
          <w:lang w:val="en-GB"/>
        </w:rPr>
        <w:t xml:space="preserve">of </w:t>
      </w:r>
      <w:r w:rsidR="004B0FE3" w:rsidRPr="00E63E1C">
        <w:rPr>
          <w:lang w:val="en-GB"/>
        </w:rPr>
        <w:t>carbon</w:t>
      </w:r>
      <w:r w:rsidR="00A1635F" w:rsidRPr="00E63E1C">
        <w:rPr>
          <w:lang w:val="en-GB"/>
        </w:rPr>
        <w:t xml:space="preserve"> from the atmosphere</w:t>
      </w:r>
      <w:r w:rsidR="004B0FE3" w:rsidRPr="00E63E1C">
        <w:rPr>
          <w:lang w:val="en-GB"/>
        </w:rPr>
        <w:t xml:space="preserve"> to </w:t>
      </w:r>
      <w:r w:rsidR="001A0798" w:rsidRPr="00E63E1C">
        <w:rPr>
          <w:lang w:val="en-GB"/>
        </w:rPr>
        <w:t xml:space="preserve">the </w:t>
      </w:r>
      <w:r w:rsidR="004B0FE3" w:rsidRPr="00E63E1C">
        <w:rPr>
          <w:lang w:val="en-GB"/>
        </w:rPr>
        <w:t xml:space="preserve">deep ocean. </w:t>
      </w:r>
    </w:p>
    <w:p w:rsidR="007D44AE" w:rsidRPr="00E63E1C" w:rsidRDefault="007D44AE" w:rsidP="00CD12B2">
      <w:pPr>
        <w:spacing w:after="120" w:line="360" w:lineRule="auto"/>
        <w:rPr>
          <w:lang w:val="en-GB"/>
        </w:rPr>
      </w:pPr>
    </w:p>
    <w:p w:rsidR="004D4229" w:rsidRPr="00E63E1C" w:rsidRDefault="004D4229" w:rsidP="00CD12B2">
      <w:pPr>
        <w:spacing w:after="120" w:line="360" w:lineRule="auto"/>
        <w:rPr>
          <w:lang w:val="en-GB"/>
        </w:rPr>
      </w:pPr>
      <w:r w:rsidRPr="00E63E1C">
        <w:rPr>
          <w:lang w:val="en-GB"/>
        </w:rPr>
        <w:t>Keywords:</w:t>
      </w:r>
      <w:r w:rsidR="00344185" w:rsidRPr="00E63E1C">
        <w:rPr>
          <w:lang w:val="en-GB"/>
        </w:rPr>
        <w:t xml:space="preserve"> lipid production, lipid cycling, Northeast Atlantic, FT-ICR MS</w:t>
      </w:r>
    </w:p>
    <w:p w:rsidR="004B3F65" w:rsidRPr="00E63E1C" w:rsidRDefault="004B3F65" w:rsidP="00CD12B2">
      <w:pPr>
        <w:spacing w:after="120" w:line="360" w:lineRule="auto"/>
        <w:ind w:firstLine="720"/>
        <w:rPr>
          <w:lang w:val="en-GB"/>
        </w:rPr>
      </w:pPr>
    </w:p>
    <w:p w:rsidR="00DC7C76" w:rsidRPr="00E63E1C" w:rsidRDefault="00DC7C76" w:rsidP="00CD12B2">
      <w:pPr>
        <w:numPr>
          <w:ilvl w:val="0"/>
          <w:numId w:val="5"/>
        </w:numPr>
        <w:spacing w:after="120" w:line="360" w:lineRule="auto"/>
        <w:ind w:left="360"/>
        <w:rPr>
          <w:b/>
          <w:lang w:val="en-GB"/>
        </w:rPr>
      </w:pPr>
      <w:r w:rsidRPr="00E63E1C">
        <w:rPr>
          <w:b/>
          <w:lang w:val="en-GB"/>
        </w:rPr>
        <w:t>Introduction</w:t>
      </w:r>
    </w:p>
    <w:p w:rsidR="00706344" w:rsidRPr="00E63E1C" w:rsidRDefault="00706344" w:rsidP="00CD12B2">
      <w:pPr>
        <w:spacing w:after="120" w:line="360" w:lineRule="auto"/>
        <w:ind w:firstLine="720"/>
        <w:jc w:val="both"/>
        <w:rPr>
          <w:lang w:val="en-GB"/>
        </w:rPr>
      </w:pPr>
      <w:r w:rsidRPr="00E63E1C">
        <w:rPr>
          <w:lang w:val="en-GB"/>
        </w:rPr>
        <w:t xml:space="preserve">The cycling of organic carbon in the marine environment is a key process in the global carbon cycle. </w:t>
      </w:r>
      <w:r w:rsidR="005C431B" w:rsidRPr="00E63E1C">
        <w:rPr>
          <w:lang w:val="en-GB"/>
        </w:rPr>
        <w:t xml:space="preserve">A major </w:t>
      </w:r>
      <w:r w:rsidR="004E25B5" w:rsidRPr="00E63E1C">
        <w:rPr>
          <w:lang w:val="en-GB"/>
        </w:rPr>
        <w:t>source of organic carbon in the oceans is autotrophic production by phytoplankton (Falkowski et al., 1998).</w:t>
      </w:r>
      <w:r w:rsidR="00930F4C" w:rsidRPr="00E63E1C">
        <w:rPr>
          <w:lang w:val="en-GB"/>
        </w:rPr>
        <w:t xml:space="preserve"> </w:t>
      </w:r>
      <w:r w:rsidRPr="00E63E1C">
        <w:rPr>
          <w:lang w:val="en-GB"/>
        </w:rPr>
        <w:t>Although autotrophic production occurs</w:t>
      </w:r>
      <w:r w:rsidR="00A27E35" w:rsidRPr="00E63E1C">
        <w:rPr>
          <w:lang w:val="en-GB"/>
        </w:rPr>
        <w:t xml:space="preserve"> </w:t>
      </w:r>
      <w:r w:rsidRPr="00E63E1C">
        <w:rPr>
          <w:lang w:val="en-GB"/>
        </w:rPr>
        <w:t>in</w:t>
      </w:r>
      <w:r w:rsidR="00A27E35" w:rsidRPr="00E63E1C">
        <w:rPr>
          <w:lang w:val="en-GB"/>
        </w:rPr>
        <w:t xml:space="preserve"> </w:t>
      </w:r>
      <w:r w:rsidRPr="00E63E1C">
        <w:rPr>
          <w:lang w:val="en-GB"/>
        </w:rPr>
        <w:t>the</w:t>
      </w:r>
      <w:r w:rsidR="00A27E35" w:rsidRPr="00E63E1C">
        <w:rPr>
          <w:lang w:val="en-GB"/>
        </w:rPr>
        <w:t xml:space="preserve"> </w:t>
      </w:r>
      <w:r w:rsidRPr="00E63E1C">
        <w:rPr>
          <w:lang w:val="en-GB"/>
        </w:rPr>
        <w:t>surface</w:t>
      </w:r>
      <w:r w:rsidR="00A27E35" w:rsidRPr="00E63E1C">
        <w:rPr>
          <w:lang w:val="en-GB"/>
        </w:rPr>
        <w:t xml:space="preserve"> </w:t>
      </w:r>
      <w:r w:rsidR="00134D57" w:rsidRPr="00E63E1C">
        <w:rPr>
          <w:lang w:val="en-GB"/>
        </w:rPr>
        <w:t xml:space="preserve">productive </w:t>
      </w:r>
      <w:r w:rsidR="001D1B5F" w:rsidRPr="00E63E1C">
        <w:rPr>
          <w:lang w:val="en-GB"/>
        </w:rPr>
        <w:t xml:space="preserve">euphotic </w:t>
      </w:r>
      <w:r w:rsidR="00134D57" w:rsidRPr="00E63E1C">
        <w:rPr>
          <w:lang w:val="en-GB"/>
        </w:rPr>
        <w:t>zone (0-200 m depth)</w:t>
      </w:r>
      <w:r w:rsidRPr="00E63E1C">
        <w:rPr>
          <w:lang w:val="en-GB"/>
        </w:rPr>
        <w:t>,</w:t>
      </w:r>
      <w:r w:rsidR="00A27E35" w:rsidRPr="00E63E1C">
        <w:rPr>
          <w:lang w:val="en-GB"/>
        </w:rPr>
        <w:t xml:space="preserve"> </w:t>
      </w:r>
      <w:r w:rsidR="00962FD3">
        <w:rPr>
          <w:lang w:val="en-GB"/>
        </w:rPr>
        <w:t xml:space="preserve">gravitational </w:t>
      </w:r>
      <w:r w:rsidRPr="00E63E1C">
        <w:rPr>
          <w:lang w:val="en-GB"/>
        </w:rPr>
        <w:t>sinking</w:t>
      </w:r>
      <w:r w:rsidR="00A27E35" w:rsidRPr="00E63E1C">
        <w:rPr>
          <w:lang w:val="en-GB"/>
        </w:rPr>
        <w:t xml:space="preserve"> </w:t>
      </w:r>
      <w:r w:rsidRPr="00E63E1C">
        <w:rPr>
          <w:lang w:val="en-GB"/>
        </w:rPr>
        <w:t>provides</w:t>
      </w:r>
      <w:r w:rsidR="00A27E35" w:rsidRPr="00E63E1C">
        <w:rPr>
          <w:lang w:val="en-GB"/>
        </w:rPr>
        <w:t xml:space="preserve"> </w:t>
      </w:r>
      <w:r w:rsidRPr="00E63E1C">
        <w:rPr>
          <w:lang w:val="en-GB"/>
        </w:rPr>
        <w:t>the</w:t>
      </w:r>
      <w:r w:rsidR="00A27E35" w:rsidRPr="00E63E1C">
        <w:rPr>
          <w:lang w:val="en-GB"/>
        </w:rPr>
        <w:t xml:space="preserve"> </w:t>
      </w:r>
      <w:r w:rsidRPr="00E63E1C">
        <w:rPr>
          <w:lang w:val="en-GB"/>
        </w:rPr>
        <w:t>major</w:t>
      </w:r>
      <w:r w:rsidR="00A27E35" w:rsidRPr="00E63E1C">
        <w:rPr>
          <w:lang w:val="en-GB"/>
        </w:rPr>
        <w:t xml:space="preserve"> </w:t>
      </w:r>
      <w:r w:rsidRPr="00E63E1C">
        <w:rPr>
          <w:lang w:val="en-GB"/>
        </w:rPr>
        <w:t>pathway</w:t>
      </w:r>
      <w:r w:rsidR="00A27E35" w:rsidRPr="00E63E1C">
        <w:rPr>
          <w:lang w:val="en-GB"/>
        </w:rPr>
        <w:t xml:space="preserve"> </w:t>
      </w:r>
      <w:r w:rsidRPr="00E63E1C">
        <w:rPr>
          <w:lang w:val="en-GB"/>
        </w:rPr>
        <w:t>for</w:t>
      </w:r>
      <w:r w:rsidR="00A27E35" w:rsidRPr="00E63E1C">
        <w:rPr>
          <w:lang w:val="en-GB"/>
        </w:rPr>
        <w:t xml:space="preserve"> </w:t>
      </w:r>
      <w:r w:rsidRPr="00E63E1C">
        <w:rPr>
          <w:lang w:val="en-GB"/>
        </w:rPr>
        <w:t>transport</w:t>
      </w:r>
      <w:r w:rsidR="008142AC" w:rsidRPr="00E63E1C">
        <w:rPr>
          <w:lang w:val="en-GB"/>
        </w:rPr>
        <w:t>ation</w:t>
      </w:r>
      <w:r w:rsidRPr="00E63E1C">
        <w:rPr>
          <w:lang w:val="en-GB"/>
        </w:rPr>
        <w:t xml:space="preserve"> of particulate organic carbon from </w:t>
      </w:r>
      <w:r w:rsidR="005C431B" w:rsidRPr="00E63E1C">
        <w:rPr>
          <w:lang w:val="en-GB"/>
        </w:rPr>
        <w:t xml:space="preserve">the </w:t>
      </w:r>
      <w:r w:rsidRPr="00E63E1C">
        <w:rPr>
          <w:lang w:val="en-GB"/>
        </w:rPr>
        <w:t xml:space="preserve">surface </w:t>
      </w:r>
      <w:r w:rsidR="00134D57" w:rsidRPr="00E63E1C">
        <w:rPr>
          <w:lang w:val="en-GB"/>
        </w:rPr>
        <w:t>layer</w:t>
      </w:r>
      <w:r w:rsidRPr="00E63E1C">
        <w:rPr>
          <w:lang w:val="en-GB"/>
        </w:rPr>
        <w:t xml:space="preserve"> to the ocean</w:t>
      </w:r>
      <w:r w:rsidR="00581B98" w:rsidRPr="00E63E1C">
        <w:rPr>
          <w:lang w:val="en-GB"/>
        </w:rPr>
        <w:t xml:space="preserve"> </w:t>
      </w:r>
      <w:r w:rsidRPr="00E63E1C">
        <w:rPr>
          <w:lang w:val="en-GB"/>
        </w:rPr>
        <w:t>depths</w:t>
      </w:r>
      <w:r w:rsidR="00134D57" w:rsidRPr="00E63E1C">
        <w:rPr>
          <w:lang w:val="en-GB"/>
        </w:rPr>
        <w:t>. During sinking</w:t>
      </w:r>
      <w:r w:rsidR="008142AC" w:rsidRPr="00E63E1C">
        <w:rPr>
          <w:lang w:val="en-GB"/>
        </w:rPr>
        <w:t>,</w:t>
      </w:r>
      <w:r w:rsidR="00134D57" w:rsidRPr="00E63E1C">
        <w:rPr>
          <w:lang w:val="en-GB"/>
        </w:rPr>
        <w:t xml:space="preserve"> organic matter</w:t>
      </w:r>
      <w:r w:rsidR="00B04BA0" w:rsidRPr="00E63E1C">
        <w:rPr>
          <w:lang w:val="en-GB"/>
        </w:rPr>
        <w:t xml:space="preserve"> (OM)</w:t>
      </w:r>
      <w:r w:rsidR="00134D57" w:rsidRPr="00E63E1C">
        <w:rPr>
          <w:lang w:val="en-GB"/>
        </w:rPr>
        <w:t xml:space="preserve"> is selectively transform</w:t>
      </w:r>
      <w:r w:rsidR="008142AC" w:rsidRPr="00E63E1C">
        <w:rPr>
          <w:lang w:val="en-GB"/>
        </w:rPr>
        <w:t>ed</w:t>
      </w:r>
      <w:r w:rsidR="00134D57" w:rsidRPr="00E63E1C">
        <w:rPr>
          <w:lang w:val="en-GB"/>
        </w:rPr>
        <w:t xml:space="preserve"> wit</w:t>
      </w:r>
      <w:r w:rsidR="00F865F1" w:rsidRPr="00E63E1C">
        <w:rPr>
          <w:lang w:val="en-GB"/>
        </w:rPr>
        <w:t>h</w:t>
      </w:r>
      <w:r w:rsidR="00134D57" w:rsidRPr="00E63E1C">
        <w:rPr>
          <w:lang w:val="en-GB"/>
        </w:rPr>
        <w:t xml:space="preserve"> </w:t>
      </w:r>
      <w:r w:rsidR="008142AC" w:rsidRPr="00E63E1C">
        <w:rPr>
          <w:lang w:val="en-GB"/>
        </w:rPr>
        <w:t xml:space="preserve">a </w:t>
      </w:r>
      <w:r w:rsidR="00134D57" w:rsidRPr="00E63E1C">
        <w:rPr>
          <w:lang w:val="en-GB"/>
        </w:rPr>
        <w:t>spectrum of turnover rates</w:t>
      </w:r>
      <w:r w:rsidR="008142AC" w:rsidRPr="00E63E1C">
        <w:rPr>
          <w:lang w:val="en-GB"/>
        </w:rPr>
        <w:t xml:space="preserve"> and</w:t>
      </w:r>
      <w:r w:rsidR="00134D57" w:rsidRPr="00E63E1C">
        <w:rPr>
          <w:lang w:val="en-GB"/>
        </w:rPr>
        <w:t xml:space="preserve"> </w:t>
      </w:r>
      <w:r w:rsidR="00580442" w:rsidRPr="00E63E1C">
        <w:rPr>
          <w:lang w:val="en-GB"/>
        </w:rPr>
        <w:t xml:space="preserve">fluctuation </w:t>
      </w:r>
      <w:r w:rsidR="008142AC" w:rsidRPr="00E63E1C">
        <w:rPr>
          <w:lang w:val="en-GB"/>
        </w:rPr>
        <w:t>in OM</w:t>
      </w:r>
      <w:r w:rsidR="00580442" w:rsidRPr="00E63E1C">
        <w:rPr>
          <w:lang w:val="en-GB"/>
        </w:rPr>
        <w:t xml:space="preserve"> </w:t>
      </w:r>
      <w:r w:rsidR="00BD1377" w:rsidRPr="00E63E1C">
        <w:rPr>
          <w:lang w:val="en-GB"/>
        </w:rPr>
        <w:t>concentration depends</w:t>
      </w:r>
      <w:r w:rsidR="00134D57" w:rsidRPr="00E63E1C">
        <w:rPr>
          <w:lang w:val="en-GB"/>
        </w:rPr>
        <w:t xml:space="preserve"> on OM </w:t>
      </w:r>
      <w:r w:rsidR="00580442" w:rsidRPr="00E63E1C">
        <w:rPr>
          <w:lang w:val="en-GB"/>
        </w:rPr>
        <w:t>composition</w:t>
      </w:r>
      <w:r w:rsidR="00134D57" w:rsidRPr="00E63E1C">
        <w:rPr>
          <w:lang w:val="en-GB"/>
        </w:rPr>
        <w:t xml:space="preserve">. </w:t>
      </w:r>
    </w:p>
    <w:p w:rsidR="009C15CA" w:rsidRPr="00E63E1C" w:rsidRDefault="00550AE2" w:rsidP="00B52653">
      <w:pPr>
        <w:spacing w:after="120" w:line="360" w:lineRule="auto"/>
        <w:ind w:firstLine="720"/>
        <w:jc w:val="both"/>
        <w:rPr>
          <w:lang w:val="en-GB"/>
        </w:rPr>
      </w:pPr>
      <w:r w:rsidRPr="004B7BCA">
        <w:rPr>
          <w:lang w:val="en-GB"/>
        </w:rPr>
        <w:t>A</w:t>
      </w:r>
      <w:r w:rsidR="005F372C" w:rsidRPr="004B7BCA">
        <w:rPr>
          <w:lang w:val="en-GB"/>
        </w:rPr>
        <w:t>utotrophic plankton is the main lipid source in the oceans (Gašparović et al</w:t>
      </w:r>
      <w:r w:rsidR="00096379" w:rsidRPr="004B7BCA">
        <w:rPr>
          <w:lang w:val="en-GB"/>
        </w:rPr>
        <w:t>.</w:t>
      </w:r>
      <w:r w:rsidR="005F372C" w:rsidRPr="004B7BCA">
        <w:rPr>
          <w:lang w:val="en-GB"/>
        </w:rPr>
        <w:t>, 2014).</w:t>
      </w:r>
      <w:r w:rsidR="005F372C" w:rsidRPr="00E63E1C">
        <w:rPr>
          <w:lang w:val="en-GB"/>
        </w:rPr>
        <w:t xml:space="preserve"> </w:t>
      </w:r>
      <w:r w:rsidR="000E14C0" w:rsidRPr="00E63E1C">
        <w:rPr>
          <w:lang w:val="en-GB"/>
        </w:rPr>
        <w:t xml:space="preserve">The </w:t>
      </w:r>
      <w:r w:rsidR="001F2455">
        <w:rPr>
          <w:lang w:val="en-GB"/>
        </w:rPr>
        <w:t xml:space="preserve">lipid </w:t>
      </w:r>
      <w:r w:rsidR="000E14C0" w:rsidRPr="00E63E1C">
        <w:rPr>
          <w:lang w:val="en-GB"/>
        </w:rPr>
        <w:t>content of phy</w:t>
      </w:r>
      <w:r w:rsidR="009C15CA" w:rsidRPr="00E63E1C">
        <w:rPr>
          <w:lang w:val="en-GB"/>
        </w:rPr>
        <w:t>toplankton cells ranges from ≤1% to 46</w:t>
      </w:r>
      <w:r w:rsidR="000E14C0" w:rsidRPr="00E63E1C">
        <w:rPr>
          <w:lang w:val="en-GB"/>
        </w:rPr>
        <w:t>% of dry weight (Romankevich, 1984)</w:t>
      </w:r>
      <w:r w:rsidR="00FE0BDC" w:rsidRPr="00E63E1C">
        <w:rPr>
          <w:lang w:val="en-GB"/>
        </w:rPr>
        <w:t xml:space="preserve">. </w:t>
      </w:r>
      <w:r w:rsidR="001F2455">
        <w:rPr>
          <w:lang w:val="en-GB"/>
        </w:rPr>
        <w:t>P</w:t>
      </w:r>
      <w:r w:rsidR="00A101E1" w:rsidRPr="00E63E1C">
        <w:rPr>
          <w:lang w:val="en-GB"/>
        </w:rPr>
        <w:t xml:space="preserve">articulate organic matter </w:t>
      </w:r>
      <w:r w:rsidR="00FE0BDC" w:rsidRPr="00E63E1C">
        <w:rPr>
          <w:lang w:val="en-GB"/>
        </w:rPr>
        <w:t xml:space="preserve">(POM) </w:t>
      </w:r>
      <w:r w:rsidR="00B52653" w:rsidRPr="00E63E1C">
        <w:rPr>
          <w:lang w:val="en-GB"/>
        </w:rPr>
        <w:t>i</w:t>
      </w:r>
      <w:r w:rsidR="00A101E1" w:rsidRPr="00E63E1C">
        <w:rPr>
          <w:lang w:val="en-GB"/>
        </w:rPr>
        <w:t>n the Ross Sea ha</w:t>
      </w:r>
      <w:r w:rsidR="00B62BF1">
        <w:rPr>
          <w:lang w:val="en-GB"/>
        </w:rPr>
        <w:t>s</w:t>
      </w:r>
      <w:r w:rsidR="00A101E1" w:rsidRPr="00E63E1C">
        <w:rPr>
          <w:lang w:val="en-GB"/>
        </w:rPr>
        <w:t xml:space="preserve"> lipid, protein and carbohydrate contribution</w:t>
      </w:r>
      <w:r w:rsidR="001F2455">
        <w:rPr>
          <w:lang w:val="en-GB"/>
        </w:rPr>
        <w:t>s</w:t>
      </w:r>
      <w:r w:rsidR="00A101E1" w:rsidRPr="00E63E1C">
        <w:rPr>
          <w:lang w:val="en-GB"/>
        </w:rPr>
        <w:t xml:space="preserve"> to </w:t>
      </w:r>
      <w:r w:rsidR="00AF47CC" w:rsidRPr="00E63E1C">
        <w:rPr>
          <w:lang w:val="en-GB"/>
        </w:rPr>
        <w:t>particulate organic carbon (</w:t>
      </w:r>
      <w:r w:rsidR="00A101E1" w:rsidRPr="00E63E1C">
        <w:rPr>
          <w:lang w:val="en-GB"/>
        </w:rPr>
        <w:t>POC</w:t>
      </w:r>
      <w:r w:rsidR="00AF47CC" w:rsidRPr="00E63E1C">
        <w:rPr>
          <w:lang w:val="en-GB"/>
        </w:rPr>
        <w:t>)</w:t>
      </w:r>
      <w:r w:rsidR="00A101E1" w:rsidRPr="00E63E1C">
        <w:rPr>
          <w:lang w:val="en-GB"/>
        </w:rPr>
        <w:t xml:space="preserve"> in the photic layer </w:t>
      </w:r>
      <w:r w:rsidR="001F2455">
        <w:rPr>
          <w:lang w:val="en-GB"/>
        </w:rPr>
        <w:t>of</w:t>
      </w:r>
      <w:r w:rsidR="001F2455" w:rsidRPr="00E63E1C">
        <w:rPr>
          <w:lang w:val="en-GB"/>
        </w:rPr>
        <w:t xml:space="preserve"> </w:t>
      </w:r>
      <w:r w:rsidR="00A101E1" w:rsidRPr="00E63E1C">
        <w:rPr>
          <w:lang w:val="en-GB"/>
        </w:rPr>
        <w:t>7.4, 33.2 and 20%, respectively</w:t>
      </w:r>
      <w:r w:rsidR="004B7BCA">
        <w:rPr>
          <w:lang w:val="en-GB"/>
        </w:rPr>
        <w:t>.</w:t>
      </w:r>
      <w:r w:rsidR="00A101E1" w:rsidRPr="00E63E1C">
        <w:rPr>
          <w:lang w:val="en-GB"/>
        </w:rPr>
        <w:t xml:space="preserve"> </w:t>
      </w:r>
      <w:r w:rsidR="001F2455">
        <w:rPr>
          <w:lang w:val="en-GB"/>
        </w:rPr>
        <w:t>B</w:t>
      </w:r>
      <w:r w:rsidR="001F2455" w:rsidRPr="00E63E1C">
        <w:rPr>
          <w:lang w:val="en-GB"/>
        </w:rPr>
        <w:t>elow</w:t>
      </w:r>
      <w:r w:rsidR="001F2455">
        <w:rPr>
          <w:lang w:val="en-GB"/>
        </w:rPr>
        <w:t xml:space="preserve"> the</w:t>
      </w:r>
      <w:r w:rsidR="001F2455" w:rsidRPr="00E63E1C">
        <w:rPr>
          <w:lang w:val="en-GB"/>
        </w:rPr>
        <w:t xml:space="preserve"> </w:t>
      </w:r>
      <w:r w:rsidR="00A101E1" w:rsidRPr="00E63E1C">
        <w:rPr>
          <w:lang w:val="en-GB"/>
        </w:rPr>
        <w:t xml:space="preserve">photic layer </w:t>
      </w:r>
      <w:r w:rsidR="001F2455">
        <w:rPr>
          <w:lang w:val="en-GB"/>
        </w:rPr>
        <w:t>the lipid/protein/carbohydrate proportions are</w:t>
      </w:r>
      <w:r w:rsidR="001F2455" w:rsidRPr="00E63E1C">
        <w:rPr>
          <w:lang w:val="en-GB"/>
        </w:rPr>
        <w:t xml:space="preserve"> </w:t>
      </w:r>
      <w:r w:rsidR="00A101E1" w:rsidRPr="00E63E1C">
        <w:rPr>
          <w:lang w:val="en-GB"/>
        </w:rPr>
        <w:t xml:space="preserve">10.6, 18.5 and 26% (Fabiano et al., 1993). </w:t>
      </w:r>
      <w:r w:rsidR="00D0041C" w:rsidRPr="00E63E1C">
        <w:rPr>
          <w:lang w:val="en-GB"/>
        </w:rPr>
        <w:t xml:space="preserve">The average composition of lipids, carbohydrates, and proteins in the surface northern Chukchi Sea were 50, 35 and 15% for POM, respectively (Kim et al., 2015). </w:t>
      </w:r>
      <w:r w:rsidR="00DB02A8" w:rsidRPr="00E63E1C">
        <w:rPr>
          <w:lang w:val="en-GB"/>
        </w:rPr>
        <w:t>The average contribution of particulate lipids to POC in the Northern Adriatic range</w:t>
      </w:r>
      <w:r w:rsidR="002C048F">
        <w:rPr>
          <w:lang w:val="en-GB"/>
        </w:rPr>
        <w:t>s</w:t>
      </w:r>
      <w:r w:rsidR="00DB02A8" w:rsidRPr="00E63E1C">
        <w:rPr>
          <w:lang w:val="en-GB"/>
        </w:rPr>
        <w:t xml:space="preserve"> from 1</w:t>
      </w:r>
      <w:r w:rsidR="00B52653" w:rsidRPr="00E63E1C">
        <w:rPr>
          <w:lang w:val="en-GB"/>
        </w:rPr>
        <w:t>4</w:t>
      </w:r>
      <w:r w:rsidR="00DB02A8" w:rsidRPr="00E63E1C">
        <w:rPr>
          <w:lang w:val="en-GB"/>
        </w:rPr>
        <w:t xml:space="preserve"> to 38% (Frka et al., 2011</w:t>
      </w:r>
      <w:r w:rsidR="00B52653" w:rsidRPr="00E63E1C">
        <w:rPr>
          <w:lang w:val="en-GB"/>
        </w:rPr>
        <w:t>; Marić et al., 2013</w:t>
      </w:r>
      <w:r w:rsidR="00DB02A8" w:rsidRPr="00E63E1C">
        <w:rPr>
          <w:lang w:val="en-GB"/>
        </w:rPr>
        <w:t>)</w:t>
      </w:r>
      <w:r w:rsidR="00A101E1" w:rsidRPr="00E63E1C">
        <w:rPr>
          <w:lang w:val="en-GB"/>
        </w:rPr>
        <w:t>.</w:t>
      </w:r>
    </w:p>
    <w:p w:rsidR="000C2C78" w:rsidRPr="00E63E1C" w:rsidRDefault="000E14C0" w:rsidP="00704E5A">
      <w:pPr>
        <w:spacing w:after="120" w:line="360" w:lineRule="auto"/>
        <w:ind w:firstLine="720"/>
        <w:jc w:val="both"/>
        <w:rPr>
          <w:lang w:val="en-GB"/>
        </w:rPr>
      </w:pPr>
      <w:r w:rsidRPr="00E63E1C">
        <w:rPr>
          <w:lang w:val="en-GB"/>
        </w:rPr>
        <w:t>Lipids</w:t>
      </w:r>
      <w:r w:rsidR="005F372C" w:rsidRPr="00E63E1C">
        <w:rPr>
          <w:lang w:val="en-GB"/>
        </w:rPr>
        <w:t xml:space="preserve"> are carbon rich, with high </w:t>
      </w:r>
      <w:r w:rsidR="00F3504C" w:rsidRPr="00E63E1C">
        <w:rPr>
          <w:lang w:val="en-GB"/>
        </w:rPr>
        <w:t>energ</w:t>
      </w:r>
      <w:r w:rsidR="00F3504C">
        <w:rPr>
          <w:lang w:val="en-GB"/>
        </w:rPr>
        <w:t>y</w:t>
      </w:r>
      <w:r w:rsidR="00F3504C" w:rsidRPr="00E63E1C">
        <w:rPr>
          <w:lang w:val="en-GB"/>
        </w:rPr>
        <w:t xml:space="preserve"> </w:t>
      </w:r>
      <w:r w:rsidR="00F3504C">
        <w:rPr>
          <w:lang w:val="en-GB"/>
        </w:rPr>
        <w:t>content</w:t>
      </w:r>
      <w:r w:rsidR="005F372C" w:rsidRPr="00E63E1C">
        <w:rPr>
          <w:lang w:val="en-GB"/>
        </w:rPr>
        <w:t xml:space="preserve">, </w:t>
      </w:r>
      <w:r w:rsidR="00550AE2" w:rsidRPr="00E63E1C">
        <w:rPr>
          <w:lang w:val="en-GB"/>
        </w:rPr>
        <w:t xml:space="preserve">and </w:t>
      </w:r>
      <w:r w:rsidR="005F372C" w:rsidRPr="00E63E1C">
        <w:rPr>
          <w:lang w:val="en-GB"/>
        </w:rPr>
        <w:t xml:space="preserve">represent important metabolic fuels. </w:t>
      </w:r>
      <w:r w:rsidR="008E32C7" w:rsidRPr="00E63E1C">
        <w:rPr>
          <w:lang w:val="en-GB"/>
        </w:rPr>
        <w:t>They</w:t>
      </w:r>
      <w:r w:rsidR="005F372C" w:rsidRPr="00E63E1C">
        <w:rPr>
          <w:lang w:val="en-GB"/>
        </w:rPr>
        <w:t xml:space="preserve"> differ to a substantial degree in chemical </w:t>
      </w:r>
      <w:r w:rsidR="00C77C76" w:rsidRPr="00E63E1C">
        <w:rPr>
          <w:lang w:val="en-GB"/>
        </w:rPr>
        <w:t xml:space="preserve">structure and </w:t>
      </w:r>
      <w:r w:rsidR="00550AE2" w:rsidRPr="00E63E1C">
        <w:rPr>
          <w:lang w:val="en-GB"/>
        </w:rPr>
        <w:t>functionality</w:t>
      </w:r>
      <w:r w:rsidR="005F372C" w:rsidRPr="00E63E1C">
        <w:rPr>
          <w:lang w:val="en-GB"/>
        </w:rPr>
        <w:t>. T</w:t>
      </w:r>
      <w:r w:rsidR="00900295" w:rsidRPr="00E63E1C">
        <w:rPr>
          <w:lang w:val="en-GB"/>
        </w:rPr>
        <w:t>h</w:t>
      </w:r>
      <w:r w:rsidR="005F372C" w:rsidRPr="00E63E1C">
        <w:rPr>
          <w:lang w:val="en-GB"/>
        </w:rPr>
        <w:t xml:space="preserve">ere is </w:t>
      </w:r>
      <w:r w:rsidR="00B16B3C" w:rsidRPr="00E63E1C">
        <w:rPr>
          <w:lang w:val="en-GB"/>
        </w:rPr>
        <w:t xml:space="preserve">a </w:t>
      </w:r>
      <w:r w:rsidR="00BB706A" w:rsidRPr="00E63E1C">
        <w:rPr>
          <w:lang w:val="en-GB"/>
        </w:rPr>
        <w:t xml:space="preserve">variety of different lipids in </w:t>
      </w:r>
      <w:r w:rsidR="005C431B" w:rsidRPr="00E63E1C">
        <w:rPr>
          <w:lang w:val="en-GB"/>
        </w:rPr>
        <w:t xml:space="preserve">the </w:t>
      </w:r>
      <w:r w:rsidR="00BB706A" w:rsidRPr="00E63E1C">
        <w:rPr>
          <w:lang w:val="en-GB"/>
        </w:rPr>
        <w:t>marine water column attesting to the diversity of biosynthetic pathways employed by</w:t>
      </w:r>
      <w:r w:rsidR="008E32C7" w:rsidRPr="00E63E1C">
        <w:rPr>
          <w:lang w:val="en-GB"/>
        </w:rPr>
        <w:t xml:space="preserve"> </w:t>
      </w:r>
      <w:r w:rsidR="00BB706A" w:rsidRPr="00E63E1C">
        <w:rPr>
          <w:lang w:val="en-GB"/>
        </w:rPr>
        <w:t xml:space="preserve">aquatic organisms. </w:t>
      </w:r>
      <w:r w:rsidR="008F2C6B" w:rsidRPr="00E63E1C">
        <w:rPr>
          <w:lang w:val="en-GB"/>
        </w:rPr>
        <w:t xml:space="preserve">Wax esters </w:t>
      </w:r>
      <w:r w:rsidR="00D262BA" w:rsidRPr="00E63E1C">
        <w:rPr>
          <w:lang w:val="en-GB"/>
        </w:rPr>
        <w:t xml:space="preserve">(WE) </w:t>
      </w:r>
      <w:r w:rsidR="008F2C6B" w:rsidRPr="00E63E1C">
        <w:rPr>
          <w:lang w:val="en-GB"/>
        </w:rPr>
        <w:t>are major neutral lipids in some zooplankton species (Kattner, 1989) and in their detritus and f</w:t>
      </w:r>
      <w:r w:rsidR="00962FD3">
        <w:rPr>
          <w:lang w:val="en-GB"/>
        </w:rPr>
        <w:t>a</w:t>
      </w:r>
      <w:r w:rsidR="008F2C6B" w:rsidRPr="00E63E1C">
        <w:rPr>
          <w:lang w:val="en-GB"/>
        </w:rPr>
        <w:t>ecal pellets (Wakeham et al., 1984). Fatty a</w:t>
      </w:r>
      <w:r w:rsidR="008F2C6B" w:rsidRPr="00E63E1C">
        <w:rPr>
          <w:rFonts w:eastAsia="AdvTimes"/>
          <w:lang w:val="en-GB"/>
        </w:rPr>
        <w:t xml:space="preserve">lcohols </w:t>
      </w:r>
      <w:r w:rsidR="00D262BA" w:rsidRPr="00E63E1C">
        <w:rPr>
          <w:rFonts w:eastAsia="AdvTimes"/>
          <w:lang w:val="en-GB"/>
        </w:rPr>
        <w:t xml:space="preserve">(ALC) </w:t>
      </w:r>
      <w:r w:rsidR="008F2C6B" w:rsidRPr="00E63E1C">
        <w:rPr>
          <w:rFonts w:eastAsia="AdvTimes"/>
          <w:lang w:val="en-GB"/>
        </w:rPr>
        <w:t xml:space="preserve">mainly originate from zooplankton wax esters. </w:t>
      </w:r>
      <w:r w:rsidR="008F2C6B" w:rsidRPr="00E63E1C">
        <w:rPr>
          <w:lang w:val="en-GB"/>
        </w:rPr>
        <w:t>Polar lipids, i.e. p</w:t>
      </w:r>
      <w:r w:rsidR="00900295" w:rsidRPr="00E63E1C">
        <w:rPr>
          <w:lang w:val="en-GB"/>
        </w:rPr>
        <w:t>h</w:t>
      </w:r>
      <w:r w:rsidR="008F2C6B" w:rsidRPr="00E63E1C">
        <w:rPr>
          <w:lang w:val="en-GB"/>
        </w:rPr>
        <w:t>ospholipids (phosphatidylglycerols, phosphatidylethanolamines, phosphatidylcholine</w:t>
      </w:r>
      <w:r w:rsidR="00096379" w:rsidRPr="00E63E1C">
        <w:rPr>
          <w:lang w:val="en-GB"/>
        </w:rPr>
        <w:t>s</w:t>
      </w:r>
      <w:r w:rsidR="008F2C6B" w:rsidRPr="00E63E1C">
        <w:rPr>
          <w:lang w:val="en-GB"/>
        </w:rPr>
        <w:t xml:space="preserve">), and glycolipids </w:t>
      </w:r>
      <w:r w:rsidR="008F2C6B" w:rsidRPr="00E63E1C">
        <w:rPr>
          <w:lang w:val="en-GB"/>
        </w:rPr>
        <w:lastRenderedPageBreak/>
        <w:t>(sulfoquinovosyldiacylglycerols,</w:t>
      </w:r>
      <w:r w:rsidR="00C42290" w:rsidRPr="00E63E1C">
        <w:rPr>
          <w:lang w:val="en-GB"/>
        </w:rPr>
        <w:t xml:space="preserve"> </w:t>
      </w:r>
      <w:r w:rsidR="008F2C6B" w:rsidRPr="00E63E1C">
        <w:rPr>
          <w:lang w:val="en-GB"/>
        </w:rPr>
        <w:t xml:space="preserve">monogalactosyldiacylglycerols, digalactosyldiacylglycerols) are biomembrane structure components and reveal the organic matter associated with living organisms (Derieux et al., 1998). </w:t>
      </w:r>
      <w:r w:rsidR="008A19C4" w:rsidRPr="00E63E1C">
        <w:rPr>
          <w:lang w:val="en-GB"/>
        </w:rPr>
        <w:t>Tri</w:t>
      </w:r>
      <w:r w:rsidR="00AE2D1B" w:rsidRPr="00E63E1C">
        <w:rPr>
          <w:lang w:val="en-GB"/>
        </w:rPr>
        <w:t>acylglycerol</w:t>
      </w:r>
      <w:r w:rsidR="008A19C4" w:rsidRPr="00E63E1C">
        <w:rPr>
          <w:lang w:val="en-GB"/>
        </w:rPr>
        <w:t>s (TG) are storage lipids in many phytoplankton species. The fatty acid amount and composition is dependent on both the growth conditions and the physiological state</w:t>
      </w:r>
      <w:r w:rsidR="008E32C7" w:rsidRPr="00E63E1C">
        <w:rPr>
          <w:lang w:val="en-GB"/>
        </w:rPr>
        <w:t xml:space="preserve"> (Volkman, 2006)</w:t>
      </w:r>
      <w:r w:rsidR="008A19C4" w:rsidRPr="00E63E1C">
        <w:rPr>
          <w:lang w:val="en-GB"/>
        </w:rPr>
        <w:t xml:space="preserve">. </w:t>
      </w:r>
      <w:r w:rsidR="00DB5B21" w:rsidRPr="00E63E1C">
        <w:rPr>
          <w:lang w:val="en-GB"/>
        </w:rPr>
        <w:t>The level of TG accumulation is variable, from ~2% to 77% and may be stimulated by a number of environmental factors. Nitrogen deprivation has a major impact on TG synthesis, and many algae show a two to three</w:t>
      </w:r>
      <w:r w:rsidR="00B16B3C" w:rsidRPr="00E63E1C">
        <w:rPr>
          <w:lang w:val="en-GB"/>
        </w:rPr>
        <w:t>-</w:t>
      </w:r>
      <w:r w:rsidR="00DB5B21" w:rsidRPr="00E63E1C">
        <w:rPr>
          <w:lang w:val="en-GB"/>
        </w:rPr>
        <w:t>fold increase in lipid content, predominantly TG, under nitrogen limitation (Thompson</w:t>
      </w:r>
      <w:r w:rsidR="0029169D" w:rsidRPr="00E63E1C">
        <w:rPr>
          <w:lang w:val="en-GB"/>
        </w:rPr>
        <w:t>,</w:t>
      </w:r>
      <w:r w:rsidR="00C42290" w:rsidRPr="00E63E1C">
        <w:rPr>
          <w:lang w:val="en-GB"/>
        </w:rPr>
        <w:t xml:space="preserve"> </w:t>
      </w:r>
      <w:r w:rsidR="008E32C7" w:rsidRPr="00E63E1C">
        <w:rPr>
          <w:lang w:val="en-GB"/>
        </w:rPr>
        <w:t>1996)</w:t>
      </w:r>
      <w:r w:rsidR="00DB5B21" w:rsidRPr="00E63E1C">
        <w:rPr>
          <w:lang w:val="en-GB"/>
        </w:rPr>
        <w:t xml:space="preserve">. Algal TG are generally characterized by saturated and monounsaturated fatty acids. However, some species have demonstrated a capacity to accumulate high levels of long chain polyunsaturated fatty acids in TG (Guschina and Harwood, 2009). </w:t>
      </w:r>
      <w:r w:rsidR="008A19C4" w:rsidRPr="00E63E1C">
        <w:rPr>
          <w:lang w:val="en-GB"/>
        </w:rPr>
        <w:t>Diacyl</w:t>
      </w:r>
      <w:r w:rsidR="00AE2D1B" w:rsidRPr="00E63E1C">
        <w:rPr>
          <w:lang w:val="en-GB"/>
        </w:rPr>
        <w:t>acylglycerol</w:t>
      </w:r>
      <w:r w:rsidR="008A19C4" w:rsidRPr="00E63E1C">
        <w:rPr>
          <w:lang w:val="en-GB"/>
        </w:rPr>
        <w:t>s (DG), monoacyl</w:t>
      </w:r>
      <w:r w:rsidR="00AE2D1B" w:rsidRPr="00E63E1C">
        <w:rPr>
          <w:lang w:val="en-GB"/>
        </w:rPr>
        <w:t>acylglycerol</w:t>
      </w:r>
      <w:r w:rsidR="008A19C4" w:rsidRPr="00E63E1C">
        <w:rPr>
          <w:lang w:val="en-GB"/>
        </w:rPr>
        <w:t xml:space="preserve">s (MG) and free fatty acids (FFA) are </w:t>
      </w:r>
      <w:r w:rsidR="00AE2D1B" w:rsidRPr="00E63E1C">
        <w:rPr>
          <w:lang w:val="en-GB"/>
        </w:rPr>
        <w:t>acylglycerol</w:t>
      </w:r>
      <w:r w:rsidR="008A19C4" w:rsidRPr="00E63E1C">
        <w:rPr>
          <w:lang w:val="en-GB"/>
        </w:rPr>
        <w:t xml:space="preserve"> breakdown products and characterize degradation level </w:t>
      </w:r>
      <w:r w:rsidR="008A19C4" w:rsidRPr="00E63E1C">
        <w:rPr>
          <w:rFonts w:eastAsia="AdvTimes"/>
          <w:lang w:val="en-GB"/>
        </w:rPr>
        <w:t>(Parrish, 1988; Goutx et al., 2003)</w:t>
      </w:r>
      <w:r w:rsidR="008A19C4" w:rsidRPr="00E63E1C">
        <w:rPr>
          <w:lang w:val="en-GB"/>
        </w:rPr>
        <w:t xml:space="preserve">. </w:t>
      </w:r>
      <w:r w:rsidR="00580442" w:rsidRPr="00E63E1C">
        <w:rPr>
          <w:rFonts w:eastAsia="AdvTimes"/>
          <w:lang w:val="en-GB"/>
        </w:rPr>
        <w:t>The l</w:t>
      </w:r>
      <w:r w:rsidR="002A67CB" w:rsidRPr="00E63E1C">
        <w:rPr>
          <w:rFonts w:eastAsia="AdvTimes"/>
          <w:lang w:val="en-GB"/>
        </w:rPr>
        <w:t xml:space="preserve">ipolysis index (LI) can be used as a measure of lipid degradation in sea water </w:t>
      </w:r>
      <w:r w:rsidR="008A19C4" w:rsidRPr="00E63E1C">
        <w:rPr>
          <w:rFonts w:eastAsia="AdvTimes"/>
          <w:lang w:val="en-GB"/>
        </w:rPr>
        <w:t xml:space="preserve">(Goutx et al., 2003). </w:t>
      </w:r>
      <w:r w:rsidR="005F372C" w:rsidRPr="00E63E1C">
        <w:rPr>
          <w:lang w:val="en-GB"/>
        </w:rPr>
        <w:t xml:space="preserve">Different </w:t>
      </w:r>
      <w:r w:rsidR="00580442" w:rsidRPr="00E63E1C">
        <w:rPr>
          <w:lang w:val="en-GB"/>
        </w:rPr>
        <w:t xml:space="preserve">lipid </w:t>
      </w:r>
      <w:r w:rsidR="005F372C" w:rsidRPr="00E63E1C">
        <w:rPr>
          <w:lang w:val="en-GB"/>
        </w:rPr>
        <w:t>molecular structures influence reactivity</w:t>
      </w:r>
      <w:r w:rsidR="00C71715" w:rsidRPr="00E63E1C">
        <w:rPr>
          <w:lang w:val="en-GB"/>
        </w:rPr>
        <w:t xml:space="preserve"> and </w:t>
      </w:r>
      <w:r w:rsidR="00580442" w:rsidRPr="00E63E1C">
        <w:rPr>
          <w:lang w:val="en-GB"/>
        </w:rPr>
        <w:t xml:space="preserve">thus </w:t>
      </w:r>
      <w:r w:rsidR="00C71715" w:rsidRPr="00E63E1C">
        <w:rPr>
          <w:lang w:val="en-GB"/>
        </w:rPr>
        <w:t>preservation potential</w:t>
      </w:r>
      <w:r w:rsidR="005F372C" w:rsidRPr="00E63E1C">
        <w:rPr>
          <w:lang w:val="en-GB"/>
        </w:rPr>
        <w:t>.</w:t>
      </w:r>
      <w:r w:rsidRPr="00E63E1C">
        <w:rPr>
          <w:lang w:val="en-GB"/>
        </w:rPr>
        <w:t xml:space="preserve"> However, molecular structure is not the only factor </w:t>
      </w:r>
      <w:r w:rsidR="007C7F3D" w:rsidRPr="00E63E1C">
        <w:rPr>
          <w:lang w:val="en-GB"/>
        </w:rPr>
        <w:t xml:space="preserve">that </w:t>
      </w:r>
      <w:r w:rsidR="000D0CEC" w:rsidRPr="00E63E1C">
        <w:rPr>
          <w:lang w:val="en-GB"/>
        </w:rPr>
        <w:t>affects t</w:t>
      </w:r>
      <w:r w:rsidRPr="00E63E1C">
        <w:rPr>
          <w:lang w:val="en-GB"/>
        </w:rPr>
        <w:t xml:space="preserve"> OM reactivity, </w:t>
      </w:r>
      <w:r w:rsidR="002A67CB" w:rsidRPr="00E63E1C">
        <w:rPr>
          <w:lang w:val="en-GB"/>
        </w:rPr>
        <w:t xml:space="preserve">as it also </w:t>
      </w:r>
      <w:r w:rsidRPr="00E63E1C">
        <w:rPr>
          <w:lang w:val="en-GB"/>
        </w:rPr>
        <w:t>depends on environmental conditions (Wakeham and Canuel, 2006).</w:t>
      </w:r>
      <w:r w:rsidR="00F82BCC" w:rsidRPr="00E63E1C">
        <w:rPr>
          <w:lang w:val="en-GB"/>
        </w:rPr>
        <w:t xml:space="preserve"> </w:t>
      </w:r>
    </w:p>
    <w:p w:rsidR="00704E5A" w:rsidRPr="00E63E1C" w:rsidRDefault="00550AE2" w:rsidP="00704E5A">
      <w:pPr>
        <w:spacing w:after="120" w:line="360" w:lineRule="auto"/>
        <w:ind w:firstLine="720"/>
        <w:jc w:val="both"/>
        <w:rPr>
          <w:lang w:val="en-GB"/>
        </w:rPr>
      </w:pPr>
      <w:r w:rsidRPr="00E63E1C">
        <w:rPr>
          <w:lang w:val="en-GB"/>
        </w:rPr>
        <w:t>Lipid</w:t>
      </w:r>
      <w:r w:rsidR="00F82BCC" w:rsidRPr="00E63E1C">
        <w:rPr>
          <w:lang w:val="en-GB"/>
        </w:rPr>
        <w:t xml:space="preserve"> cycling in the equatorial Pacific </w:t>
      </w:r>
      <w:r w:rsidRPr="00E63E1C">
        <w:rPr>
          <w:lang w:val="en-GB"/>
        </w:rPr>
        <w:t xml:space="preserve">has </w:t>
      </w:r>
      <w:r w:rsidR="00F82BCC" w:rsidRPr="00E63E1C">
        <w:rPr>
          <w:lang w:val="en-GB"/>
        </w:rPr>
        <w:t xml:space="preserve">shown that fatty  acids  </w:t>
      </w:r>
      <w:r w:rsidRPr="00E63E1C">
        <w:rPr>
          <w:lang w:val="en-GB"/>
        </w:rPr>
        <w:t>are</w:t>
      </w:r>
      <w:r w:rsidR="00F82BCC" w:rsidRPr="00E63E1C">
        <w:rPr>
          <w:lang w:val="en-GB"/>
        </w:rPr>
        <w:t xml:space="preserve">  labile compounds,  with  polyunsaturated  fatty  acids  being quickly  lost  from  particles. Bacterial branched-chain  C</w:t>
      </w:r>
      <w:r w:rsidR="00F82BCC" w:rsidRPr="00E63E1C">
        <w:rPr>
          <w:vertAlign w:val="subscript"/>
          <w:lang w:val="en-GB"/>
        </w:rPr>
        <w:t>15</w:t>
      </w:r>
      <w:r w:rsidR="00F82BCC" w:rsidRPr="00E63E1C">
        <w:rPr>
          <w:lang w:val="en-GB"/>
        </w:rPr>
        <w:t xml:space="preserve">  and  C</w:t>
      </w:r>
      <w:r w:rsidR="00F82BCC" w:rsidRPr="00E63E1C">
        <w:rPr>
          <w:vertAlign w:val="subscript"/>
          <w:lang w:val="en-GB"/>
        </w:rPr>
        <w:t xml:space="preserve">17 </w:t>
      </w:r>
      <w:r w:rsidR="00F82BCC" w:rsidRPr="00E63E1C">
        <w:rPr>
          <w:lang w:val="en-GB"/>
        </w:rPr>
        <w:t xml:space="preserve"> fatty  acids  increase  in  relative  abundance  as  particulate  matter  </w:t>
      </w:r>
      <w:r w:rsidR="0088534F" w:rsidRPr="00E63E1C">
        <w:rPr>
          <w:lang w:val="en-GB"/>
        </w:rPr>
        <w:t>s</w:t>
      </w:r>
      <w:r w:rsidR="0088534F">
        <w:rPr>
          <w:lang w:val="en-GB"/>
        </w:rPr>
        <w:t>inks</w:t>
      </w:r>
      <w:r w:rsidR="00F82BCC" w:rsidRPr="00E63E1C">
        <w:rPr>
          <w:lang w:val="en-GB"/>
        </w:rPr>
        <w:t>.  Long-chain  C</w:t>
      </w:r>
      <w:r w:rsidR="00F82BCC" w:rsidRPr="00E63E1C">
        <w:rPr>
          <w:vertAlign w:val="subscript"/>
          <w:lang w:val="en-GB"/>
        </w:rPr>
        <w:t>37</w:t>
      </w:r>
      <w:r w:rsidR="00F82BCC" w:rsidRPr="00E63E1C">
        <w:rPr>
          <w:lang w:val="en-GB"/>
        </w:rPr>
        <w:t>-C</w:t>
      </w:r>
      <w:r w:rsidR="00F82BCC" w:rsidRPr="00E63E1C">
        <w:rPr>
          <w:vertAlign w:val="subscript"/>
          <w:lang w:val="en-GB"/>
        </w:rPr>
        <w:t>39</w:t>
      </w:r>
      <w:r w:rsidR="00F82BCC" w:rsidRPr="00E63E1C">
        <w:rPr>
          <w:lang w:val="en-GB"/>
        </w:rPr>
        <w:t xml:space="preserve">  alkenones  of  marine  origin  and  long-chain  C</w:t>
      </w:r>
      <w:r w:rsidR="00F82BCC" w:rsidRPr="00E63E1C">
        <w:rPr>
          <w:vertAlign w:val="subscript"/>
          <w:lang w:val="en-GB"/>
        </w:rPr>
        <w:t>20</w:t>
      </w:r>
      <w:r w:rsidR="00F82BCC" w:rsidRPr="00E63E1C">
        <w:rPr>
          <w:lang w:val="en-GB"/>
        </w:rPr>
        <w:t>-C</w:t>
      </w:r>
      <w:r w:rsidR="00F82BCC" w:rsidRPr="00E63E1C">
        <w:rPr>
          <w:vertAlign w:val="subscript"/>
          <w:lang w:val="en-GB"/>
        </w:rPr>
        <w:t>30</w:t>
      </w:r>
      <w:r w:rsidR="00F82BCC" w:rsidRPr="00E63E1C">
        <w:rPr>
          <w:lang w:val="en-GB"/>
        </w:rPr>
        <w:t xml:space="preserve"> fatty  acids,  alcohols  and  hydrocarbons derived  from  land  plants  </w:t>
      </w:r>
      <w:r w:rsidR="0088534F">
        <w:rPr>
          <w:lang w:val="en-GB"/>
        </w:rPr>
        <w:t>are</w:t>
      </w:r>
      <w:r w:rsidR="00F82BCC" w:rsidRPr="00E63E1C">
        <w:rPr>
          <w:lang w:val="en-GB"/>
        </w:rPr>
        <w:t xml:space="preserve">selectively  preserved  in  sediment (Wakeham et al., 1997).  </w:t>
      </w:r>
      <w:r w:rsidR="001D101C" w:rsidRPr="00E63E1C">
        <w:rPr>
          <w:lang w:val="en-GB"/>
        </w:rPr>
        <w:t xml:space="preserve">Loh et al. (2008) detected accumulations of fatty alcohols compared to other particulate organic matter components throughout the water column. </w:t>
      </w:r>
      <w:r w:rsidR="00AF0EF2" w:rsidRPr="00E63E1C">
        <w:rPr>
          <w:lang w:val="en-GB"/>
        </w:rPr>
        <w:t xml:space="preserve">However, </w:t>
      </w:r>
      <w:r w:rsidR="00741310" w:rsidRPr="00E63E1C">
        <w:rPr>
          <w:lang w:val="en-GB"/>
        </w:rPr>
        <w:t xml:space="preserve">organic chemical compositions of sinking particles </w:t>
      </w:r>
      <w:r w:rsidR="00864687" w:rsidRPr="00E63E1C">
        <w:rPr>
          <w:lang w:val="en-GB"/>
        </w:rPr>
        <w:t>vary</w:t>
      </w:r>
      <w:r w:rsidR="00741310" w:rsidRPr="00E63E1C">
        <w:rPr>
          <w:lang w:val="en-GB"/>
        </w:rPr>
        <w:t xml:space="preserve"> as a function of </w:t>
      </w:r>
      <w:r w:rsidR="00AF0EF2" w:rsidRPr="00E63E1C">
        <w:rPr>
          <w:i/>
          <w:iCs/>
          <w:lang w:val="en-GB"/>
        </w:rPr>
        <w:t xml:space="preserve">in </w:t>
      </w:r>
      <w:r w:rsidR="00741310" w:rsidRPr="00E63E1C">
        <w:rPr>
          <w:i/>
          <w:iCs/>
          <w:lang w:val="en-GB"/>
        </w:rPr>
        <w:t>situ</w:t>
      </w:r>
      <w:r w:rsidR="00741310" w:rsidRPr="00E63E1C">
        <w:rPr>
          <w:lang w:val="en-GB"/>
        </w:rPr>
        <w:t xml:space="preserve"> </w:t>
      </w:r>
      <w:r w:rsidR="0088534F">
        <w:rPr>
          <w:lang w:val="en-GB"/>
        </w:rPr>
        <w:t xml:space="preserve">particle </w:t>
      </w:r>
      <w:r w:rsidR="00741310" w:rsidRPr="00E63E1C">
        <w:rPr>
          <w:lang w:val="en-GB"/>
        </w:rPr>
        <w:t>settling velocity</w:t>
      </w:r>
      <w:r w:rsidR="00411857" w:rsidRPr="00E63E1C">
        <w:rPr>
          <w:lang w:val="en-GB"/>
        </w:rPr>
        <w:t xml:space="preserve"> (Wakeham et al., 2009</w:t>
      </w:r>
      <w:r w:rsidR="00411857" w:rsidRPr="00114C7E">
        <w:rPr>
          <w:lang w:val="en-GB"/>
        </w:rPr>
        <w:t>).</w:t>
      </w:r>
      <w:r w:rsidR="00824914" w:rsidRPr="00114C7E">
        <w:rPr>
          <w:lang w:val="en-GB"/>
        </w:rPr>
        <w:t xml:space="preserve"> </w:t>
      </w:r>
      <w:r w:rsidR="00704E5A" w:rsidRPr="004B7BCA">
        <w:rPr>
          <w:lang w:val="en-GB"/>
        </w:rPr>
        <w:t xml:space="preserve">The </w:t>
      </w:r>
      <w:r w:rsidR="00704E5A" w:rsidRPr="00E63E1C">
        <w:rPr>
          <w:lang w:val="en-GB"/>
        </w:rPr>
        <w:t xml:space="preserve">spatial and temporal variation in the organic composition of suspended particles in the equatorial Paciﬁc </w:t>
      </w:r>
      <w:r w:rsidR="00704E5A" w:rsidRPr="00114C7E">
        <w:rPr>
          <w:lang w:val="en-GB"/>
        </w:rPr>
        <w:t xml:space="preserve">Ocean </w:t>
      </w:r>
      <w:r w:rsidR="00704E5A" w:rsidRPr="004B7BCA">
        <w:rPr>
          <w:lang w:val="en-GB"/>
        </w:rPr>
        <w:t>have shown</w:t>
      </w:r>
      <w:r w:rsidR="00704E5A" w:rsidRPr="00114C7E">
        <w:rPr>
          <w:lang w:val="en-GB"/>
        </w:rPr>
        <w:t xml:space="preserve"> that surface</w:t>
      </w:r>
      <w:r w:rsidR="00704E5A" w:rsidRPr="00E63E1C">
        <w:rPr>
          <w:lang w:val="en-GB"/>
        </w:rPr>
        <w:t xml:space="preserve"> suspended particles (0–200</w:t>
      </w:r>
      <w:r w:rsidR="00FF3E0C" w:rsidRPr="00E63E1C">
        <w:rPr>
          <w:lang w:val="en-GB"/>
        </w:rPr>
        <w:t xml:space="preserve"> </w:t>
      </w:r>
      <w:r w:rsidR="00704E5A" w:rsidRPr="00E63E1C">
        <w:rPr>
          <w:lang w:val="en-GB"/>
        </w:rPr>
        <w:t>m) are similar in composition to surface ocean phytoplankton and are less degraded than particles sinking out of the euphotic zone (105m). Midwater suspended particles (200–1000 m) contain labile phytodetrital material derived from particles exiting the euphotic zone (105</w:t>
      </w:r>
      <w:r w:rsidR="00FF3E0C" w:rsidRPr="00E63E1C">
        <w:rPr>
          <w:lang w:val="en-GB"/>
        </w:rPr>
        <w:t xml:space="preserve"> </w:t>
      </w:r>
      <w:r w:rsidR="00704E5A" w:rsidRPr="00E63E1C">
        <w:rPr>
          <w:lang w:val="en-GB"/>
        </w:rPr>
        <w:t>m) (Sheridan et al., 2002).</w:t>
      </w:r>
    </w:p>
    <w:p w:rsidR="00824914" w:rsidRPr="00E63E1C" w:rsidRDefault="00824914" w:rsidP="00C1309C">
      <w:pPr>
        <w:spacing w:after="120" w:line="360" w:lineRule="auto"/>
        <w:ind w:firstLine="720"/>
        <w:jc w:val="both"/>
        <w:rPr>
          <w:lang w:val="en-GB"/>
        </w:rPr>
      </w:pPr>
      <w:r w:rsidRPr="00E63E1C">
        <w:rPr>
          <w:lang w:val="en-GB"/>
        </w:rPr>
        <w:lastRenderedPageBreak/>
        <w:t xml:space="preserve">In </w:t>
      </w:r>
      <w:r w:rsidR="0056080A" w:rsidRPr="00E63E1C">
        <w:rPr>
          <w:lang w:val="en-GB"/>
        </w:rPr>
        <w:t xml:space="preserve">a </w:t>
      </w:r>
      <w:r w:rsidRPr="00E63E1C">
        <w:rPr>
          <w:lang w:val="en-GB"/>
        </w:rPr>
        <w:t>laboratory experiment</w:t>
      </w:r>
      <w:r w:rsidR="0056080A" w:rsidRPr="00E63E1C">
        <w:rPr>
          <w:lang w:val="en-GB"/>
        </w:rPr>
        <w:t>,</w:t>
      </w:r>
      <w:r w:rsidRPr="00E63E1C">
        <w:rPr>
          <w:lang w:val="en-GB"/>
        </w:rPr>
        <w:t xml:space="preserve"> Harvey et al. (1995) have shown large differences in decay rates among major biochemical classes (proteins, carbohydrates, and lipids), with carbohydrates utilized most rapidly, followed by protein</w:t>
      </w:r>
      <w:r w:rsidR="00FF3E0C" w:rsidRPr="00E63E1C">
        <w:rPr>
          <w:lang w:val="en-GB"/>
        </w:rPr>
        <w:t>s</w:t>
      </w:r>
      <w:r w:rsidRPr="00E63E1C">
        <w:rPr>
          <w:lang w:val="en-GB"/>
        </w:rPr>
        <w:t xml:space="preserve"> and then lipid</w:t>
      </w:r>
      <w:r w:rsidR="00FF3E0C" w:rsidRPr="00E63E1C">
        <w:rPr>
          <w:lang w:val="en-GB"/>
        </w:rPr>
        <w:t>s</w:t>
      </w:r>
      <w:r w:rsidRPr="00E63E1C">
        <w:rPr>
          <w:lang w:val="en-GB"/>
        </w:rPr>
        <w:t xml:space="preserve">. Turnover rate among particulate OM pools ranged from 10 days for carbohydrates under oxic conditions to over 160 days for lipids under anoxia, with oxygen having a substantial effect on overall rates of algal carbon decomposition. </w:t>
      </w:r>
      <w:r w:rsidR="00C1309C" w:rsidRPr="00E63E1C">
        <w:rPr>
          <w:lang w:val="en-GB"/>
        </w:rPr>
        <w:t xml:space="preserve">A general increase </w:t>
      </w:r>
      <w:r w:rsidR="00962FD3" w:rsidRPr="00E63E1C">
        <w:rPr>
          <w:lang w:val="en-GB"/>
        </w:rPr>
        <w:t xml:space="preserve">with depth </w:t>
      </w:r>
      <w:r w:rsidR="00C1309C" w:rsidRPr="00E63E1C">
        <w:rPr>
          <w:lang w:val="en-GB"/>
        </w:rPr>
        <w:t xml:space="preserve">in </w:t>
      </w:r>
      <w:r w:rsidR="00962FD3">
        <w:rPr>
          <w:lang w:val="en-GB"/>
        </w:rPr>
        <w:t>the</w:t>
      </w:r>
      <w:r w:rsidR="00C1309C" w:rsidRPr="00E63E1C">
        <w:rPr>
          <w:lang w:val="en-GB"/>
        </w:rPr>
        <w:t xml:space="preserve"> percentage of POC </w:t>
      </w:r>
      <w:r w:rsidR="00962FD3">
        <w:rPr>
          <w:lang w:val="en-GB"/>
        </w:rPr>
        <w:t xml:space="preserve">contributed by lipids </w:t>
      </w:r>
      <w:r w:rsidR="00C1309C" w:rsidRPr="00E63E1C">
        <w:rPr>
          <w:lang w:val="en-GB"/>
        </w:rPr>
        <w:t xml:space="preserve">was found in the Ross Sea indicating their selective preservation potential (Fabiano et al., 1993). </w:t>
      </w:r>
      <w:r w:rsidRPr="00E63E1C">
        <w:rPr>
          <w:lang w:val="en-GB"/>
        </w:rPr>
        <w:t xml:space="preserve">This indicates </w:t>
      </w:r>
      <w:r w:rsidR="00962FD3">
        <w:rPr>
          <w:lang w:val="en-GB"/>
        </w:rPr>
        <w:t xml:space="preserve">that </w:t>
      </w:r>
      <w:r w:rsidRPr="00E63E1C">
        <w:rPr>
          <w:lang w:val="en-GB"/>
        </w:rPr>
        <w:t xml:space="preserve">lipids </w:t>
      </w:r>
      <w:r w:rsidR="00962FD3">
        <w:rPr>
          <w:lang w:val="en-GB"/>
        </w:rPr>
        <w:t>are an</w:t>
      </w:r>
      <w:r w:rsidR="00962FD3" w:rsidRPr="00E63E1C">
        <w:rPr>
          <w:lang w:val="en-GB"/>
        </w:rPr>
        <w:t xml:space="preserve"> </w:t>
      </w:r>
      <w:r w:rsidRPr="00E63E1C">
        <w:rPr>
          <w:lang w:val="en-GB"/>
        </w:rPr>
        <w:t>important biochemical</w:t>
      </w:r>
      <w:r w:rsidR="00962FD3">
        <w:rPr>
          <w:lang w:val="en-GB"/>
        </w:rPr>
        <w:t xml:space="preserve"> group</w:t>
      </w:r>
      <w:r w:rsidRPr="00E63E1C">
        <w:rPr>
          <w:lang w:val="en-GB"/>
        </w:rPr>
        <w:t xml:space="preserve"> </w:t>
      </w:r>
      <w:r w:rsidR="00962FD3">
        <w:rPr>
          <w:lang w:val="en-GB"/>
        </w:rPr>
        <w:t>in the</w:t>
      </w:r>
      <w:r w:rsidRPr="00E63E1C">
        <w:rPr>
          <w:lang w:val="en-GB"/>
        </w:rPr>
        <w:t xml:space="preserve"> processing of OM. </w:t>
      </w:r>
      <w:r w:rsidR="00AF47CC" w:rsidRPr="00E63E1C">
        <w:rPr>
          <w:lang w:val="en-GB"/>
        </w:rPr>
        <w:t>In contrast</w:t>
      </w:r>
      <w:r w:rsidRPr="00E63E1C">
        <w:rPr>
          <w:lang w:val="en-GB"/>
        </w:rPr>
        <w:t>, Wakeham et al. (1997) found in the equatorial Pacific that lipids were, in general, selectively lost due to their greater reactivity relative to bulk organic</w:t>
      </w:r>
      <w:r w:rsidR="00733789" w:rsidRPr="00E63E1C">
        <w:rPr>
          <w:lang w:val="en-GB"/>
        </w:rPr>
        <w:t xml:space="preserve"> </w:t>
      </w:r>
      <w:r w:rsidRPr="00E63E1C">
        <w:rPr>
          <w:lang w:val="en-GB"/>
        </w:rPr>
        <w:t>matter</w:t>
      </w:r>
      <w:r w:rsidR="00733789" w:rsidRPr="00E63E1C">
        <w:rPr>
          <w:lang w:val="en-GB"/>
        </w:rPr>
        <w:t xml:space="preserve"> </w:t>
      </w:r>
      <w:r w:rsidRPr="00E63E1C">
        <w:rPr>
          <w:lang w:val="en-GB"/>
        </w:rPr>
        <w:t xml:space="preserve">toward biogeochemical degradation in the water column. </w:t>
      </w:r>
      <w:r w:rsidR="00C1309C" w:rsidRPr="00E63E1C">
        <w:rPr>
          <w:lang w:val="en-GB"/>
        </w:rPr>
        <w:t xml:space="preserve">Such difference in lipid diagenetic reactivity might be ascribed to the different composition of lipids that are produced at the surface layer </w:t>
      </w:r>
      <w:r w:rsidR="00962FD3">
        <w:rPr>
          <w:lang w:val="en-GB"/>
        </w:rPr>
        <w:t xml:space="preserve">with diverse levels of </w:t>
      </w:r>
      <w:r w:rsidR="002D746C">
        <w:rPr>
          <w:lang w:val="en-GB"/>
        </w:rPr>
        <w:t xml:space="preserve">reactivity </w:t>
      </w:r>
      <w:r w:rsidR="00C1309C" w:rsidRPr="00E63E1C">
        <w:rPr>
          <w:lang w:val="en-GB"/>
        </w:rPr>
        <w:t>(Wakeham et al., 1997).</w:t>
      </w:r>
    </w:p>
    <w:p w:rsidR="00D13B1C" w:rsidRPr="00E63E1C" w:rsidRDefault="00E16E98" w:rsidP="00F82BCC">
      <w:pPr>
        <w:spacing w:after="120" w:line="360" w:lineRule="auto"/>
        <w:ind w:firstLine="720"/>
        <w:jc w:val="both"/>
        <w:rPr>
          <w:lang w:val="en-GB"/>
        </w:rPr>
      </w:pPr>
      <w:r w:rsidRPr="00E63E1C">
        <w:rPr>
          <w:lang w:val="en-GB"/>
        </w:rPr>
        <w:t xml:space="preserve">There is </w:t>
      </w:r>
      <w:r w:rsidR="00535EC5" w:rsidRPr="00E63E1C">
        <w:rPr>
          <w:lang w:val="en-GB"/>
        </w:rPr>
        <w:t xml:space="preserve">a </w:t>
      </w:r>
      <w:r w:rsidRPr="00E63E1C">
        <w:rPr>
          <w:lang w:val="en-GB"/>
        </w:rPr>
        <w:t xml:space="preserve">need to understand ocean carbon cycles and the role of organic matter in the oceans </w:t>
      </w:r>
      <w:r w:rsidR="00962FD3">
        <w:rPr>
          <w:lang w:val="en-GB"/>
        </w:rPr>
        <w:t>particularly with regard</w:t>
      </w:r>
      <w:r w:rsidRPr="00E63E1C">
        <w:rPr>
          <w:lang w:val="en-GB"/>
        </w:rPr>
        <w:t xml:space="preserve"> to their capacity to sequester carbon from the atmosphere. A crucial process in this is the generation of carbon-rich sinking material in the upper ocean. </w:t>
      </w:r>
      <w:r w:rsidR="00206B73" w:rsidRPr="00E63E1C">
        <w:rPr>
          <w:lang w:val="en-GB"/>
        </w:rPr>
        <w:t xml:space="preserve">Despite interest and continuous improvement of analytical approaches for molecular-level OM characterization, </w:t>
      </w:r>
      <w:r w:rsidR="00FB4ED5" w:rsidRPr="00E63E1C">
        <w:rPr>
          <w:lang w:val="en-GB"/>
        </w:rPr>
        <w:t xml:space="preserve">a </w:t>
      </w:r>
      <w:r w:rsidR="00206B73" w:rsidRPr="00E63E1C">
        <w:rPr>
          <w:lang w:val="en-GB"/>
        </w:rPr>
        <w:t xml:space="preserve">large fraction of oceanic OM is </w:t>
      </w:r>
      <w:r w:rsidR="005C431B" w:rsidRPr="00E63E1C">
        <w:rPr>
          <w:lang w:val="en-GB"/>
        </w:rPr>
        <w:t xml:space="preserve">still </w:t>
      </w:r>
      <w:r w:rsidR="00206B73" w:rsidRPr="00E63E1C">
        <w:rPr>
          <w:lang w:val="en-GB"/>
        </w:rPr>
        <w:t xml:space="preserve">not characterized; the proportion of the uncharacterized fraction increases with </w:t>
      </w:r>
      <w:r w:rsidR="00206B73" w:rsidRPr="004B7BCA">
        <w:rPr>
          <w:lang w:val="en-GB"/>
        </w:rPr>
        <w:t xml:space="preserve">depth, contributing 70-80% in the deep ocean (Lee et al., 2004). </w:t>
      </w:r>
      <w:r w:rsidR="000D736E" w:rsidRPr="004B7BCA">
        <w:rPr>
          <w:lang w:val="en-GB"/>
        </w:rPr>
        <w:t>We employ uniquely powerful mass spectrometry, FT-ICR MS, which provides both</w:t>
      </w:r>
      <w:r w:rsidR="00580442" w:rsidRPr="004B7BCA">
        <w:rPr>
          <w:lang w:val="en-GB"/>
        </w:rPr>
        <w:t xml:space="preserve"> high</w:t>
      </w:r>
      <w:r w:rsidR="00535EC5" w:rsidRPr="004B7BCA">
        <w:rPr>
          <w:lang w:val="en-GB"/>
        </w:rPr>
        <w:t xml:space="preserve"> mass resolving power and sub-</w:t>
      </w:r>
      <w:r w:rsidR="000D736E" w:rsidRPr="004B7BCA">
        <w:rPr>
          <w:lang w:val="en-GB"/>
        </w:rPr>
        <w:t xml:space="preserve">part-per-million </w:t>
      </w:r>
      <w:r w:rsidR="00535EC5" w:rsidRPr="004B7BCA">
        <w:rPr>
          <w:lang w:val="en-GB"/>
        </w:rPr>
        <w:t xml:space="preserve">mass </w:t>
      </w:r>
      <w:r w:rsidR="000D736E" w:rsidRPr="004B7BCA">
        <w:rPr>
          <w:lang w:val="en-GB"/>
        </w:rPr>
        <w:t xml:space="preserve">measurement </w:t>
      </w:r>
      <w:r w:rsidR="00535EC5" w:rsidRPr="004B7BCA">
        <w:rPr>
          <w:lang w:val="en-GB"/>
        </w:rPr>
        <w:t xml:space="preserve">accuracy </w:t>
      </w:r>
      <w:r w:rsidR="000D736E" w:rsidRPr="004B7BCA">
        <w:rPr>
          <w:lang w:val="en-GB"/>
        </w:rPr>
        <w:t>(a feature that allows elemental composition to be determined directly and unambiguously from measured mass to charge ratio for these analyses). With this approach, we identify</w:t>
      </w:r>
      <w:r w:rsidR="00535EC5" w:rsidRPr="004B7BCA">
        <w:rPr>
          <w:lang w:val="en-GB"/>
        </w:rPr>
        <w:t xml:space="preserve"> thousands of lipid compounds</w:t>
      </w:r>
      <w:r w:rsidR="000D736E" w:rsidRPr="004B7BCA">
        <w:rPr>
          <w:lang w:val="en-GB"/>
        </w:rPr>
        <w:t xml:space="preserve"> </w:t>
      </w:r>
      <w:r w:rsidR="00535EC5" w:rsidRPr="004B7BCA">
        <w:rPr>
          <w:lang w:val="en-GB"/>
        </w:rPr>
        <w:t xml:space="preserve">present in each lipid extract </w:t>
      </w:r>
      <w:r w:rsidR="008B6626" w:rsidRPr="004B7BCA">
        <w:rPr>
          <w:lang w:val="en-GB"/>
        </w:rPr>
        <w:t>to</w:t>
      </w:r>
      <w:r w:rsidR="00535EC5" w:rsidRPr="004B7BCA">
        <w:rPr>
          <w:lang w:val="en-GB"/>
        </w:rPr>
        <w:t xml:space="preserve"> provide </w:t>
      </w:r>
      <w:r w:rsidR="00616F1B" w:rsidRPr="004B7BCA">
        <w:rPr>
          <w:lang w:val="en-GB"/>
        </w:rPr>
        <w:t xml:space="preserve">a </w:t>
      </w:r>
      <w:r w:rsidR="00535EC5" w:rsidRPr="004B7BCA">
        <w:rPr>
          <w:lang w:val="en-GB"/>
        </w:rPr>
        <w:t xml:space="preserve">comprehensive </w:t>
      </w:r>
      <w:r w:rsidR="00580442" w:rsidRPr="004B7BCA">
        <w:rPr>
          <w:lang w:val="en-GB"/>
        </w:rPr>
        <w:t xml:space="preserve">qualitative </w:t>
      </w:r>
      <w:r w:rsidR="00535EC5" w:rsidRPr="004B7BCA">
        <w:rPr>
          <w:lang w:val="en-GB"/>
        </w:rPr>
        <w:t>description of the lipidome</w:t>
      </w:r>
      <w:r w:rsidR="000D736E" w:rsidRPr="004B7BCA">
        <w:rPr>
          <w:lang w:val="en-GB"/>
        </w:rPr>
        <w:t xml:space="preserve"> at the level of elemental composition</w:t>
      </w:r>
      <w:r w:rsidR="00535EC5" w:rsidRPr="004B7BCA">
        <w:rPr>
          <w:lang w:val="en-GB"/>
        </w:rPr>
        <w:t>.</w:t>
      </w:r>
      <w:r w:rsidR="000D736E" w:rsidRPr="004B7BCA">
        <w:rPr>
          <w:lang w:val="en-GB"/>
        </w:rPr>
        <w:t xml:space="preserve"> We apply database matching/sorting for identified elemental compositions</w:t>
      </w:r>
      <w:r w:rsidR="000D736E">
        <w:rPr>
          <w:lang w:val="en-GB"/>
        </w:rPr>
        <w:t xml:space="preserve"> to provide putative elemental composition to lipid molecule where possible using the Nature Lipidomics Gateway database of known lipids.</w:t>
      </w:r>
      <w:r w:rsidR="00535EC5" w:rsidRPr="00E63E1C">
        <w:rPr>
          <w:lang w:val="en-GB"/>
        </w:rPr>
        <w:t xml:space="preserve"> </w:t>
      </w:r>
      <w:r w:rsidR="000D736E">
        <w:rPr>
          <w:lang w:val="en-GB"/>
        </w:rPr>
        <w:t>We</w:t>
      </w:r>
      <w:r w:rsidR="00D13B1C" w:rsidRPr="00E63E1C">
        <w:rPr>
          <w:lang w:val="en-GB"/>
        </w:rPr>
        <w:t xml:space="preserve"> </w:t>
      </w:r>
      <w:r w:rsidR="00FB4ED5" w:rsidRPr="00E63E1C">
        <w:rPr>
          <w:lang w:val="en-GB"/>
        </w:rPr>
        <w:t>evaluate the</w:t>
      </w:r>
      <w:r w:rsidR="00D13B1C" w:rsidRPr="00E63E1C">
        <w:rPr>
          <w:lang w:val="en-GB"/>
        </w:rPr>
        <w:t xml:space="preserve"> role of </w:t>
      </w:r>
      <w:r w:rsidR="008E32C7" w:rsidRPr="00E63E1C">
        <w:rPr>
          <w:lang w:val="en-GB"/>
        </w:rPr>
        <w:t>tri</w:t>
      </w:r>
      <w:r w:rsidR="00AE2D1B" w:rsidRPr="00E63E1C">
        <w:rPr>
          <w:lang w:val="en-GB"/>
        </w:rPr>
        <w:t>acylglycerol</w:t>
      </w:r>
      <w:r w:rsidR="008E32C7" w:rsidRPr="00E63E1C">
        <w:rPr>
          <w:lang w:val="en-GB"/>
        </w:rPr>
        <w:t>s</w:t>
      </w:r>
      <w:r w:rsidR="00D13B1C" w:rsidRPr="00E63E1C">
        <w:rPr>
          <w:lang w:val="en-GB"/>
        </w:rPr>
        <w:t xml:space="preserve"> and </w:t>
      </w:r>
      <w:r w:rsidR="0060530A" w:rsidRPr="00E63E1C">
        <w:rPr>
          <w:lang w:val="en-GB"/>
        </w:rPr>
        <w:t>lipid</w:t>
      </w:r>
      <w:r w:rsidR="00BD1377" w:rsidRPr="00E63E1C">
        <w:rPr>
          <w:lang w:val="en-GB"/>
        </w:rPr>
        <w:t xml:space="preserve"> degradation</w:t>
      </w:r>
      <w:r w:rsidR="00D13B1C" w:rsidRPr="00E63E1C">
        <w:rPr>
          <w:lang w:val="en-GB"/>
        </w:rPr>
        <w:t xml:space="preserve"> products </w:t>
      </w:r>
      <w:r w:rsidR="00962FD3">
        <w:rPr>
          <w:lang w:val="en-GB"/>
        </w:rPr>
        <w:t>such as</w:t>
      </w:r>
      <w:r w:rsidR="00962FD3" w:rsidRPr="00E63E1C">
        <w:rPr>
          <w:lang w:val="en-GB"/>
        </w:rPr>
        <w:t xml:space="preserve"> </w:t>
      </w:r>
      <w:r w:rsidR="00D13B1C" w:rsidRPr="00E63E1C">
        <w:rPr>
          <w:lang w:val="en-GB"/>
        </w:rPr>
        <w:t xml:space="preserve">DG, MG and FFA </w:t>
      </w:r>
      <w:r w:rsidR="005C344D" w:rsidRPr="00E63E1C">
        <w:rPr>
          <w:lang w:val="en-GB"/>
        </w:rPr>
        <w:t xml:space="preserve">in </w:t>
      </w:r>
      <w:r w:rsidR="00D13B1C" w:rsidRPr="00E63E1C">
        <w:rPr>
          <w:lang w:val="en-GB"/>
        </w:rPr>
        <w:t>export</w:t>
      </w:r>
      <w:r w:rsidR="005C344D" w:rsidRPr="00E63E1C">
        <w:rPr>
          <w:lang w:val="en-GB"/>
        </w:rPr>
        <w:t>ing</w:t>
      </w:r>
      <w:r w:rsidR="00D13B1C" w:rsidRPr="00E63E1C">
        <w:rPr>
          <w:lang w:val="en-GB"/>
        </w:rPr>
        <w:t xml:space="preserve"> carbon to </w:t>
      </w:r>
      <w:r w:rsidR="00580442" w:rsidRPr="00E63E1C">
        <w:rPr>
          <w:lang w:val="en-GB"/>
        </w:rPr>
        <w:t xml:space="preserve">the </w:t>
      </w:r>
      <w:r w:rsidR="00D13B1C" w:rsidRPr="00E63E1C">
        <w:rPr>
          <w:lang w:val="en-GB"/>
        </w:rPr>
        <w:t xml:space="preserve">deep ocean. </w:t>
      </w:r>
      <w:r w:rsidR="00580442" w:rsidRPr="00E63E1C">
        <w:rPr>
          <w:lang w:val="en-GB"/>
        </w:rPr>
        <w:t xml:space="preserve">Given </w:t>
      </w:r>
      <w:r w:rsidR="00D13B1C" w:rsidRPr="00E63E1C">
        <w:rPr>
          <w:lang w:val="en-GB"/>
        </w:rPr>
        <w:t>that those lipids do not posses</w:t>
      </w:r>
      <w:r w:rsidR="00535EC5" w:rsidRPr="00E63E1C">
        <w:rPr>
          <w:lang w:val="en-GB"/>
        </w:rPr>
        <w:t>s</w:t>
      </w:r>
      <w:r w:rsidR="00D13B1C" w:rsidRPr="00E63E1C">
        <w:rPr>
          <w:lang w:val="en-GB"/>
        </w:rPr>
        <w:t xml:space="preserve"> </w:t>
      </w:r>
      <w:r w:rsidR="000D736E">
        <w:rPr>
          <w:lang w:val="en-GB"/>
        </w:rPr>
        <w:t>the</w:t>
      </w:r>
      <w:r w:rsidR="00BD1377" w:rsidRPr="00E63E1C">
        <w:rPr>
          <w:lang w:val="en-GB"/>
        </w:rPr>
        <w:t xml:space="preserve"> </w:t>
      </w:r>
      <w:r w:rsidR="00D13B1C" w:rsidRPr="00E63E1C">
        <w:rPr>
          <w:lang w:val="en-GB"/>
        </w:rPr>
        <w:t xml:space="preserve">elements nitrogen and phosphorus, we expected </w:t>
      </w:r>
      <w:r w:rsidR="00C51BCC" w:rsidRPr="00E63E1C">
        <w:rPr>
          <w:lang w:val="en-GB"/>
        </w:rPr>
        <w:t xml:space="preserve">them to be </w:t>
      </w:r>
      <w:r w:rsidR="008E32C7" w:rsidRPr="00E63E1C">
        <w:rPr>
          <w:lang w:val="en-GB"/>
        </w:rPr>
        <w:t xml:space="preserve">stable </w:t>
      </w:r>
      <w:r w:rsidR="00C51BCC" w:rsidRPr="00E63E1C">
        <w:rPr>
          <w:lang w:val="en-GB"/>
        </w:rPr>
        <w:t>and therefore important vectors for carbon sequestration on a global scale.</w:t>
      </w:r>
      <w:r w:rsidR="00F956B8" w:rsidRPr="00E63E1C">
        <w:rPr>
          <w:lang w:val="en-GB"/>
        </w:rPr>
        <w:t xml:space="preserve"> </w:t>
      </w:r>
      <w:r w:rsidR="00C51BCC" w:rsidRPr="00E63E1C">
        <w:rPr>
          <w:lang w:val="en-GB"/>
        </w:rPr>
        <w:t xml:space="preserve">To address that, we analyzed </w:t>
      </w:r>
      <w:r w:rsidR="00580442" w:rsidRPr="00E63E1C">
        <w:rPr>
          <w:lang w:val="en-GB"/>
        </w:rPr>
        <w:t xml:space="preserve">the </w:t>
      </w:r>
      <w:r w:rsidR="00C51BCC" w:rsidRPr="00E63E1C">
        <w:rPr>
          <w:lang w:val="en-GB"/>
        </w:rPr>
        <w:t>depth</w:t>
      </w:r>
      <w:r w:rsidR="00580442" w:rsidRPr="00E63E1C">
        <w:rPr>
          <w:lang w:val="en-GB"/>
        </w:rPr>
        <w:t xml:space="preserve">-dependent </w:t>
      </w:r>
      <w:r w:rsidR="00C51BCC" w:rsidRPr="00E63E1C">
        <w:rPr>
          <w:lang w:val="en-GB"/>
        </w:rPr>
        <w:t xml:space="preserve">lipid profiles for particulate lipid extracts </w:t>
      </w:r>
      <w:r w:rsidR="00C51BCC" w:rsidRPr="00E63E1C">
        <w:rPr>
          <w:lang w:val="en-GB"/>
        </w:rPr>
        <w:lastRenderedPageBreak/>
        <w:t xml:space="preserve">from </w:t>
      </w:r>
      <w:r w:rsidR="00580442" w:rsidRPr="00E63E1C">
        <w:rPr>
          <w:lang w:val="en-GB"/>
        </w:rPr>
        <w:t xml:space="preserve">the </w:t>
      </w:r>
      <w:r w:rsidR="00C51BCC" w:rsidRPr="00E63E1C">
        <w:rPr>
          <w:lang w:val="en-GB"/>
        </w:rPr>
        <w:t>sub-polar Northeast Atlantic collected at the Porcupine Abyssal Plain sustained observatory (PAP-SO) (49</w:t>
      </w:r>
      <w:r w:rsidR="005C431B" w:rsidRPr="00E63E1C">
        <w:rPr>
          <w:lang w:val="en-GB"/>
        </w:rPr>
        <w:t>.0</w:t>
      </w:r>
      <w:r w:rsidR="00456D3C" w:rsidRPr="00E63E1C">
        <w:rPr>
          <w:lang w:val="en-GB"/>
        </w:rPr>
        <w:t xml:space="preserve"> °</w:t>
      </w:r>
      <w:r w:rsidR="00C51BCC" w:rsidRPr="00E63E1C">
        <w:rPr>
          <w:lang w:val="en-GB"/>
        </w:rPr>
        <w:t>N, 16.5</w:t>
      </w:r>
      <w:r w:rsidR="00456D3C" w:rsidRPr="00E63E1C">
        <w:rPr>
          <w:lang w:val="en-GB"/>
        </w:rPr>
        <w:t xml:space="preserve"> °</w:t>
      </w:r>
      <w:r w:rsidR="00C51BCC" w:rsidRPr="00E63E1C">
        <w:rPr>
          <w:lang w:val="en-GB"/>
        </w:rPr>
        <w:t xml:space="preserve">W). We </w:t>
      </w:r>
      <w:r w:rsidR="00580442" w:rsidRPr="00E63E1C">
        <w:rPr>
          <w:lang w:val="en-GB"/>
        </w:rPr>
        <w:t xml:space="preserve">employ </w:t>
      </w:r>
      <w:r w:rsidR="00C51BCC" w:rsidRPr="00E63E1C">
        <w:rPr>
          <w:lang w:val="en-GB"/>
        </w:rPr>
        <w:t>FT-ICR MS</w:t>
      </w:r>
      <w:r w:rsidR="008E32C7" w:rsidRPr="00E63E1C">
        <w:rPr>
          <w:lang w:val="en-GB"/>
        </w:rPr>
        <w:t xml:space="preserve"> and </w:t>
      </w:r>
      <w:r w:rsidR="008E32C7" w:rsidRPr="00E63E1C">
        <w:rPr>
          <w:rFonts w:eastAsia="AdvTimes"/>
          <w:lang w:val="en-GB" w:eastAsia="hr-HR"/>
        </w:rPr>
        <w:t>thin–layer chromatography–flame ionization detection</w:t>
      </w:r>
      <w:r w:rsidR="00C51BCC" w:rsidRPr="00E63E1C">
        <w:rPr>
          <w:lang w:val="en-GB"/>
        </w:rPr>
        <w:t xml:space="preserve"> to provide </w:t>
      </w:r>
      <w:r w:rsidR="00514411" w:rsidRPr="00E63E1C">
        <w:rPr>
          <w:lang w:val="en-GB"/>
        </w:rPr>
        <w:t>qualitative and quantitative</w:t>
      </w:r>
      <w:r w:rsidR="00C51BCC" w:rsidRPr="00E63E1C">
        <w:rPr>
          <w:lang w:val="en-GB"/>
        </w:rPr>
        <w:t xml:space="preserve"> </w:t>
      </w:r>
      <w:r w:rsidR="00514411" w:rsidRPr="00E63E1C">
        <w:rPr>
          <w:lang w:val="en-GB"/>
        </w:rPr>
        <w:t xml:space="preserve">lipid </w:t>
      </w:r>
      <w:r w:rsidR="00C51BCC" w:rsidRPr="00E63E1C">
        <w:rPr>
          <w:lang w:val="en-GB"/>
        </w:rPr>
        <w:t>characteriz</w:t>
      </w:r>
      <w:r w:rsidR="00514411" w:rsidRPr="00E63E1C">
        <w:rPr>
          <w:lang w:val="en-GB"/>
        </w:rPr>
        <w:t>ation</w:t>
      </w:r>
      <w:r w:rsidR="00C51BCC" w:rsidRPr="00E63E1C">
        <w:rPr>
          <w:lang w:val="en-GB"/>
        </w:rPr>
        <w:t xml:space="preserve"> </w:t>
      </w:r>
      <w:r w:rsidR="00580442" w:rsidRPr="00E63E1C">
        <w:rPr>
          <w:lang w:val="en-GB"/>
        </w:rPr>
        <w:t>and</w:t>
      </w:r>
      <w:r w:rsidR="00265D0B" w:rsidRPr="00E63E1C">
        <w:rPr>
          <w:lang w:val="en-GB"/>
        </w:rPr>
        <w:t xml:space="preserve"> </w:t>
      </w:r>
      <w:r w:rsidR="00096379" w:rsidRPr="00E63E1C">
        <w:rPr>
          <w:lang w:val="en-GB"/>
        </w:rPr>
        <w:t xml:space="preserve">to </w:t>
      </w:r>
      <w:r w:rsidR="00265D0B" w:rsidRPr="00E63E1C">
        <w:rPr>
          <w:lang w:val="en-GB"/>
        </w:rPr>
        <w:t>monitor lipid</w:t>
      </w:r>
      <w:r w:rsidR="00514411" w:rsidRPr="00E63E1C">
        <w:rPr>
          <w:lang w:val="en-GB"/>
        </w:rPr>
        <w:t xml:space="preserve"> </w:t>
      </w:r>
      <w:r w:rsidR="00C51BCC" w:rsidRPr="00E63E1C">
        <w:rPr>
          <w:lang w:val="en-GB"/>
        </w:rPr>
        <w:t xml:space="preserve">molecular </w:t>
      </w:r>
      <w:r w:rsidR="00514411" w:rsidRPr="00E63E1C">
        <w:rPr>
          <w:lang w:val="en-GB"/>
        </w:rPr>
        <w:t xml:space="preserve">change </w:t>
      </w:r>
      <w:r w:rsidR="00580442" w:rsidRPr="00E63E1C">
        <w:rPr>
          <w:lang w:val="en-GB"/>
        </w:rPr>
        <w:t>for sinking lipids</w:t>
      </w:r>
      <w:r w:rsidR="0060530A" w:rsidRPr="00E63E1C">
        <w:rPr>
          <w:lang w:val="en-GB"/>
        </w:rPr>
        <w:t>.</w:t>
      </w:r>
    </w:p>
    <w:p w:rsidR="00C51BCC" w:rsidRPr="00E63E1C" w:rsidRDefault="00C51BCC" w:rsidP="00CD12B2">
      <w:pPr>
        <w:spacing w:after="120" w:line="360" w:lineRule="auto"/>
        <w:ind w:firstLine="720"/>
        <w:rPr>
          <w:b/>
          <w:bCs/>
          <w:lang w:val="en-GB"/>
        </w:rPr>
      </w:pPr>
    </w:p>
    <w:p w:rsidR="00DC7C76" w:rsidRPr="00E63E1C" w:rsidRDefault="00DC7C76" w:rsidP="00CD12B2">
      <w:pPr>
        <w:spacing w:after="120" w:line="360" w:lineRule="auto"/>
        <w:rPr>
          <w:b/>
          <w:lang w:val="en-GB"/>
        </w:rPr>
      </w:pPr>
      <w:r w:rsidRPr="00E63E1C">
        <w:rPr>
          <w:b/>
          <w:lang w:val="en-GB"/>
        </w:rPr>
        <w:t>2. Material and Methods</w:t>
      </w:r>
    </w:p>
    <w:p w:rsidR="00F41407" w:rsidRPr="00E63E1C" w:rsidRDefault="00962FD3" w:rsidP="00CD12B2">
      <w:pPr>
        <w:pStyle w:val="Paragraph"/>
        <w:spacing w:before="0" w:after="120" w:line="360" w:lineRule="auto"/>
        <w:jc w:val="both"/>
        <w:rPr>
          <w:lang w:val="en-GB"/>
        </w:rPr>
      </w:pPr>
      <w:r>
        <w:rPr>
          <w:lang w:val="en-GB"/>
        </w:rPr>
        <w:t>S</w:t>
      </w:r>
      <w:r w:rsidR="006E1617" w:rsidRPr="00E63E1C">
        <w:rPr>
          <w:lang w:val="en-GB"/>
        </w:rPr>
        <w:t xml:space="preserve">ampling was </w:t>
      </w:r>
      <w:r>
        <w:rPr>
          <w:lang w:val="en-GB"/>
        </w:rPr>
        <w:t>carried out</w:t>
      </w:r>
      <w:r w:rsidRPr="00E63E1C">
        <w:rPr>
          <w:lang w:val="en-GB"/>
        </w:rPr>
        <w:t xml:space="preserve"> </w:t>
      </w:r>
      <w:r w:rsidR="006E1617" w:rsidRPr="00E63E1C">
        <w:rPr>
          <w:lang w:val="en-GB"/>
        </w:rPr>
        <w:t>on June, 14</w:t>
      </w:r>
      <w:r w:rsidR="006E1617" w:rsidRPr="00E63E1C">
        <w:rPr>
          <w:vertAlign w:val="superscript"/>
          <w:lang w:val="en-GB"/>
        </w:rPr>
        <w:t>th</w:t>
      </w:r>
      <w:r w:rsidR="006E1617" w:rsidRPr="00E63E1C">
        <w:rPr>
          <w:lang w:val="en-GB"/>
        </w:rPr>
        <w:t xml:space="preserve"> 2013 at </w:t>
      </w:r>
      <w:r w:rsidR="00F41407" w:rsidRPr="00E63E1C">
        <w:rPr>
          <w:lang w:val="en-GB"/>
        </w:rPr>
        <w:t>the Porcupine Abyssal Plain sustained observatory (4</w:t>
      </w:r>
      <w:r w:rsidR="005C431B" w:rsidRPr="00E63E1C">
        <w:rPr>
          <w:lang w:val="en-GB"/>
        </w:rPr>
        <w:t>9.0</w:t>
      </w:r>
      <w:r w:rsidR="00456D3C" w:rsidRPr="00E63E1C">
        <w:rPr>
          <w:lang w:val="en-GB"/>
        </w:rPr>
        <w:t xml:space="preserve"> °</w:t>
      </w:r>
      <w:r w:rsidR="00F41407" w:rsidRPr="00E63E1C">
        <w:rPr>
          <w:lang w:val="en-GB"/>
        </w:rPr>
        <w:t>N, 16.5</w:t>
      </w:r>
      <w:r w:rsidR="00096379" w:rsidRPr="00E63E1C">
        <w:rPr>
          <w:lang w:val="en-GB"/>
        </w:rPr>
        <w:t>8</w:t>
      </w:r>
      <w:r w:rsidR="00456D3C" w:rsidRPr="00E63E1C">
        <w:rPr>
          <w:lang w:val="en-GB"/>
        </w:rPr>
        <w:t xml:space="preserve"> °</w:t>
      </w:r>
      <w:r w:rsidR="00F41407" w:rsidRPr="00E63E1C">
        <w:rPr>
          <w:lang w:val="en-GB"/>
        </w:rPr>
        <w:t>W)</w:t>
      </w:r>
      <w:r>
        <w:rPr>
          <w:lang w:val="en-GB"/>
        </w:rPr>
        <w:t xml:space="preserve"> in </w:t>
      </w:r>
      <w:r w:rsidRPr="00E63E1C">
        <w:rPr>
          <w:lang w:val="en-GB"/>
        </w:rPr>
        <w:t>the subpolar Northeast Atlantic</w:t>
      </w:r>
      <w:r>
        <w:rPr>
          <w:lang w:val="en-GB"/>
        </w:rPr>
        <w:t>. The</w:t>
      </w:r>
      <w:r w:rsidRPr="00E63E1C">
        <w:rPr>
          <w:lang w:val="en-GB"/>
        </w:rPr>
        <w:t xml:space="preserve"> </w:t>
      </w:r>
      <w:r w:rsidR="00F41407" w:rsidRPr="00E63E1C">
        <w:rPr>
          <w:lang w:val="en-GB"/>
        </w:rPr>
        <w:t>PAP-SO station is isolated from the complexities of the continental slope and the Mid-Atlantic Ridge</w:t>
      </w:r>
      <w:r>
        <w:rPr>
          <w:lang w:val="en-GB"/>
        </w:rPr>
        <w:t xml:space="preserve"> and thus can be considered as a representative of a large area of the open ocean (Lampitt et al</w:t>
      </w:r>
      <w:r w:rsidR="004B7BCA">
        <w:rPr>
          <w:lang w:val="en-GB"/>
        </w:rPr>
        <w:t>.,</w:t>
      </w:r>
      <w:r>
        <w:rPr>
          <w:lang w:val="en-GB"/>
        </w:rPr>
        <w:t xml:space="preserve"> </w:t>
      </w:r>
      <w:r w:rsidR="00512963">
        <w:rPr>
          <w:lang w:val="en-GB"/>
        </w:rPr>
        <w:t>2010</w:t>
      </w:r>
      <w:r>
        <w:rPr>
          <w:lang w:val="en-GB"/>
        </w:rPr>
        <w:t>)</w:t>
      </w:r>
      <w:r w:rsidR="00F41407" w:rsidRPr="00E63E1C">
        <w:rPr>
          <w:lang w:val="en-GB"/>
        </w:rPr>
        <w:t xml:space="preserve">. A persistent feature of the North Atlantic is </w:t>
      </w:r>
      <w:r w:rsidR="007C7F3D" w:rsidRPr="00E63E1C">
        <w:rPr>
          <w:lang w:val="en-GB"/>
        </w:rPr>
        <w:t xml:space="preserve">the </w:t>
      </w:r>
      <w:r w:rsidR="00F41407" w:rsidRPr="00E63E1C">
        <w:rPr>
          <w:lang w:val="en-GB"/>
        </w:rPr>
        <w:t>undersaturation of CO</w:t>
      </w:r>
      <w:r w:rsidR="00F41407" w:rsidRPr="00E63E1C">
        <w:rPr>
          <w:vertAlign w:val="subscript"/>
          <w:lang w:val="en-GB"/>
        </w:rPr>
        <w:t>2</w:t>
      </w:r>
      <w:r w:rsidR="00F41407" w:rsidRPr="00E63E1C">
        <w:rPr>
          <w:lang w:val="en-GB"/>
        </w:rPr>
        <w:t xml:space="preserve"> in surface waters throughout the year, giv</w:t>
      </w:r>
      <w:r w:rsidR="00043ED4" w:rsidRPr="00E63E1C">
        <w:rPr>
          <w:lang w:val="en-GB"/>
        </w:rPr>
        <w:t>ing</w:t>
      </w:r>
      <w:r w:rsidR="00F41407" w:rsidRPr="00E63E1C">
        <w:rPr>
          <w:lang w:val="en-GB"/>
        </w:rPr>
        <w:t xml:space="preserve"> rise to a perennial CO</w:t>
      </w:r>
      <w:r w:rsidR="00F41407" w:rsidRPr="00E63E1C">
        <w:rPr>
          <w:vertAlign w:val="subscript"/>
          <w:lang w:val="en-GB"/>
        </w:rPr>
        <w:t>2</w:t>
      </w:r>
      <w:r w:rsidR="00F41407" w:rsidRPr="00E63E1C">
        <w:rPr>
          <w:lang w:val="en-GB"/>
        </w:rPr>
        <w:t xml:space="preserve"> sink </w:t>
      </w:r>
      <w:r w:rsidR="00043ED4" w:rsidRPr="00E63E1C">
        <w:rPr>
          <w:lang w:val="en-GB"/>
        </w:rPr>
        <w:t xml:space="preserve">which </w:t>
      </w:r>
      <w:r w:rsidR="00F41407" w:rsidRPr="00E63E1C">
        <w:rPr>
          <w:lang w:val="en-GB"/>
        </w:rPr>
        <w:t xml:space="preserve">makes </w:t>
      </w:r>
      <w:r w:rsidR="00043ED4" w:rsidRPr="00E63E1C">
        <w:rPr>
          <w:lang w:val="en-GB"/>
        </w:rPr>
        <w:t>it</w:t>
      </w:r>
      <w:r w:rsidR="00F41407" w:rsidRPr="00E63E1C">
        <w:rPr>
          <w:lang w:val="en-GB"/>
        </w:rPr>
        <w:t xml:space="preserve"> a region of great importance in the global carbon cycle (Hartman et al., 2012) and</w:t>
      </w:r>
      <w:r w:rsidR="005C431B" w:rsidRPr="00E63E1C">
        <w:rPr>
          <w:lang w:val="en-GB"/>
        </w:rPr>
        <w:t xml:space="preserve"> an</w:t>
      </w:r>
      <w:r w:rsidR="00F41407" w:rsidRPr="00E63E1C">
        <w:rPr>
          <w:lang w:val="en-GB"/>
        </w:rPr>
        <w:t xml:space="preserve"> important site to investigate carbon sink</w:t>
      </w:r>
      <w:r w:rsidR="007C7F3D" w:rsidRPr="00E63E1C">
        <w:rPr>
          <w:lang w:val="en-GB"/>
        </w:rPr>
        <w:t>ing</w:t>
      </w:r>
      <w:r w:rsidR="00F41407" w:rsidRPr="00E63E1C">
        <w:rPr>
          <w:lang w:val="en-GB"/>
        </w:rPr>
        <w:t xml:space="preserve"> and mechanisms of its transformation. </w:t>
      </w:r>
      <w:r w:rsidR="005C431B" w:rsidRPr="00E63E1C">
        <w:rPr>
          <w:lang w:val="en-GB"/>
        </w:rPr>
        <w:t>S</w:t>
      </w:r>
      <w:r w:rsidR="00F41407" w:rsidRPr="00E63E1C">
        <w:rPr>
          <w:lang w:val="en-GB"/>
        </w:rPr>
        <w:t xml:space="preserve">amples were collected by Niskin samplers at 21 depths from surface (2 m) to 4800 m </w:t>
      </w:r>
      <w:r w:rsidR="007A17DC">
        <w:rPr>
          <w:lang w:val="en-GB"/>
        </w:rPr>
        <w:t>(</w:t>
      </w:r>
      <w:r w:rsidR="00F41407" w:rsidRPr="00E63E1C">
        <w:rPr>
          <w:lang w:val="en-GB"/>
        </w:rPr>
        <w:t>50 m above bottom</w:t>
      </w:r>
      <w:r w:rsidR="007A17DC">
        <w:rPr>
          <w:lang w:val="en-GB"/>
        </w:rPr>
        <w:t>)</w:t>
      </w:r>
      <w:r w:rsidR="00F41407" w:rsidRPr="00E63E1C">
        <w:rPr>
          <w:lang w:val="en-GB"/>
        </w:rPr>
        <w:t xml:space="preserve"> in June 2013. </w:t>
      </w:r>
    </w:p>
    <w:p w:rsidR="00165F0B" w:rsidRPr="00E63E1C" w:rsidRDefault="00F41407" w:rsidP="00165F0B">
      <w:pPr>
        <w:spacing w:line="360" w:lineRule="auto"/>
        <w:ind w:firstLine="397"/>
        <w:jc w:val="both"/>
        <w:rPr>
          <w:rFonts w:eastAsia="AdvTimes"/>
          <w:lang w:eastAsia="hr-HR"/>
        </w:rPr>
      </w:pPr>
      <w:r w:rsidRPr="00E63E1C">
        <w:rPr>
          <w:lang w:val="en-GB"/>
        </w:rPr>
        <w:t xml:space="preserve">Particulate lipids were collected on 0.7 </w:t>
      </w:r>
      <w:r w:rsidR="00FF3E0C" w:rsidRPr="00E63E1C">
        <w:rPr>
          <w:lang w:val="en-GB"/>
        </w:rPr>
        <w:t>µ</w:t>
      </w:r>
      <w:r w:rsidRPr="00E63E1C">
        <w:rPr>
          <w:lang w:val="en-GB"/>
        </w:rPr>
        <w:t xml:space="preserve">m Whatman GF/F </w:t>
      </w:r>
      <w:r w:rsidR="00F34814" w:rsidRPr="00E63E1C">
        <w:t xml:space="preserve">filters </w:t>
      </w:r>
      <w:r w:rsidR="007A17DC">
        <w:t>(</w:t>
      </w:r>
      <w:r w:rsidR="00F34814" w:rsidRPr="00E63E1C">
        <w:t>pre-</w:t>
      </w:r>
      <w:r w:rsidR="007A17DC">
        <w:t>combusted for</w:t>
      </w:r>
      <w:r w:rsidR="007A17DC" w:rsidRPr="00E63E1C">
        <w:t xml:space="preserve"> </w:t>
      </w:r>
      <w:r w:rsidR="00F34814" w:rsidRPr="00E63E1C">
        <w:t>5 h at 450</w:t>
      </w:r>
      <w:r w:rsidR="00F34814" w:rsidRPr="00E63E1C">
        <w:rPr>
          <w:lang w:val="en-GB"/>
        </w:rPr>
        <w:sym w:font="Symbol" w:char="F0B0"/>
      </w:r>
      <w:r w:rsidR="00F34814" w:rsidRPr="00E63E1C">
        <w:t>C</w:t>
      </w:r>
      <w:r w:rsidR="007A17DC">
        <w:t>)</w:t>
      </w:r>
      <w:r w:rsidR="00F34814" w:rsidRPr="00E63E1C">
        <w:rPr>
          <w:b/>
        </w:rPr>
        <w:t xml:space="preserve"> </w:t>
      </w:r>
      <w:r w:rsidR="00F34814" w:rsidRPr="00E63E1C">
        <w:t>by</w:t>
      </w:r>
      <w:r w:rsidR="00F34814" w:rsidRPr="00E63E1C">
        <w:rPr>
          <w:lang w:val="en-GB"/>
        </w:rPr>
        <w:t xml:space="preserve"> </w:t>
      </w:r>
      <w:r w:rsidRPr="00E63E1C">
        <w:rPr>
          <w:lang w:val="en-GB"/>
        </w:rPr>
        <w:t>filtering 5-10 l of oceanic water at 12 kPa vacuum pressures immediately after sampling</w:t>
      </w:r>
      <w:r w:rsidR="00C77C76" w:rsidRPr="00E63E1C">
        <w:rPr>
          <w:lang w:val="en-GB"/>
        </w:rPr>
        <w:t xml:space="preserve"> </w:t>
      </w:r>
      <w:r w:rsidR="00C77C76" w:rsidRPr="00E63E1C">
        <w:t>and stored at -80°C</w:t>
      </w:r>
      <w:r w:rsidRPr="00E63E1C">
        <w:t>.</w:t>
      </w:r>
      <w:r w:rsidRPr="00E63E1C">
        <w:rPr>
          <w:lang w:val="en-GB"/>
        </w:rPr>
        <w:t xml:space="preserve"> </w:t>
      </w:r>
      <w:r w:rsidR="00872973" w:rsidRPr="00E63E1C">
        <w:t xml:space="preserve">Ten micrograms of internal standards n-hexadecanone (for Iatroscan analysis) and 1 µg reserpine (for FT-ICR MS analysis) were added to each sample before extraction. The final measured amount provided lipid recovery estimation. </w:t>
      </w:r>
      <w:r w:rsidRPr="00E63E1C">
        <w:rPr>
          <w:lang w:val="en-GB"/>
        </w:rPr>
        <w:t>Lipids were extracted by a modified one-phase solvent mixture of dichloromethane – methanol - water procedure (1:2:0.8, v:v:v)</w:t>
      </w:r>
      <w:r w:rsidRPr="00E63E1C">
        <w:rPr>
          <w:vertAlign w:val="superscript"/>
          <w:lang w:val="en-GB"/>
        </w:rPr>
        <w:t xml:space="preserve"> </w:t>
      </w:r>
      <w:r w:rsidRPr="00E63E1C">
        <w:rPr>
          <w:lang w:val="en-GB"/>
        </w:rPr>
        <w:t>(Bligh and Dyer,1959</w:t>
      </w:r>
      <w:r w:rsidR="0025661F" w:rsidRPr="00E63E1C">
        <w:rPr>
          <w:lang w:val="en-GB"/>
        </w:rPr>
        <w:t>)</w:t>
      </w:r>
      <w:r w:rsidRPr="00E63E1C">
        <w:rPr>
          <w:lang w:val="en-GB"/>
        </w:rPr>
        <w:t xml:space="preserve">. </w:t>
      </w:r>
      <w:r w:rsidR="00165F0B" w:rsidRPr="00E63E1C">
        <w:rPr>
          <w:rFonts w:eastAsia="AdvTimes"/>
          <w:lang w:eastAsia="hr-HR"/>
        </w:rPr>
        <w:t>The extracts were evaporated to dryness under nitrogen atmosphere and stored at -20</w:t>
      </w:r>
      <w:r w:rsidR="00165F0B" w:rsidRPr="00E63E1C">
        <w:rPr>
          <w:rFonts w:eastAsia="AdvTimes"/>
          <w:lang w:eastAsia="hr-HR"/>
        </w:rPr>
        <w:sym w:font="Symbol" w:char="F0B0"/>
      </w:r>
      <w:r w:rsidR="00165F0B" w:rsidRPr="00E63E1C">
        <w:rPr>
          <w:rFonts w:eastAsia="AdvTimes"/>
          <w:lang w:eastAsia="hr-HR"/>
        </w:rPr>
        <w:t>C until analysis.</w:t>
      </w:r>
    </w:p>
    <w:p w:rsidR="00F41407" w:rsidRPr="00E63E1C" w:rsidRDefault="00F41407" w:rsidP="00CD12B2">
      <w:pPr>
        <w:spacing w:after="120" w:line="360" w:lineRule="auto"/>
        <w:ind w:firstLine="720"/>
        <w:jc w:val="both"/>
        <w:rPr>
          <w:lang w:val="en-GB"/>
        </w:rPr>
      </w:pPr>
      <w:r w:rsidRPr="00E63E1C">
        <w:rPr>
          <w:lang w:val="en-GB"/>
        </w:rPr>
        <w:t xml:space="preserve">The particulate-derived lipid material collected from this sampling was analyzed by direct-infusion </w:t>
      </w:r>
      <w:r w:rsidR="004B376D" w:rsidRPr="00E63E1C">
        <w:rPr>
          <w:lang w:val="en-GB"/>
        </w:rPr>
        <w:t>e</w:t>
      </w:r>
      <w:r w:rsidR="00B9373A" w:rsidRPr="00E63E1C">
        <w:rPr>
          <w:lang w:val="en-GB"/>
        </w:rPr>
        <w:t xml:space="preserve">lectrospray </w:t>
      </w:r>
      <w:r w:rsidR="004B376D" w:rsidRPr="00E63E1C">
        <w:rPr>
          <w:lang w:val="en-GB"/>
        </w:rPr>
        <w:t>i</w:t>
      </w:r>
      <w:r w:rsidR="00B9373A" w:rsidRPr="00E63E1C">
        <w:rPr>
          <w:lang w:val="en-GB"/>
        </w:rPr>
        <w:t xml:space="preserve">onization </w:t>
      </w:r>
      <w:r w:rsidRPr="00E63E1C">
        <w:rPr>
          <w:lang w:val="en-GB"/>
        </w:rPr>
        <w:t xml:space="preserve">Fourier </w:t>
      </w:r>
      <w:r w:rsidR="004B376D" w:rsidRPr="00E63E1C">
        <w:rPr>
          <w:lang w:val="en-GB"/>
        </w:rPr>
        <w:t>t</w:t>
      </w:r>
      <w:r w:rsidRPr="00E63E1C">
        <w:rPr>
          <w:lang w:val="en-GB"/>
        </w:rPr>
        <w:t xml:space="preserve">ransform </w:t>
      </w:r>
      <w:r w:rsidR="00043B26" w:rsidRPr="00E63E1C">
        <w:rPr>
          <w:lang w:val="en-GB"/>
        </w:rPr>
        <w:t xml:space="preserve">ion </w:t>
      </w:r>
      <w:r w:rsidRPr="00E63E1C">
        <w:rPr>
          <w:lang w:val="en-GB"/>
        </w:rPr>
        <w:t>cyclotron resonance</w:t>
      </w:r>
      <w:r w:rsidR="00043B26" w:rsidRPr="00E63E1C">
        <w:rPr>
          <w:lang w:val="en-GB"/>
        </w:rPr>
        <w:t xml:space="preserve"> </w:t>
      </w:r>
      <w:r w:rsidRPr="00E63E1C">
        <w:rPr>
          <w:lang w:val="en-GB"/>
        </w:rPr>
        <w:t>mass spectrometry (</w:t>
      </w:r>
      <w:r w:rsidR="00B9373A" w:rsidRPr="00E63E1C">
        <w:rPr>
          <w:lang w:val="en-GB"/>
        </w:rPr>
        <w:t xml:space="preserve">ESI </w:t>
      </w:r>
      <w:r w:rsidRPr="00E63E1C">
        <w:rPr>
          <w:lang w:val="en-GB"/>
        </w:rPr>
        <w:t>FT-ICR MS) to provide elemental composition determination for lipid</w:t>
      </w:r>
      <w:r w:rsidR="00C95C91" w:rsidRPr="00E63E1C">
        <w:rPr>
          <w:lang w:val="en-GB"/>
        </w:rPr>
        <w:t xml:space="preserve"> compound</w:t>
      </w:r>
      <w:r w:rsidRPr="00E63E1C">
        <w:rPr>
          <w:lang w:val="en-GB"/>
        </w:rPr>
        <w:t xml:space="preserve">s that can serve as diagnostic markers for origin, their transformation and preservation potential through </w:t>
      </w:r>
      <w:r w:rsidR="007A17DC">
        <w:rPr>
          <w:lang w:val="en-GB"/>
        </w:rPr>
        <w:t xml:space="preserve">the </w:t>
      </w:r>
      <w:r w:rsidRPr="00E63E1C">
        <w:rPr>
          <w:lang w:val="en-GB"/>
        </w:rPr>
        <w:t xml:space="preserve">water column. </w:t>
      </w:r>
      <w:r w:rsidR="007C7F3D" w:rsidRPr="00E63E1C">
        <w:rPr>
          <w:lang w:val="en-GB" w:eastAsia="en-US"/>
        </w:rPr>
        <w:t>ESI FT-ICR mass</w:t>
      </w:r>
      <w:r w:rsidR="007C7F3D" w:rsidRPr="00E63E1C">
        <w:rPr>
          <w:lang w:val="en-GB"/>
        </w:rPr>
        <w:t xml:space="preserve"> </w:t>
      </w:r>
      <w:r w:rsidR="007C7F3D" w:rsidRPr="00E63E1C">
        <w:rPr>
          <w:lang w:val="en-GB" w:eastAsia="en-US"/>
        </w:rPr>
        <w:t>spectrometry was performed with a hybrid linear ion trap</w:t>
      </w:r>
      <w:r w:rsidR="007C7F3D" w:rsidRPr="00E63E1C">
        <w:rPr>
          <w:lang w:val="en-GB"/>
        </w:rPr>
        <w:t xml:space="preserve"> </w:t>
      </w:r>
      <w:r w:rsidR="007C7F3D" w:rsidRPr="00E63E1C">
        <w:rPr>
          <w:lang w:val="en-GB" w:eastAsia="en-US"/>
        </w:rPr>
        <w:t>7 T FT-ICR mass spectrometer (LTQ FT, Thermo Fisher,</w:t>
      </w:r>
      <w:r w:rsidR="007C7F3D" w:rsidRPr="00E63E1C">
        <w:rPr>
          <w:lang w:val="en-GB"/>
        </w:rPr>
        <w:t xml:space="preserve"> </w:t>
      </w:r>
      <w:r w:rsidR="007C7F3D" w:rsidRPr="00E63E1C">
        <w:rPr>
          <w:lang w:val="en-GB" w:eastAsia="en-US"/>
        </w:rPr>
        <w:t>San Jose, CA) equipped with an Advion Triversa Nanomate</w:t>
      </w:r>
      <w:r w:rsidR="007C7F3D" w:rsidRPr="00E63E1C">
        <w:rPr>
          <w:lang w:val="en-GB"/>
        </w:rPr>
        <w:t xml:space="preserve"> </w:t>
      </w:r>
      <w:r w:rsidR="007C7F3D" w:rsidRPr="00E63E1C">
        <w:rPr>
          <w:lang w:val="en-GB" w:eastAsia="en-US"/>
        </w:rPr>
        <w:t>(Advion Biosystems, Inc.) as previously described</w:t>
      </w:r>
      <w:r w:rsidR="0025661F" w:rsidRPr="00E63E1C">
        <w:rPr>
          <w:lang w:val="en-GB" w:eastAsia="en-US"/>
        </w:rPr>
        <w:t xml:space="preserve"> </w:t>
      </w:r>
      <w:r w:rsidR="00D262BA" w:rsidRPr="00E63E1C">
        <w:rPr>
          <w:lang w:val="en-GB" w:eastAsia="en-US"/>
        </w:rPr>
        <w:t>(</w:t>
      </w:r>
      <w:r w:rsidR="005A30B2" w:rsidRPr="00E63E1C">
        <w:rPr>
          <w:lang w:val="en-GB"/>
        </w:rPr>
        <w:t xml:space="preserve">Holguin </w:t>
      </w:r>
      <w:r w:rsidR="005A30B2" w:rsidRPr="00E63E1C">
        <w:rPr>
          <w:lang w:val="en-GB"/>
        </w:rPr>
        <w:lastRenderedPageBreak/>
        <w:t>and Schaub, 2013</w:t>
      </w:r>
      <w:r w:rsidR="00D262BA" w:rsidRPr="00E63E1C">
        <w:rPr>
          <w:lang w:val="en-GB" w:eastAsia="en-US"/>
        </w:rPr>
        <w:t>)</w:t>
      </w:r>
      <w:r w:rsidR="0025661F" w:rsidRPr="00E63E1C">
        <w:rPr>
          <w:lang w:val="en-GB" w:eastAsia="en-US"/>
        </w:rPr>
        <w:t>.</w:t>
      </w:r>
      <w:r w:rsidR="007C7F3D" w:rsidRPr="00E63E1C">
        <w:rPr>
          <w:lang w:val="en-GB"/>
        </w:rPr>
        <w:t xml:space="preserve"> </w:t>
      </w:r>
      <w:r w:rsidRPr="00E63E1C">
        <w:rPr>
          <w:lang w:val="en-GB"/>
        </w:rPr>
        <w:t xml:space="preserve">High mass measurement accuracy and mass resolving power combined with Kendrick mass sorting and isotopic fine structure analysis </w:t>
      </w:r>
      <w:r w:rsidR="007A17DC">
        <w:rPr>
          <w:lang w:val="en-GB"/>
        </w:rPr>
        <w:t>provided an</w:t>
      </w:r>
      <w:r w:rsidR="007A17DC" w:rsidRPr="00E63E1C">
        <w:rPr>
          <w:lang w:val="en-GB"/>
        </w:rPr>
        <w:t xml:space="preserve"> </w:t>
      </w:r>
      <w:r w:rsidRPr="00E63E1C">
        <w:rPr>
          <w:lang w:val="en-GB"/>
        </w:rPr>
        <w:t xml:space="preserve">unambiguous </w:t>
      </w:r>
      <w:r w:rsidR="007A17DC">
        <w:rPr>
          <w:lang w:val="en-GB"/>
        </w:rPr>
        <w:t>analysis of the</w:t>
      </w:r>
      <w:r w:rsidR="007A17DC" w:rsidRPr="00E63E1C">
        <w:rPr>
          <w:lang w:val="en-GB"/>
        </w:rPr>
        <w:t xml:space="preserve"> </w:t>
      </w:r>
      <w:r w:rsidRPr="00E63E1C">
        <w:rPr>
          <w:lang w:val="en-GB"/>
        </w:rPr>
        <w:t xml:space="preserve">elemental composition </w:t>
      </w:r>
      <w:r w:rsidR="00580442" w:rsidRPr="00E63E1C">
        <w:rPr>
          <w:lang w:val="en-GB"/>
        </w:rPr>
        <w:t>for</w:t>
      </w:r>
      <w:r w:rsidR="00C95C91" w:rsidRPr="00E63E1C">
        <w:rPr>
          <w:lang w:val="en-GB"/>
        </w:rPr>
        <w:t xml:space="preserve"> </w:t>
      </w:r>
      <w:r w:rsidRPr="00E63E1C">
        <w:rPr>
          <w:lang w:val="en-GB"/>
        </w:rPr>
        <w:t xml:space="preserve">individual </w:t>
      </w:r>
      <w:r w:rsidR="00C95C91" w:rsidRPr="00E63E1C">
        <w:rPr>
          <w:lang w:val="en-GB"/>
        </w:rPr>
        <w:t>lipid</w:t>
      </w:r>
      <w:r w:rsidRPr="00E63E1C">
        <w:rPr>
          <w:lang w:val="en-GB"/>
        </w:rPr>
        <w:t xml:space="preserve"> compounds present in these extracts. </w:t>
      </w:r>
      <w:r w:rsidR="00C95C91" w:rsidRPr="00E63E1C">
        <w:rPr>
          <w:lang w:val="en-GB"/>
        </w:rPr>
        <w:t>Assigned e</w:t>
      </w:r>
      <w:r w:rsidRPr="00E63E1C">
        <w:rPr>
          <w:lang w:val="en-GB"/>
        </w:rPr>
        <w:t xml:space="preserve">lemental compositions </w:t>
      </w:r>
      <w:r w:rsidR="007A17DC">
        <w:rPr>
          <w:lang w:val="en-GB"/>
        </w:rPr>
        <w:t>were</w:t>
      </w:r>
      <w:r w:rsidR="007A17DC" w:rsidRPr="00E63E1C">
        <w:rPr>
          <w:lang w:val="en-GB"/>
        </w:rPr>
        <w:t xml:space="preserve"> </w:t>
      </w:r>
      <w:r w:rsidRPr="00E63E1C">
        <w:rPr>
          <w:lang w:val="en-GB"/>
        </w:rPr>
        <w:t xml:space="preserve">matched to </w:t>
      </w:r>
      <w:r w:rsidR="00642552">
        <w:rPr>
          <w:lang w:val="en-GB"/>
        </w:rPr>
        <w:t>a</w:t>
      </w:r>
      <w:r w:rsidR="00C95C91" w:rsidRPr="00E63E1C">
        <w:rPr>
          <w:lang w:val="en-GB"/>
        </w:rPr>
        <w:t xml:space="preserve"> </w:t>
      </w:r>
      <w:r w:rsidRPr="00E63E1C">
        <w:rPr>
          <w:lang w:val="en-GB"/>
        </w:rPr>
        <w:t xml:space="preserve">lipid library </w:t>
      </w:r>
      <w:r w:rsidR="00C95C91" w:rsidRPr="00E63E1C">
        <w:rPr>
          <w:lang w:val="en-GB"/>
        </w:rPr>
        <w:t>derived from Lipid Maps (</w:t>
      </w:r>
      <w:hyperlink r:id="rId8" w:history="1">
        <w:r w:rsidR="00C95C91" w:rsidRPr="00E63E1C">
          <w:rPr>
            <w:lang w:val="en-GB"/>
          </w:rPr>
          <w:t>http://www.lipidmaps.org/</w:t>
        </w:r>
      </w:hyperlink>
      <w:hyperlink r:id="rId9" w:history="1">
        <w:r w:rsidR="00C95C91" w:rsidRPr="00E63E1C">
          <w:rPr>
            <w:lang w:val="en-GB"/>
          </w:rPr>
          <w:t>)</w:t>
        </w:r>
      </w:hyperlink>
      <w:r w:rsidR="00C95C91" w:rsidRPr="00E63E1C">
        <w:rPr>
          <w:lang w:val="en-GB"/>
        </w:rPr>
        <w:t xml:space="preserve"> </w:t>
      </w:r>
      <w:r w:rsidRPr="00E63E1C">
        <w:rPr>
          <w:lang w:val="en-GB"/>
        </w:rPr>
        <w:t>for tenta</w:t>
      </w:r>
      <w:r w:rsidR="00094B19" w:rsidRPr="00E63E1C">
        <w:rPr>
          <w:lang w:val="en-GB"/>
        </w:rPr>
        <w:t>tive lipid molecular assignment</w:t>
      </w:r>
      <w:r w:rsidRPr="00E63E1C">
        <w:rPr>
          <w:lang w:val="en-GB"/>
        </w:rPr>
        <w:t xml:space="preserve">. </w:t>
      </w:r>
    </w:p>
    <w:p w:rsidR="008E32C7" w:rsidRPr="00E63E1C" w:rsidRDefault="00F41407" w:rsidP="00CD12B2">
      <w:pPr>
        <w:autoSpaceDE w:val="0"/>
        <w:autoSpaceDN w:val="0"/>
        <w:adjustRightInd w:val="0"/>
        <w:spacing w:after="120" w:line="360" w:lineRule="auto"/>
        <w:ind w:firstLine="708"/>
        <w:jc w:val="both"/>
        <w:rPr>
          <w:lang w:val="en-GB"/>
        </w:rPr>
      </w:pPr>
      <w:r w:rsidRPr="00E63E1C">
        <w:rPr>
          <w:lang w:val="en-GB"/>
        </w:rPr>
        <w:t>Additionally, total lipid and lipid class quantitation was performed by IATROSCAN thin layer chromatography/flame ionization detection (TLC/FID) (Iatroscan MK-VI, Iatron, Japan). Lipi</w:t>
      </w:r>
      <w:r w:rsidR="00F34814" w:rsidRPr="00E63E1C">
        <w:rPr>
          <w:lang w:val="en-GB"/>
        </w:rPr>
        <w:t>ds were separated on Chromarods-</w:t>
      </w:r>
      <w:r w:rsidRPr="00E63E1C">
        <w:rPr>
          <w:lang w:val="en-GB"/>
        </w:rPr>
        <w:t xml:space="preserve">SIII and quantified by an external calibration with </w:t>
      </w:r>
      <w:r w:rsidR="00F34814" w:rsidRPr="00E63E1C">
        <w:rPr>
          <w:lang w:val="en-GB"/>
        </w:rPr>
        <w:t xml:space="preserve">a </w:t>
      </w:r>
      <w:r w:rsidRPr="00E63E1C">
        <w:rPr>
          <w:lang w:val="en-GB"/>
        </w:rPr>
        <w:t xml:space="preserve">standard lipid mixture. </w:t>
      </w:r>
      <w:r w:rsidR="00F34814" w:rsidRPr="00E63E1C">
        <w:rPr>
          <w:lang w:val="en-GB"/>
        </w:rPr>
        <w:t>H</w:t>
      </w:r>
      <w:r w:rsidRPr="00E63E1C">
        <w:rPr>
          <w:lang w:val="en-GB"/>
        </w:rPr>
        <w:t>ydrogen flow was 160 ml/mi</w:t>
      </w:r>
      <w:r w:rsidR="0089787F" w:rsidRPr="00E63E1C">
        <w:rPr>
          <w:lang w:val="en-GB"/>
        </w:rPr>
        <w:t>n and air flow was 2000 ml/min</w:t>
      </w:r>
      <w:r w:rsidRPr="00E63E1C">
        <w:rPr>
          <w:iCs/>
          <w:lang w:val="en-GB"/>
        </w:rPr>
        <w:t xml:space="preserve">. </w:t>
      </w:r>
      <w:r w:rsidRPr="00E63E1C">
        <w:rPr>
          <w:rFonts w:eastAsia="AdvTimes"/>
          <w:lang w:val="en-GB"/>
        </w:rPr>
        <w:t>D</w:t>
      </w:r>
      <w:r w:rsidRPr="00E63E1C">
        <w:rPr>
          <w:lang w:val="en-GB"/>
        </w:rPr>
        <w:t>etailed procedure</w:t>
      </w:r>
      <w:r w:rsidR="00F34814" w:rsidRPr="00E63E1C">
        <w:rPr>
          <w:lang w:val="en-GB"/>
        </w:rPr>
        <w:t>s are</w:t>
      </w:r>
      <w:r w:rsidRPr="00E63E1C">
        <w:rPr>
          <w:lang w:val="en-GB"/>
        </w:rPr>
        <w:t xml:space="preserve"> described in </w:t>
      </w:r>
      <w:r w:rsidRPr="00E63E1C">
        <w:rPr>
          <w:iCs/>
          <w:lang w:val="en-GB"/>
        </w:rPr>
        <w:t>Gašparović et al.</w:t>
      </w:r>
      <w:r w:rsidRPr="00E63E1C">
        <w:rPr>
          <w:lang w:val="en-GB"/>
        </w:rPr>
        <w:t xml:space="preserve"> </w:t>
      </w:r>
      <w:r w:rsidRPr="00E63E1C">
        <w:rPr>
          <w:lang w:val="en-GB" w:eastAsia="hr-HR"/>
        </w:rPr>
        <w:t>(</w:t>
      </w:r>
      <w:r w:rsidRPr="00E63E1C">
        <w:rPr>
          <w:lang w:val="en-GB"/>
        </w:rPr>
        <w:t>2015</w:t>
      </w:r>
      <w:r w:rsidRPr="00E63E1C">
        <w:rPr>
          <w:lang w:val="en-GB" w:eastAsia="hr-HR"/>
        </w:rPr>
        <w:t>)</w:t>
      </w:r>
      <w:r w:rsidRPr="00E63E1C">
        <w:rPr>
          <w:lang w:val="en-GB"/>
        </w:rPr>
        <w:t>.</w:t>
      </w:r>
      <w:r w:rsidR="00F956B8" w:rsidRPr="00E63E1C">
        <w:rPr>
          <w:lang w:val="en-GB"/>
        </w:rPr>
        <w:t xml:space="preserve"> </w:t>
      </w:r>
      <w:r w:rsidR="00F956B8" w:rsidRPr="00E63E1C">
        <w:rPr>
          <w:iCs/>
          <w:lang w:val="en-GB"/>
        </w:rPr>
        <w:t>The lipolysis index (LI) was calculated as the ratio of the sum of lipid metabolites (ALC+FFA+MG+DG) to the sum of TG, WE, and glyco- and phospholipids (Goutx et al., 2003).</w:t>
      </w:r>
      <w:r w:rsidR="0060530A" w:rsidRPr="00E63E1C">
        <w:rPr>
          <w:iCs/>
          <w:lang w:val="en-GB"/>
        </w:rPr>
        <w:t xml:space="preserve"> </w:t>
      </w:r>
      <w:r w:rsidR="008E32C7" w:rsidRPr="00E63E1C">
        <w:rPr>
          <w:lang w:val="en-GB"/>
        </w:rPr>
        <w:t xml:space="preserve">Temperature, salinity, and </w:t>
      </w:r>
      <w:r w:rsidR="00F34814" w:rsidRPr="00E63E1C">
        <w:rPr>
          <w:lang w:val="en-GB"/>
        </w:rPr>
        <w:t>c</w:t>
      </w:r>
      <w:r w:rsidR="008E32C7" w:rsidRPr="00E63E1C">
        <w:rPr>
          <w:lang w:val="en-GB"/>
        </w:rPr>
        <w:t xml:space="preserve">hlorophyll </w:t>
      </w:r>
      <w:r w:rsidR="008E32C7" w:rsidRPr="00E63E1C">
        <w:rPr>
          <w:i/>
          <w:lang w:val="en-GB"/>
        </w:rPr>
        <w:t>a</w:t>
      </w:r>
      <w:r w:rsidR="008E32C7" w:rsidRPr="00E63E1C">
        <w:rPr>
          <w:lang w:val="en-GB"/>
        </w:rPr>
        <w:t xml:space="preserve"> (Chl </w:t>
      </w:r>
      <w:r w:rsidR="008E32C7" w:rsidRPr="00E63E1C">
        <w:rPr>
          <w:i/>
          <w:lang w:val="en-GB"/>
        </w:rPr>
        <w:t>a</w:t>
      </w:r>
      <w:r w:rsidR="008E32C7" w:rsidRPr="00E63E1C">
        <w:rPr>
          <w:lang w:val="en-GB"/>
        </w:rPr>
        <w:t>) measurements were made using Seabird SBE 37-IM recorders (Sea-Bird Electronics Inc., Bellevue, Washington, USA).</w:t>
      </w:r>
    </w:p>
    <w:p w:rsidR="00FC6C06" w:rsidRPr="00E63E1C" w:rsidRDefault="00FC6C06" w:rsidP="00CD12B2">
      <w:pPr>
        <w:spacing w:after="120" w:line="360" w:lineRule="auto"/>
        <w:ind w:firstLine="720"/>
        <w:rPr>
          <w:lang w:val="en-GB"/>
        </w:rPr>
      </w:pPr>
    </w:p>
    <w:p w:rsidR="00C96202" w:rsidRPr="00E63E1C" w:rsidRDefault="00C96202" w:rsidP="00CD12B2">
      <w:pPr>
        <w:spacing w:after="120" w:line="360" w:lineRule="auto"/>
        <w:rPr>
          <w:b/>
          <w:lang w:val="en-GB"/>
        </w:rPr>
      </w:pPr>
      <w:r w:rsidRPr="00E63E1C">
        <w:rPr>
          <w:b/>
          <w:lang w:val="en-GB"/>
        </w:rPr>
        <w:t>3. Results</w:t>
      </w:r>
    </w:p>
    <w:p w:rsidR="00CD63AC" w:rsidRPr="00E63E1C" w:rsidRDefault="00FC6C06" w:rsidP="005F3BBF">
      <w:pPr>
        <w:spacing w:after="120" w:line="360" w:lineRule="auto"/>
        <w:ind w:firstLine="720"/>
        <w:jc w:val="both"/>
        <w:rPr>
          <w:lang w:val="en-GB"/>
        </w:rPr>
      </w:pPr>
      <w:r w:rsidRPr="00E63E1C">
        <w:rPr>
          <w:lang w:val="en-GB"/>
        </w:rPr>
        <w:t>The PAP station environmental condition</w:t>
      </w:r>
      <w:r w:rsidR="00702243" w:rsidRPr="00E63E1C">
        <w:rPr>
          <w:lang w:val="en-GB"/>
        </w:rPr>
        <w:t>s</w:t>
      </w:r>
      <w:r w:rsidRPr="00E63E1C">
        <w:rPr>
          <w:lang w:val="en-GB"/>
        </w:rPr>
        <w:t xml:space="preserve"> were reflected in tempe</w:t>
      </w:r>
      <w:r w:rsidR="00A90799" w:rsidRPr="00E63E1C">
        <w:rPr>
          <w:lang w:val="en-GB"/>
        </w:rPr>
        <w:t>rature that varied between 13.7</w:t>
      </w:r>
      <w:r w:rsidRPr="00E63E1C">
        <w:rPr>
          <w:lang w:val="en-GB"/>
        </w:rPr>
        <w:t xml:space="preserve">°C at </w:t>
      </w:r>
      <w:r w:rsidR="005C431B" w:rsidRPr="00E63E1C">
        <w:rPr>
          <w:lang w:val="en-GB"/>
        </w:rPr>
        <w:t xml:space="preserve">the </w:t>
      </w:r>
      <w:r w:rsidRPr="00E63E1C">
        <w:rPr>
          <w:lang w:val="en-GB"/>
        </w:rPr>
        <w:t>surface and 2.6°C at 4800 m</w:t>
      </w:r>
      <w:r w:rsidR="00B250D4" w:rsidRPr="00E63E1C">
        <w:rPr>
          <w:lang w:val="en-GB"/>
        </w:rPr>
        <w:t xml:space="preserve"> (Fig. 1a)</w:t>
      </w:r>
      <w:r w:rsidR="001B2963" w:rsidRPr="00E63E1C">
        <w:rPr>
          <w:lang w:val="en-GB"/>
        </w:rPr>
        <w:t>,</w:t>
      </w:r>
      <w:r w:rsidRPr="00E63E1C">
        <w:rPr>
          <w:lang w:val="en-GB"/>
        </w:rPr>
        <w:t xml:space="preserve"> while salinity varied in the range of 35.6 at </w:t>
      </w:r>
      <w:r w:rsidR="00A90799" w:rsidRPr="00E63E1C">
        <w:rPr>
          <w:lang w:val="en-GB"/>
        </w:rPr>
        <w:t xml:space="preserve">the </w:t>
      </w:r>
      <w:r w:rsidRPr="00E63E1C">
        <w:rPr>
          <w:lang w:val="en-GB"/>
        </w:rPr>
        <w:t xml:space="preserve">surface </w:t>
      </w:r>
      <w:r w:rsidR="005F729B" w:rsidRPr="00E63E1C">
        <w:rPr>
          <w:lang w:val="en-GB"/>
        </w:rPr>
        <w:t>to</w:t>
      </w:r>
      <w:r w:rsidRPr="00E63E1C">
        <w:rPr>
          <w:lang w:val="en-GB"/>
        </w:rPr>
        <w:t xml:space="preserve"> 34.9 </w:t>
      </w:r>
      <w:r w:rsidR="007A17DC">
        <w:rPr>
          <w:lang w:val="en-GB"/>
        </w:rPr>
        <w:t>at 4800m</w:t>
      </w:r>
      <w:r w:rsidR="00B250D4" w:rsidRPr="00E63E1C">
        <w:rPr>
          <w:lang w:val="en-GB"/>
        </w:rPr>
        <w:t xml:space="preserve"> (Fig. 1b)</w:t>
      </w:r>
      <w:r w:rsidRPr="00E63E1C">
        <w:rPr>
          <w:lang w:val="en-GB"/>
        </w:rPr>
        <w:t>.</w:t>
      </w:r>
      <w:r w:rsidR="00B250D4" w:rsidRPr="00E63E1C">
        <w:rPr>
          <w:lang w:val="en-GB"/>
        </w:rPr>
        <w:t xml:space="preserve"> </w:t>
      </w:r>
      <w:r w:rsidR="002C5133" w:rsidRPr="00E63E1C">
        <w:rPr>
          <w:lang w:val="en-GB"/>
        </w:rPr>
        <w:t xml:space="preserve">Chl </w:t>
      </w:r>
      <w:r w:rsidR="002C5133" w:rsidRPr="00E63E1C">
        <w:rPr>
          <w:i/>
          <w:lang w:val="en-GB"/>
        </w:rPr>
        <w:t>a</w:t>
      </w:r>
      <w:r w:rsidR="002C5133" w:rsidRPr="00E63E1C">
        <w:rPr>
          <w:lang w:val="en-GB"/>
        </w:rPr>
        <w:t>, measured by c</w:t>
      </w:r>
      <w:r w:rsidR="0084358D" w:rsidRPr="00E63E1C">
        <w:rPr>
          <w:lang w:val="en-GB"/>
        </w:rPr>
        <w:t>hlorophyll f</w:t>
      </w:r>
      <w:r w:rsidR="00B250D4" w:rsidRPr="00E63E1C">
        <w:rPr>
          <w:lang w:val="en-GB"/>
        </w:rPr>
        <w:t>luorescence (Fig. 1c)</w:t>
      </w:r>
      <w:r w:rsidR="009A47E3" w:rsidRPr="00E63E1C">
        <w:rPr>
          <w:lang w:val="en-GB"/>
        </w:rPr>
        <w:t>,</w:t>
      </w:r>
      <w:r w:rsidR="002C5133" w:rsidRPr="00E63E1C">
        <w:rPr>
          <w:lang w:val="en-GB"/>
        </w:rPr>
        <w:t xml:space="preserve"> was high</w:t>
      </w:r>
      <w:r w:rsidR="00794BC6" w:rsidRPr="00E63E1C">
        <w:rPr>
          <w:lang w:val="en-GB"/>
        </w:rPr>
        <w:t>er</w:t>
      </w:r>
      <w:r w:rsidR="002C5133" w:rsidRPr="00E63E1C">
        <w:rPr>
          <w:lang w:val="en-GB"/>
        </w:rPr>
        <w:t xml:space="preserve"> from the surface </w:t>
      </w:r>
      <w:r w:rsidR="00794BC6" w:rsidRPr="00E63E1C">
        <w:rPr>
          <w:lang w:val="en-GB"/>
        </w:rPr>
        <w:t xml:space="preserve">to </w:t>
      </w:r>
      <w:r w:rsidR="002C5133" w:rsidRPr="00E63E1C">
        <w:rPr>
          <w:lang w:val="en-GB"/>
        </w:rPr>
        <w:t xml:space="preserve">50 m depth, with </w:t>
      </w:r>
      <w:r w:rsidR="005F3BBF" w:rsidRPr="00E63E1C">
        <w:rPr>
          <w:lang w:val="en-GB"/>
        </w:rPr>
        <w:t xml:space="preserve">the </w:t>
      </w:r>
      <w:r w:rsidR="002C5133" w:rsidRPr="00E63E1C">
        <w:rPr>
          <w:lang w:val="en-GB"/>
        </w:rPr>
        <w:t xml:space="preserve">highest value </w:t>
      </w:r>
      <w:r w:rsidR="00794BC6" w:rsidRPr="00E63E1C">
        <w:rPr>
          <w:lang w:val="en-GB"/>
        </w:rPr>
        <w:t xml:space="preserve">observed </w:t>
      </w:r>
      <w:r w:rsidR="005E422D" w:rsidRPr="00E63E1C">
        <w:rPr>
          <w:lang w:val="en-GB"/>
        </w:rPr>
        <w:t>at 30 m.</w:t>
      </w:r>
    </w:p>
    <w:p w:rsidR="00C673CE" w:rsidRPr="00E63E1C" w:rsidRDefault="00183AEE" w:rsidP="00183AEE">
      <w:pPr>
        <w:spacing w:after="120" w:line="360" w:lineRule="auto"/>
        <w:ind w:firstLine="720"/>
        <w:jc w:val="both"/>
        <w:rPr>
          <w:lang w:val="en-GB"/>
        </w:rPr>
      </w:pPr>
      <w:r w:rsidRPr="00E63E1C">
        <w:rPr>
          <w:lang w:val="en-GB"/>
        </w:rPr>
        <w:t>Suspended t</w:t>
      </w:r>
      <w:r w:rsidR="00C673CE" w:rsidRPr="00E63E1C">
        <w:rPr>
          <w:lang w:val="en-GB"/>
        </w:rPr>
        <w:t>otal lipid</w:t>
      </w:r>
      <w:r w:rsidR="00872973" w:rsidRPr="00E63E1C">
        <w:rPr>
          <w:lang w:val="en-GB"/>
        </w:rPr>
        <w:t>s</w:t>
      </w:r>
      <w:r w:rsidR="002917EE" w:rsidRPr="00E63E1C">
        <w:rPr>
          <w:lang w:val="en-GB"/>
        </w:rPr>
        <w:t xml:space="preserve">, </w:t>
      </w:r>
      <w:r w:rsidR="00C673CE" w:rsidRPr="00E63E1C">
        <w:rPr>
          <w:lang w:val="en-GB"/>
        </w:rPr>
        <w:t>TG</w:t>
      </w:r>
      <w:r w:rsidR="002917EE" w:rsidRPr="00E63E1C">
        <w:rPr>
          <w:lang w:val="en-GB"/>
        </w:rPr>
        <w:t>, D</w:t>
      </w:r>
      <w:r w:rsidR="00393581" w:rsidRPr="00E63E1C">
        <w:rPr>
          <w:lang w:val="en-GB"/>
        </w:rPr>
        <w:t>G</w:t>
      </w:r>
      <w:r w:rsidR="002917EE" w:rsidRPr="00E63E1C">
        <w:rPr>
          <w:lang w:val="en-GB"/>
        </w:rPr>
        <w:t>, MG</w:t>
      </w:r>
      <w:r w:rsidR="005C71E9" w:rsidRPr="00E63E1C">
        <w:rPr>
          <w:lang w:val="en-GB"/>
        </w:rPr>
        <w:t>,</w:t>
      </w:r>
      <w:r w:rsidR="002917EE" w:rsidRPr="00E63E1C">
        <w:rPr>
          <w:lang w:val="en-GB"/>
        </w:rPr>
        <w:t xml:space="preserve"> FFA </w:t>
      </w:r>
      <w:r w:rsidR="005C71E9" w:rsidRPr="005777E8">
        <w:rPr>
          <w:lang w:val="en-GB"/>
        </w:rPr>
        <w:t>(</w:t>
      </w:r>
      <w:r w:rsidR="00CD63AC" w:rsidRPr="005777E8">
        <w:rPr>
          <w:lang w:val="en-GB"/>
        </w:rPr>
        <w:t xml:space="preserve">Fig. </w:t>
      </w:r>
      <w:r w:rsidR="00CD63AC" w:rsidRPr="002C048F">
        <w:rPr>
          <w:lang w:val="en-GB"/>
        </w:rPr>
        <w:t>2</w:t>
      </w:r>
      <w:r w:rsidR="005C71E9" w:rsidRPr="002C048F">
        <w:rPr>
          <w:lang w:val="en-GB"/>
        </w:rPr>
        <w:t>a</w:t>
      </w:r>
      <w:r w:rsidR="005777E8" w:rsidRPr="002C048F">
        <w:rPr>
          <w:lang w:val="en-GB"/>
        </w:rPr>
        <w:t>, Appendix Table 1</w:t>
      </w:r>
      <w:r w:rsidR="005C71E9" w:rsidRPr="002C048F">
        <w:rPr>
          <w:lang w:val="en-GB"/>
        </w:rPr>
        <w:t xml:space="preserve">) </w:t>
      </w:r>
      <w:r w:rsidR="00AF0DAF" w:rsidRPr="002C048F">
        <w:rPr>
          <w:lang w:val="en-GB"/>
        </w:rPr>
        <w:t>were</w:t>
      </w:r>
      <w:r w:rsidR="00AF0DAF" w:rsidRPr="00E63E1C">
        <w:rPr>
          <w:lang w:val="en-GB"/>
        </w:rPr>
        <w:t xml:space="preserve"> </w:t>
      </w:r>
      <w:r w:rsidR="005C71E9" w:rsidRPr="00E63E1C">
        <w:rPr>
          <w:lang w:val="en-GB"/>
        </w:rPr>
        <w:t xml:space="preserve">higher </w:t>
      </w:r>
      <w:r w:rsidR="00C673CE" w:rsidRPr="00E63E1C">
        <w:rPr>
          <w:lang w:val="en-GB"/>
        </w:rPr>
        <w:t xml:space="preserve">in </w:t>
      </w:r>
      <w:r w:rsidR="005C71E9" w:rsidRPr="00E63E1C">
        <w:rPr>
          <w:lang w:val="en-GB"/>
        </w:rPr>
        <w:t xml:space="preserve">the </w:t>
      </w:r>
      <w:r w:rsidR="00C673CE" w:rsidRPr="00E63E1C">
        <w:rPr>
          <w:lang w:val="en-GB"/>
        </w:rPr>
        <w:t>surface productive euphotic zone</w:t>
      </w:r>
      <w:r w:rsidR="00AF0DAF" w:rsidRPr="00E63E1C">
        <w:rPr>
          <w:lang w:val="en-GB"/>
        </w:rPr>
        <w:t xml:space="preserve"> </w:t>
      </w:r>
      <w:r w:rsidR="005E6173" w:rsidRPr="00E63E1C">
        <w:rPr>
          <w:lang w:val="en-GB"/>
        </w:rPr>
        <w:t>following</w:t>
      </w:r>
      <w:r w:rsidR="00AF0DAF" w:rsidRPr="00E63E1C">
        <w:rPr>
          <w:lang w:val="en-GB"/>
        </w:rPr>
        <w:t xml:space="preserve"> Chl </w:t>
      </w:r>
      <w:r w:rsidR="00AF0DAF" w:rsidRPr="00E63E1C">
        <w:rPr>
          <w:i/>
          <w:iCs/>
          <w:lang w:val="en-GB"/>
        </w:rPr>
        <w:t>a</w:t>
      </w:r>
      <w:r w:rsidR="00AF0DAF" w:rsidRPr="00E63E1C">
        <w:rPr>
          <w:lang w:val="en-GB"/>
        </w:rPr>
        <w:t xml:space="preserve"> </w:t>
      </w:r>
      <w:r w:rsidR="005E6173" w:rsidRPr="00E63E1C">
        <w:rPr>
          <w:lang w:val="en-GB"/>
        </w:rPr>
        <w:t>distribution</w:t>
      </w:r>
      <w:r w:rsidR="00CD63AC" w:rsidRPr="00E63E1C">
        <w:rPr>
          <w:lang w:val="en-GB"/>
        </w:rPr>
        <w:t xml:space="preserve"> (Fig. 1c)</w:t>
      </w:r>
      <w:r w:rsidR="00C673CE" w:rsidRPr="00E63E1C">
        <w:rPr>
          <w:lang w:val="en-GB"/>
        </w:rPr>
        <w:t xml:space="preserve">. The total lipid concentrations ranged from </w:t>
      </w:r>
      <w:r w:rsidR="00614546" w:rsidRPr="00E63E1C">
        <w:rPr>
          <w:lang w:val="en-GB"/>
        </w:rPr>
        <w:t xml:space="preserve">3.0 </w:t>
      </w:r>
      <w:r w:rsidR="00C673CE" w:rsidRPr="00E63E1C">
        <w:rPr>
          <w:lang w:val="en-GB"/>
        </w:rPr>
        <w:t xml:space="preserve">to </w:t>
      </w:r>
      <w:r w:rsidR="00614546" w:rsidRPr="00E63E1C">
        <w:rPr>
          <w:lang w:val="en-GB"/>
        </w:rPr>
        <w:t>24.9</w:t>
      </w:r>
      <w:r w:rsidR="00C673CE" w:rsidRPr="00E63E1C">
        <w:rPr>
          <w:lang w:val="en-GB"/>
        </w:rPr>
        <w:t xml:space="preserve"> </w:t>
      </w:r>
      <w:r w:rsidR="00C673CE" w:rsidRPr="00E63E1C">
        <w:rPr>
          <w:lang w:val="en-GB"/>
        </w:rPr>
        <w:sym w:font="Symbol" w:char="F06D"/>
      </w:r>
      <w:r w:rsidR="00C673CE" w:rsidRPr="00E63E1C">
        <w:rPr>
          <w:lang w:val="en-GB"/>
        </w:rPr>
        <w:t>g L</w:t>
      </w:r>
      <w:r w:rsidR="00C673CE" w:rsidRPr="00E63E1C">
        <w:rPr>
          <w:vertAlign w:val="superscript"/>
          <w:lang w:val="en-GB"/>
        </w:rPr>
        <w:t>-1</w:t>
      </w:r>
      <w:r w:rsidR="00C673CE" w:rsidRPr="00E63E1C">
        <w:rPr>
          <w:lang w:val="en-GB"/>
        </w:rPr>
        <w:t>, with maxima observed at 30 m depth</w:t>
      </w:r>
      <w:r w:rsidR="00614546" w:rsidRPr="00E63E1C">
        <w:rPr>
          <w:lang w:val="en-GB"/>
        </w:rPr>
        <w:t xml:space="preserve"> as observed for all the lipid classes</w:t>
      </w:r>
      <w:r w:rsidR="00642552">
        <w:rPr>
          <w:lang w:val="en-GB"/>
        </w:rPr>
        <w:t xml:space="preserve"> discussed here</w:t>
      </w:r>
      <w:r w:rsidR="00C673CE" w:rsidRPr="00E63E1C">
        <w:rPr>
          <w:lang w:val="en-GB"/>
        </w:rPr>
        <w:t>. The TG</w:t>
      </w:r>
      <w:r w:rsidR="00614546" w:rsidRPr="00E63E1C">
        <w:rPr>
          <w:lang w:val="en-GB"/>
        </w:rPr>
        <w:t>, DG, MG and FFA</w:t>
      </w:r>
      <w:r w:rsidR="00C673CE" w:rsidRPr="00E63E1C">
        <w:rPr>
          <w:lang w:val="en-GB"/>
        </w:rPr>
        <w:t xml:space="preserve"> co</w:t>
      </w:r>
      <w:r w:rsidR="00614546" w:rsidRPr="00E63E1C">
        <w:rPr>
          <w:lang w:val="en-GB"/>
        </w:rPr>
        <w:t>ncentrations were as high as 1.9, 0.39, 0.1, 3.5</w:t>
      </w:r>
      <w:r w:rsidR="00C673CE" w:rsidRPr="00E63E1C">
        <w:rPr>
          <w:lang w:val="en-GB"/>
        </w:rPr>
        <w:t xml:space="preserve"> </w:t>
      </w:r>
      <w:r w:rsidR="00C673CE" w:rsidRPr="00E63E1C">
        <w:rPr>
          <w:lang w:val="en-GB"/>
        </w:rPr>
        <w:sym w:font="Symbol" w:char="F06D"/>
      </w:r>
      <w:r w:rsidR="00C673CE" w:rsidRPr="00E63E1C">
        <w:rPr>
          <w:lang w:val="en-GB"/>
        </w:rPr>
        <w:t>g L</w:t>
      </w:r>
      <w:r w:rsidR="00C673CE" w:rsidRPr="00E63E1C">
        <w:rPr>
          <w:vertAlign w:val="superscript"/>
          <w:lang w:val="en-GB"/>
        </w:rPr>
        <w:t>-1</w:t>
      </w:r>
      <w:r w:rsidR="00616F1B" w:rsidRPr="00E63E1C">
        <w:rPr>
          <w:vertAlign w:val="superscript"/>
          <w:lang w:val="en-GB"/>
        </w:rPr>
        <w:t xml:space="preserve"> </w:t>
      </w:r>
      <w:r w:rsidR="00616F1B" w:rsidRPr="00E63E1C">
        <w:rPr>
          <w:lang w:val="en-GB"/>
        </w:rPr>
        <w:t>at 30 m</w:t>
      </w:r>
      <w:r w:rsidR="00614546" w:rsidRPr="00E63E1C">
        <w:rPr>
          <w:lang w:val="en-GB"/>
        </w:rPr>
        <w:t>, respectively</w:t>
      </w:r>
      <w:r w:rsidR="00C673CE" w:rsidRPr="00E63E1C">
        <w:rPr>
          <w:lang w:val="en-GB"/>
        </w:rPr>
        <w:t xml:space="preserve"> and then decreased below 0.1 </w:t>
      </w:r>
      <w:r w:rsidR="00C673CE" w:rsidRPr="00E63E1C">
        <w:rPr>
          <w:lang w:val="en-GB"/>
        </w:rPr>
        <w:sym w:font="Symbol" w:char="F06D"/>
      </w:r>
      <w:r w:rsidR="00C673CE" w:rsidRPr="00E63E1C">
        <w:rPr>
          <w:lang w:val="en-GB"/>
        </w:rPr>
        <w:t>g L</w:t>
      </w:r>
      <w:r w:rsidR="00C673CE" w:rsidRPr="00E63E1C">
        <w:rPr>
          <w:vertAlign w:val="superscript"/>
          <w:lang w:val="en-GB"/>
        </w:rPr>
        <w:t>-1</w:t>
      </w:r>
      <w:r w:rsidR="00C673CE" w:rsidRPr="00E63E1C">
        <w:rPr>
          <w:lang w:val="en-GB"/>
        </w:rPr>
        <w:t xml:space="preserve"> at </w:t>
      </w:r>
      <w:r w:rsidR="00201093" w:rsidRPr="00E63E1C">
        <w:rPr>
          <w:lang w:val="en-GB"/>
        </w:rPr>
        <w:t>a</w:t>
      </w:r>
      <w:r w:rsidR="00C673CE" w:rsidRPr="00E63E1C">
        <w:rPr>
          <w:lang w:val="en-GB"/>
        </w:rPr>
        <w:t>byssopelagic (</w:t>
      </w:r>
      <w:r w:rsidR="00C673CE" w:rsidRPr="00E63E1C">
        <w:rPr>
          <w:lang w:val="en-GB"/>
        </w:rPr>
        <w:sym w:font="Symbol" w:char="F0B3"/>
      </w:r>
      <w:r w:rsidR="00C673CE" w:rsidRPr="00E63E1C">
        <w:rPr>
          <w:lang w:val="en-GB"/>
        </w:rPr>
        <w:t xml:space="preserve"> 4000</w:t>
      </w:r>
      <w:r w:rsidR="00201093" w:rsidRPr="00E63E1C">
        <w:rPr>
          <w:lang w:val="en-GB"/>
        </w:rPr>
        <w:t xml:space="preserve"> </w:t>
      </w:r>
      <w:r w:rsidR="00C673CE" w:rsidRPr="00E63E1C">
        <w:rPr>
          <w:lang w:val="en-GB"/>
        </w:rPr>
        <w:t>m) depths.</w:t>
      </w:r>
      <w:r w:rsidR="004C0540" w:rsidRPr="00E63E1C">
        <w:rPr>
          <w:lang w:val="en-GB"/>
        </w:rPr>
        <w:t xml:space="preserve"> </w:t>
      </w:r>
    </w:p>
    <w:p w:rsidR="00C673CE" w:rsidRPr="00E63E1C" w:rsidRDefault="004C0540" w:rsidP="00CD12B2">
      <w:pPr>
        <w:spacing w:after="120" w:line="360" w:lineRule="auto"/>
        <w:ind w:firstLine="720"/>
        <w:jc w:val="both"/>
        <w:rPr>
          <w:bCs/>
          <w:lang w:val="en-GB"/>
        </w:rPr>
      </w:pPr>
      <w:r w:rsidRPr="00E63E1C">
        <w:rPr>
          <w:lang w:val="en-GB"/>
        </w:rPr>
        <w:t xml:space="preserve">The </w:t>
      </w:r>
      <w:r w:rsidR="005C4147" w:rsidRPr="00E63E1C">
        <w:rPr>
          <w:lang w:val="en-GB"/>
        </w:rPr>
        <w:t>observed lipid class</w:t>
      </w:r>
      <w:r w:rsidR="00333296" w:rsidRPr="00E63E1C">
        <w:rPr>
          <w:lang w:val="en-GB"/>
        </w:rPr>
        <w:t xml:space="preserve"> </w:t>
      </w:r>
      <w:r w:rsidRPr="00E63E1C">
        <w:rPr>
          <w:lang w:val="en-GB"/>
        </w:rPr>
        <w:t>contribution</w:t>
      </w:r>
      <w:r w:rsidR="005C4147" w:rsidRPr="00E63E1C">
        <w:rPr>
          <w:lang w:val="en-GB"/>
        </w:rPr>
        <w:t>s</w:t>
      </w:r>
      <w:r w:rsidRPr="00E63E1C">
        <w:rPr>
          <w:lang w:val="en-GB"/>
        </w:rPr>
        <w:t xml:space="preserve"> to total lipids </w:t>
      </w:r>
      <w:r w:rsidR="009A72EA" w:rsidRPr="00E63E1C">
        <w:rPr>
          <w:lang w:val="en-GB"/>
        </w:rPr>
        <w:t xml:space="preserve">in the water column </w:t>
      </w:r>
      <w:r w:rsidRPr="00E63E1C">
        <w:rPr>
          <w:lang w:val="en-GB"/>
        </w:rPr>
        <w:t xml:space="preserve">decreased in the order </w:t>
      </w:r>
      <w:r w:rsidR="00E07CFA" w:rsidRPr="00E63E1C">
        <w:rPr>
          <w:lang w:val="en-GB"/>
        </w:rPr>
        <w:t xml:space="preserve">of </w:t>
      </w:r>
      <w:r w:rsidRPr="00E63E1C">
        <w:rPr>
          <w:lang w:val="en-GB"/>
        </w:rPr>
        <w:t>FFA&gt;TG&gt;DG&gt;MG (</w:t>
      </w:r>
      <w:r w:rsidR="00CD63AC" w:rsidRPr="00E63E1C">
        <w:rPr>
          <w:bCs/>
          <w:lang w:val="en-GB"/>
        </w:rPr>
        <w:t>Fig. 2</w:t>
      </w:r>
      <w:r w:rsidRPr="00E63E1C">
        <w:rPr>
          <w:bCs/>
          <w:lang w:val="en-GB"/>
        </w:rPr>
        <w:t>b).</w:t>
      </w:r>
      <w:r w:rsidR="009F69CB" w:rsidRPr="00E63E1C">
        <w:rPr>
          <w:bCs/>
          <w:lang w:val="en-GB"/>
        </w:rPr>
        <w:t xml:space="preserve"> F</w:t>
      </w:r>
      <w:r w:rsidR="005C4147" w:rsidRPr="00E63E1C">
        <w:rPr>
          <w:bCs/>
          <w:lang w:val="en-GB"/>
        </w:rPr>
        <w:t>ree fatty acids</w:t>
      </w:r>
      <w:r w:rsidR="009F69CB" w:rsidRPr="00E63E1C">
        <w:rPr>
          <w:bCs/>
          <w:lang w:val="en-GB"/>
        </w:rPr>
        <w:t xml:space="preserve"> contributed</w:t>
      </w:r>
      <w:r w:rsidR="00EF0788" w:rsidRPr="00E63E1C">
        <w:rPr>
          <w:bCs/>
          <w:lang w:val="en-GB"/>
        </w:rPr>
        <w:t xml:space="preserve"> </w:t>
      </w:r>
      <w:r w:rsidR="00333296" w:rsidRPr="00E63E1C">
        <w:rPr>
          <w:bCs/>
          <w:lang w:val="en-GB"/>
        </w:rPr>
        <w:t xml:space="preserve">between </w:t>
      </w:r>
      <w:r w:rsidR="00AA6983" w:rsidRPr="00E63E1C">
        <w:rPr>
          <w:bCs/>
          <w:lang w:val="en-GB"/>
        </w:rPr>
        <w:t>0</w:t>
      </w:r>
      <w:r w:rsidR="009F69CB" w:rsidRPr="00E63E1C">
        <w:rPr>
          <w:bCs/>
          <w:lang w:val="en-GB"/>
        </w:rPr>
        <w:t>.8</w:t>
      </w:r>
      <w:r w:rsidR="00AA6983" w:rsidRPr="00E63E1C">
        <w:rPr>
          <w:bCs/>
          <w:lang w:val="en-GB"/>
        </w:rPr>
        <w:t>%</w:t>
      </w:r>
      <w:r w:rsidR="00EF0788" w:rsidRPr="00E63E1C">
        <w:rPr>
          <w:bCs/>
          <w:lang w:val="en-GB"/>
        </w:rPr>
        <w:t xml:space="preserve"> at </w:t>
      </w:r>
      <w:r w:rsidR="00AA6983" w:rsidRPr="00E63E1C">
        <w:rPr>
          <w:bCs/>
          <w:lang w:val="en-GB"/>
        </w:rPr>
        <w:t>1500 m depth</w:t>
      </w:r>
      <w:r w:rsidR="00EF0788" w:rsidRPr="00E63E1C">
        <w:rPr>
          <w:bCs/>
          <w:lang w:val="en-GB"/>
        </w:rPr>
        <w:t xml:space="preserve"> and</w:t>
      </w:r>
      <w:r w:rsidR="00AA6983" w:rsidRPr="00E63E1C">
        <w:rPr>
          <w:bCs/>
          <w:lang w:val="en-GB"/>
        </w:rPr>
        <w:t xml:space="preserve"> </w:t>
      </w:r>
      <w:r w:rsidR="009F69CB" w:rsidRPr="00E63E1C">
        <w:rPr>
          <w:bCs/>
          <w:lang w:val="en-GB"/>
        </w:rPr>
        <w:t>15.7%</w:t>
      </w:r>
      <w:r w:rsidR="00AA6983" w:rsidRPr="00E63E1C">
        <w:rPr>
          <w:bCs/>
          <w:lang w:val="en-GB"/>
        </w:rPr>
        <w:t xml:space="preserve"> </w:t>
      </w:r>
      <w:r w:rsidR="00EF0788" w:rsidRPr="00E63E1C">
        <w:rPr>
          <w:bCs/>
          <w:lang w:val="en-GB"/>
        </w:rPr>
        <w:t xml:space="preserve">at </w:t>
      </w:r>
      <w:r w:rsidR="00AA6983" w:rsidRPr="00E63E1C">
        <w:rPr>
          <w:bCs/>
          <w:lang w:val="en-GB"/>
        </w:rPr>
        <w:t>5 m depth</w:t>
      </w:r>
      <w:r w:rsidR="009F69CB" w:rsidRPr="00E63E1C">
        <w:rPr>
          <w:bCs/>
          <w:lang w:val="en-GB"/>
        </w:rPr>
        <w:t xml:space="preserve">, DG </w:t>
      </w:r>
      <w:r w:rsidR="00AA6983" w:rsidRPr="00E63E1C">
        <w:rPr>
          <w:bCs/>
          <w:lang w:val="en-GB"/>
        </w:rPr>
        <w:t xml:space="preserve">contributed </w:t>
      </w:r>
      <w:r w:rsidR="00333296" w:rsidRPr="00E63E1C">
        <w:rPr>
          <w:bCs/>
          <w:lang w:val="en-GB"/>
        </w:rPr>
        <w:t xml:space="preserve">between </w:t>
      </w:r>
      <w:r w:rsidR="009F69CB" w:rsidRPr="00E63E1C">
        <w:rPr>
          <w:bCs/>
          <w:lang w:val="en-GB"/>
        </w:rPr>
        <w:t>0.</w:t>
      </w:r>
      <w:r w:rsidR="002C1FF3" w:rsidRPr="00E63E1C">
        <w:rPr>
          <w:bCs/>
          <w:lang w:val="en-GB"/>
        </w:rPr>
        <w:t>4</w:t>
      </w:r>
      <w:r w:rsidR="00AA6983" w:rsidRPr="00E63E1C">
        <w:rPr>
          <w:bCs/>
          <w:lang w:val="en-GB"/>
        </w:rPr>
        <w:t>% (</w:t>
      </w:r>
      <w:r w:rsidR="002C1FF3" w:rsidRPr="00E63E1C">
        <w:rPr>
          <w:bCs/>
          <w:lang w:val="en-GB"/>
        </w:rPr>
        <w:t>1500</w:t>
      </w:r>
      <w:r w:rsidR="00AA6983" w:rsidRPr="00E63E1C">
        <w:rPr>
          <w:bCs/>
          <w:lang w:val="en-GB"/>
        </w:rPr>
        <w:t xml:space="preserve"> m depth) to </w:t>
      </w:r>
      <w:r w:rsidR="009F69CB" w:rsidRPr="00E63E1C">
        <w:rPr>
          <w:bCs/>
          <w:lang w:val="en-GB"/>
        </w:rPr>
        <w:t>2.9%</w:t>
      </w:r>
      <w:r w:rsidR="00AA6983" w:rsidRPr="00E63E1C">
        <w:rPr>
          <w:bCs/>
          <w:lang w:val="en-GB"/>
        </w:rPr>
        <w:t xml:space="preserve"> (2000 m </w:t>
      </w:r>
      <w:r w:rsidR="00AA6983" w:rsidRPr="00E63E1C">
        <w:rPr>
          <w:bCs/>
          <w:lang w:val="en-GB"/>
        </w:rPr>
        <w:lastRenderedPageBreak/>
        <w:t>depth)</w:t>
      </w:r>
      <w:r w:rsidR="009F69CB" w:rsidRPr="00E63E1C">
        <w:rPr>
          <w:bCs/>
          <w:lang w:val="en-GB"/>
        </w:rPr>
        <w:t xml:space="preserve"> and </w:t>
      </w:r>
      <w:r w:rsidR="00AA6983" w:rsidRPr="00E63E1C">
        <w:rPr>
          <w:bCs/>
          <w:lang w:val="en-GB"/>
        </w:rPr>
        <w:t xml:space="preserve">MG </w:t>
      </w:r>
      <w:r w:rsidR="00333296" w:rsidRPr="00E63E1C">
        <w:rPr>
          <w:bCs/>
          <w:lang w:val="en-GB"/>
        </w:rPr>
        <w:t xml:space="preserve">between </w:t>
      </w:r>
      <w:r w:rsidR="00AA6983" w:rsidRPr="00E63E1C">
        <w:rPr>
          <w:bCs/>
          <w:lang w:val="en-GB"/>
        </w:rPr>
        <w:t xml:space="preserve">contributed </w:t>
      </w:r>
      <w:r w:rsidR="009F69CB" w:rsidRPr="00E63E1C">
        <w:rPr>
          <w:bCs/>
          <w:lang w:val="en-GB"/>
        </w:rPr>
        <w:t>0.</w:t>
      </w:r>
      <w:r w:rsidR="002C1FF3" w:rsidRPr="00E63E1C">
        <w:rPr>
          <w:bCs/>
          <w:lang w:val="en-GB"/>
        </w:rPr>
        <w:t>1</w:t>
      </w:r>
      <w:r w:rsidR="00AA6983" w:rsidRPr="00E63E1C">
        <w:rPr>
          <w:bCs/>
          <w:lang w:val="en-GB"/>
        </w:rPr>
        <w:t>% (</w:t>
      </w:r>
      <w:r w:rsidR="002C1FF3" w:rsidRPr="00E63E1C">
        <w:rPr>
          <w:bCs/>
          <w:lang w:val="en-GB"/>
        </w:rPr>
        <w:t>1</w:t>
      </w:r>
      <w:r w:rsidR="00AA6983" w:rsidRPr="00E63E1C">
        <w:rPr>
          <w:bCs/>
          <w:lang w:val="en-GB"/>
        </w:rPr>
        <w:t xml:space="preserve">00 m depth) to </w:t>
      </w:r>
      <w:r w:rsidR="009F69CB" w:rsidRPr="00E63E1C">
        <w:rPr>
          <w:bCs/>
          <w:lang w:val="en-GB"/>
        </w:rPr>
        <w:t>0.7%</w:t>
      </w:r>
      <w:r w:rsidR="00AA6983" w:rsidRPr="00E63E1C">
        <w:rPr>
          <w:bCs/>
          <w:lang w:val="en-GB"/>
        </w:rPr>
        <w:t xml:space="preserve"> (3000 m depth)</w:t>
      </w:r>
      <w:r w:rsidR="009F69CB" w:rsidRPr="00E63E1C">
        <w:rPr>
          <w:bCs/>
          <w:lang w:val="en-GB"/>
        </w:rPr>
        <w:t>.</w:t>
      </w:r>
      <w:r w:rsidR="00AA6983" w:rsidRPr="00E63E1C">
        <w:rPr>
          <w:bCs/>
          <w:lang w:val="en-GB"/>
        </w:rPr>
        <w:t xml:space="preserve"> </w:t>
      </w:r>
      <w:r w:rsidR="00C673CE" w:rsidRPr="00E63E1C">
        <w:rPr>
          <w:bCs/>
          <w:lang w:val="en-GB"/>
        </w:rPr>
        <w:t xml:space="preserve"> </w:t>
      </w:r>
      <w:r w:rsidR="00E07CFA" w:rsidRPr="00E63E1C">
        <w:rPr>
          <w:bCs/>
          <w:lang w:val="en-GB"/>
        </w:rPr>
        <w:t>The highest contribution of TG to the total lipid signal (</w:t>
      </w:r>
      <w:r w:rsidR="00201093" w:rsidRPr="00E63E1C">
        <w:rPr>
          <w:bCs/>
          <w:lang w:val="en-GB"/>
        </w:rPr>
        <w:t>i.e. 7.9%) was observed in the e</w:t>
      </w:r>
      <w:r w:rsidR="00E07CFA" w:rsidRPr="00E63E1C">
        <w:rPr>
          <w:bCs/>
          <w:lang w:val="en-GB"/>
        </w:rPr>
        <w:t xml:space="preserve">pipelagic </w:t>
      </w:r>
      <w:r w:rsidR="00201093" w:rsidRPr="00E63E1C">
        <w:rPr>
          <w:bCs/>
          <w:lang w:val="en-GB"/>
        </w:rPr>
        <w:t xml:space="preserve">zone </w:t>
      </w:r>
      <w:r w:rsidR="00E07CFA" w:rsidRPr="00E63E1C">
        <w:rPr>
          <w:bCs/>
          <w:lang w:val="en-GB"/>
        </w:rPr>
        <w:t>(0-200 m), whereas TG contribution decreased to 3.2% f</w:t>
      </w:r>
      <w:r w:rsidR="00C673CE" w:rsidRPr="00E63E1C">
        <w:rPr>
          <w:bCs/>
          <w:lang w:val="en-GB"/>
        </w:rPr>
        <w:t xml:space="preserve">rom </w:t>
      </w:r>
      <w:r w:rsidR="00201093" w:rsidRPr="00E63E1C">
        <w:rPr>
          <w:bCs/>
          <w:lang w:val="en-GB"/>
        </w:rPr>
        <w:t>m</w:t>
      </w:r>
      <w:r w:rsidR="00C673CE" w:rsidRPr="00E63E1C">
        <w:rPr>
          <w:bCs/>
          <w:lang w:val="en-GB"/>
        </w:rPr>
        <w:t>es</w:t>
      </w:r>
      <w:r w:rsidR="00AA6983" w:rsidRPr="00E63E1C">
        <w:rPr>
          <w:bCs/>
          <w:lang w:val="en-GB"/>
        </w:rPr>
        <w:t xml:space="preserve">opelagic to </w:t>
      </w:r>
      <w:r w:rsidR="00201093" w:rsidRPr="00E63E1C">
        <w:rPr>
          <w:bCs/>
          <w:lang w:val="en-GB"/>
        </w:rPr>
        <w:t>a</w:t>
      </w:r>
      <w:r w:rsidR="00AA6983" w:rsidRPr="00E63E1C">
        <w:rPr>
          <w:bCs/>
          <w:lang w:val="en-GB"/>
        </w:rPr>
        <w:t>bys</w:t>
      </w:r>
      <w:r w:rsidR="00851745" w:rsidRPr="00E63E1C">
        <w:rPr>
          <w:bCs/>
          <w:lang w:val="en-GB"/>
        </w:rPr>
        <w:t>s</w:t>
      </w:r>
      <w:r w:rsidR="00AA6983" w:rsidRPr="00E63E1C">
        <w:rPr>
          <w:bCs/>
          <w:lang w:val="en-GB"/>
        </w:rPr>
        <w:t>opelagic</w:t>
      </w:r>
      <w:r w:rsidR="00201093" w:rsidRPr="00E63E1C">
        <w:rPr>
          <w:bCs/>
          <w:lang w:val="en-GB"/>
        </w:rPr>
        <w:t xml:space="preserve"> zone</w:t>
      </w:r>
      <w:r w:rsidR="00E07CFA" w:rsidRPr="00E63E1C">
        <w:rPr>
          <w:bCs/>
          <w:lang w:val="en-GB"/>
        </w:rPr>
        <w:t>.</w:t>
      </w:r>
      <w:r w:rsidR="00AA6983" w:rsidRPr="00E63E1C">
        <w:rPr>
          <w:bCs/>
          <w:lang w:val="en-GB"/>
        </w:rPr>
        <w:t xml:space="preserve"> </w:t>
      </w:r>
    </w:p>
    <w:p w:rsidR="003D2612" w:rsidRPr="00E63E1C" w:rsidRDefault="003D2612" w:rsidP="00D66624">
      <w:pPr>
        <w:spacing w:after="120" w:line="360" w:lineRule="auto"/>
        <w:ind w:firstLine="720"/>
        <w:jc w:val="both"/>
        <w:rPr>
          <w:bCs/>
          <w:lang w:val="en-GB"/>
        </w:rPr>
      </w:pPr>
      <w:r w:rsidRPr="00E63E1C">
        <w:rPr>
          <w:bCs/>
          <w:lang w:val="en-GB"/>
        </w:rPr>
        <w:t>The water column POC profile shows surface POC enrichment (up to 202.3 µg L</w:t>
      </w:r>
      <w:r w:rsidRPr="00E63E1C">
        <w:rPr>
          <w:bCs/>
          <w:vertAlign w:val="superscript"/>
          <w:lang w:val="en-GB"/>
        </w:rPr>
        <w:t>-1</w:t>
      </w:r>
      <w:r w:rsidRPr="00E63E1C">
        <w:rPr>
          <w:bCs/>
          <w:lang w:val="en-GB"/>
        </w:rPr>
        <w:t>) and a decrease in concentration with depth (down to 24.3 µg L</w:t>
      </w:r>
      <w:r w:rsidRPr="00E63E1C">
        <w:rPr>
          <w:bCs/>
          <w:vertAlign w:val="superscript"/>
          <w:lang w:val="en-GB"/>
        </w:rPr>
        <w:t>-1</w:t>
      </w:r>
      <w:r w:rsidRPr="00E63E1C">
        <w:rPr>
          <w:bCs/>
          <w:lang w:val="en-GB"/>
        </w:rPr>
        <w:t xml:space="preserve">) (Fig. </w:t>
      </w:r>
      <w:r w:rsidR="008956AA" w:rsidRPr="00E63E1C">
        <w:rPr>
          <w:bCs/>
          <w:lang w:val="en-GB"/>
        </w:rPr>
        <w:t>2c</w:t>
      </w:r>
      <w:r w:rsidRPr="00E63E1C">
        <w:rPr>
          <w:bCs/>
          <w:lang w:val="en-GB"/>
        </w:rPr>
        <w:t>). We do not have POC data for the whole water column due to the irreparable damage to the samples during the preparation.</w:t>
      </w:r>
      <w:r w:rsidR="006D74EE" w:rsidRPr="00E63E1C">
        <w:rPr>
          <w:bCs/>
          <w:lang w:val="en-GB"/>
        </w:rPr>
        <w:t xml:space="preserve"> For this limited dataset</w:t>
      </w:r>
      <w:r w:rsidR="008956AA" w:rsidRPr="00E63E1C">
        <w:rPr>
          <w:bCs/>
          <w:lang w:val="en-GB"/>
        </w:rPr>
        <w:t>,</w:t>
      </w:r>
      <w:r w:rsidR="006D74EE" w:rsidRPr="00E63E1C">
        <w:rPr>
          <w:bCs/>
          <w:lang w:val="en-GB"/>
        </w:rPr>
        <w:t xml:space="preserve"> </w:t>
      </w:r>
      <w:r w:rsidR="009A001F" w:rsidRPr="00E63E1C">
        <w:rPr>
          <w:bCs/>
          <w:lang w:val="en-GB"/>
        </w:rPr>
        <w:t xml:space="preserve">total </w:t>
      </w:r>
      <w:r w:rsidR="006D74EE" w:rsidRPr="00E63E1C">
        <w:rPr>
          <w:bCs/>
          <w:lang w:val="en-GB"/>
        </w:rPr>
        <w:t xml:space="preserve">lipid contribution </w:t>
      </w:r>
      <w:r w:rsidR="009A001F" w:rsidRPr="00E63E1C">
        <w:rPr>
          <w:bCs/>
          <w:lang w:val="en-GB"/>
        </w:rPr>
        <w:t xml:space="preserve">(assuming 70 % carbon content in lipids) </w:t>
      </w:r>
      <w:r w:rsidR="006D74EE" w:rsidRPr="00E63E1C">
        <w:rPr>
          <w:bCs/>
          <w:lang w:val="en-GB"/>
        </w:rPr>
        <w:t>to POC increased from epipelagic (7.7%) to bathypelagic (9.1%) zone.</w:t>
      </w:r>
      <w:r w:rsidR="00D66624" w:rsidRPr="00E63E1C">
        <w:rPr>
          <w:bCs/>
          <w:lang w:val="en-GB"/>
        </w:rPr>
        <w:t xml:space="preserve"> </w:t>
      </w:r>
    </w:p>
    <w:p w:rsidR="00DE67C6" w:rsidRPr="00E63E1C" w:rsidRDefault="0069638B" w:rsidP="00CD12B2">
      <w:pPr>
        <w:spacing w:after="120" w:line="360" w:lineRule="auto"/>
        <w:ind w:firstLine="720"/>
        <w:jc w:val="both"/>
        <w:rPr>
          <w:lang w:val="en-GB"/>
        </w:rPr>
      </w:pPr>
      <w:r w:rsidRPr="00E63E1C">
        <w:rPr>
          <w:bCs/>
          <w:lang w:val="en-GB"/>
        </w:rPr>
        <w:t xml:space="preserve">Degradation of lipids as indicated by the </w:t>
      </w:r>
      <w:r w:rsidR="001613F5" w:rsidRPr="00E63E1C">
        <w:rPr>
          <w:bCs/>
          <w:lang w:val="en-GB"/>
        </w:rPr>
        <w:t>Lipolysis Index (</w:t>
      </w:r>
      <w:r w:rsidRPr="00E63E1C">
        <w:rPr>
          <w:bCs/>
          <w:lang w:val="en-GB"/>
        </w:rPr>
        <w:t>LI</w:t>
      </w:r>
      <w:r w:rsidR="001613F5" w:rsidRPr="00E63E1C">
        <w:rPr>
          <w:bCs/>
          <w:lang w:val="en-GB"/>
        </w:rPr>
        <w:t>)</w:t>
      </w:r>
      <w:r w:rsidRPr="00E63E1C">
        <w:rPr>
          <w:bCs/>
          <w:lang w:val="en-GB"/>
        </w:rPr>
        <w:t xml:space="preserve"> values </w:t>
      </w:r>
      <w:r w:rsidR="004C6D92" w:rsidRPr="00E63E1C">
        <w:rPr>
          <w:bCs/>
          <w:lang w:val="en-GB"/>
        </w:rPr>
        <w:t>(</w:t>
      </w:r>
      <w:r w:rsidR="00CD63AC" w:rsidRPr="00E63E1C">
        <w:rPr>
          <w:bCs/>
          <w:lang w:val="en-GB"/>
        </w:rPr>
        <w:t>Fig. 2</w:t>
      </w:r>
      <w:r w:rsidR="004C6D92" w:rsidRPr="00E63E1C">
        <w:rPr>
          <w:bCs/>
          <w:lang w:val="en-GB"/>
        </w:rPr>
        <w:t xml:space="preserve">d) </w:t>
      </w:r>
      <w:r w:rsidRPr="00E63E1C">
        <w:rPr>
          <w:bCs/>
          <w:lang w:val="en-GB"/>
        </w:rPr>
        <w:t xml:space="preserve">was highest at </w:t>
      </w:r>
      <w:r w:rsidR="00ED111E" w:rsidRPr="00E63E1C">
        <w:rPr>
          <w:bCs/>
          <w:lang w:val="en-GB"/>
        </w:rPr>
        <w:t xml:space="preserve">the </w:t>
      </w:r>
      <w:r w:rsidRPr="00E63E1C">
        <w:rPr>
          <w:bCs/>
          <w:lang w:val="en-GB"/>
        </w:rPr>
        <w:t xml:space="preserve">first 30 m </w:t>
      </w:r>
      <w:r w:rsidR="00ED111E" w:rsidRPr="00E63E1C">
        <w:rPr>
          <w:bCs/>
          <w:lang w:val="en-GB"/>
        </w:rPr>
        <w:t xml:space="preserve">of </w:t>
      </w:r>
      <w:r w:rsidRPr="00E63E1C">
        <w:rPr>
          <w:bCs/>
          <w:lang w:val="en-GB"/>
        </w:rPr>
        <w:t xml:space="preserve">depth where LI ranged from 0.24 to 0.38. </w:t>
      </w:r>
      <w:r w:rsidR="007F638B" w:rsidRPr="00E63E1C">
        <w:rPr>
          <w:bCs/>
          <w:lang w:val="en-GB"/>
        </w:rPr>
        <w:t>B</w:t>
      </w:r>
      <w:r w:rsidRPr="00E63E1C">
        <w:rPr>
          <w:bCs/>
          <w:lang w:val="en-GB"/>
        </w:rPr>
        <w:t>elow 30 m</w:t>
      </w:r>
      <w:r w:rsidR="007F638B" w:rsidRPr="00E63E1C">
        <w:rPr>
          <w:bCs/>
          <w:lang w:val="en-GB"/>
        </w:rPr>
        <w:t>,</w:t>
      </w:r>
      <w:r w:rsidRPr="00E63E1C">
        <w:rPr>
          <w:bCs/>
          <w:lang w:val="en-GB"/>
        </w:rPr>
        <w:t xml:space="preserve"> the LI values were very low </w:t>
      </w:r>
      <w:r w:rsidR="00A50D1F" w:rsidRPr="00E63E1C">
        <w:rPr>
          <w:bCs/>
          <w:lang w:val="en-GB"/>
        </w:rPr>
        <w:t>(</w:t>
      </w:r>
      <w:r w:rsidR="00A429AB" w:rsidRPr="00E63E1C">
        <w:rPr>
          <w:bCs/>
          <w:lang w:val="en-GB"/>
        </w:rPr>
        <w:t>except</w:t>
      </w:r>
      <w:r w:rsidR="00A50D1F" w:rsidRPr="00E63E1C">
        <w:rPr>
          <w:bCs/>
          <w:lang w:val="en-GB"/>
        </w:rPr>
        <w:t xml:space="preserve"> at 2000 m depth) and ranged from </w:t>
      </w:r>
      <w:r w:rsidR="00A429AB" w:rsidRPr="00E63E1C">
        <w:rPr>
          <w:bCs/>
          <w:lang w:val="en-GB"/>
        </w:rPr>
        <w:t>0.05 to 0.15.</w:t>
      </w:r>
      <w:r w:rsidR="001B1892" w:rsidRPr="00E63E1C">
        <w:rPr>
          <w:bCs/>
          <w:lang w:val="en-GB"/>
        </w:rPr>
        <w:t xml:space="preserve"> </w:t>
      </w:r>
      <w:r w:rsidR="001B1892" w:rsidRPr="00E63E1C">
        <w:rPr>
          <w:lang w:val="en-GB"/>
        </w:rPr>
        <w:t xml:space="preserve">This LI distribution indicates </w:t>
      </w:r>
      <w:r w:rsidR="007F638B" w:rsidRPr="00E63E1C">
        <w:rPr>
          <w:lang w:val="en-GB"/>
        </w:rPr>
        <w:t xml:space="preserve">a </w:t>
      </w:r>
      <w:r w:rsidR="001B1892" w:rsidRPr="00E63E1C">
        <w:rPr>
          <w:lang w:val="en-GB"/>
        </w:rPr>
        <w:t xml:space="preserve">substantial lipid degradation </w:t>
      </w:r>
      <w:r w:rsidR="007F638B" w:rsidRPr="00642552">
        <w:rPr>
          <w:lang w:val="en-GB"/>
        </w:rPr>
        <w:t xml:space="preserve">from the </w:t>
      </w:r>
      <w:r w:rsidR="001B1892" w:rsidRPr="00642552">
        <w:rPr>
          <w:lang w:val="en-GB"/>
        </w:rPr>
        <w:t>surface</w:t>
      </w:r>
      <w:r w:rsidR="007F638B" w:rsidRPr="00642552">
        <w:rPr>
          <w:lang w:val="en-GB"/>
        </w:rPr>
        <w:t xml:space="preserve"> to 30 m</w:t>
      </w:r>
      <w:r w:rsidR="001B1892" w:rsidRPr="00E63E1C">
        <w:rPr>
          <w:lang w:val="en-GB"/>
        </w:rPr>
        <w:t xml:space="preserve">, </w:t>
      </w:r>
      <w:r w:rsidR="007F638B" w:rsidRPr="00E63E1C">
        <w:rPr>
          <w:lang w:val="en-GB"/>
        </w:rPr>
        <w:t xml:space="preserve">whereas very low lipid degradation was observed from &gt;30 m to 4800 m. </w:t>
      </w:r>
    </w:p>
    <w:p w:rsidR="00F11A59" w:rsidRPr="00E63E1C" w:rsidRDefault="00EC11F3" w:rsidP="00031052">
      <w:pPr>
        <w:spacing w:after="120" w:line="360" w:lineRule="auto"/>
        <w:ind w:firstLine="720"/>
        <w:jc w:val="both"/>
        <w:rPr>
          <w:lang w:val="en-GB"/>
        </w:rPr>
      </w:pPr>
      <w:r w:rsidRPr="00E63E1C">
        <w:rPr>
          <w:lang w:val="en-GB"/>
        </w:rPr>
        <w:t xml:space="preserve">With </w:t>
      </w:r>
      <w:r w:rsidR="00ED111E" w:rsidRPr="00E63E1C">
        <w:rPr>
          <w:lang w:val="en-GB"/>
        </w:rPr>
        <w:t xml:space="preserve">the </w:t>
      </w:r>
      <w:r w:rsidRPr="00E63E1C">
        <w:rPr>
          <w:lang w:val="en-GB"/>
        </w:rPr>
        <w:t xml:space="preserve">FT-ICR MS </w:t>
      </w:r>
      <w:r w:rsidR="00ED111E" w:rsidRPr="00E63E1C">
        <w:rPr>
          <w:lang w:val="en-GB"/>
        </w:rPr>
        <w:t xml:space="preserve">approach </w:t>
      </w:r>
      <w:r w:rsidRPr="00E63E1C">
        <w:rPr>
          <w:lang w:val="en-GB"/>
        </w:rPr>
        <w:t>w</w:t>
      </w:r>
      <w:r w:rsidR="00AB299F" w:rsidRPr="00E63E1C">
        <w:rPr>
          <w:lang w:val="en-GB"/>
        </w:rPr>
        <w:t xml:space="preserve">e </w:t>
      </w:r>
      <w:r w:rsidR="00ED111E" w:rsidRPr="00E63E1C">
        <w:rPr>
          <w:lang w:val="en-GB"/>
        </w:rPr>
        <w:t>monitor several</w:t>
      </w:r>
      <w:r w:rsidR="00AB299F" w:rsidRPr="00E63E1C">
        <w:rPr>
          <w:lang w:val="en-GB"/>
        </w:rPr>
        <w:t xml:space="preserve"> thousand lipid </w:t>
      </w:r>
      <w:r w:rsidR="00ED111E" w:rsidRPr="00E63E1C">
        <w:rPr>
          <w:lang w:val="en-GB"/>
        </w:rPr>
        <w:t>elemental compositions</w:t>
      </w:r>
      <w:r w:rsidR="00AB299F" w:rsidRPr="00E63E1C">
        <w:rPr>
          <w:lang w:val="en-GB"/>
        </w:rPr>
        <w:t xml:space="preserve"> </w:t>
      </w:r>
      <w:r w:rsidR="00642552">
        <w:rPr>
          <w:lang w:val="en-GB"/>
        </w:rPr>
        <w:t>for each sample</w:t>
      </w:r>
      <w:r w:rsidR="00AB299F" w:rsidRPr="00E63E1C">
        <w:rPr>
          <w:lang w:val="en-GB"/>
        </w:rPr>
        <w:t xml:space="preserve"> collected. </w:t>
      </w:r>
      <w:r w:rsidR="00212BE1" w:rsidRPr="00E63E1C">
        <w:rPr>
          <w:lang w:val="en-GB"/>
        </w:rPr>
        <w:t xml:space="preserve">In the negative ionization </w:t>
      </w:r>
      <w:r w:rsidR="00E85D47" w:rsidRPr="00E63E1C">
        <w:rPr>
          <w:lang w:val="en-GB"/>
        </w:rPr>
        <w:t>mode</w:t>
      </w:r>
      <w:r w:rsidR="00B9373A" w:rsidRPr="00E63E1C">
        <w:rPr>
          <w:lang w:val="en-GB"/>
        </w:rPr>
        <w:t>,</w:t>
      </w:r>
      <w:r w:rsidR="00E85D47" w:rsidRPr="00E63E1C">
        <w:rPr>
          <w:lang w:val="en-GB"/>
        </w:rPr>
        <w:t xml:space="preserve"> </w:t>
      </w:r>
      <w:r w:rsidR="00212BE1" w:rsidRPr="00E63E1C">
        <w:rPr>
          <w:lang w:val="en-GB"/>
        </w:rPr>
        <w:t>4</w:t>
      </w:r>
      <w:r w:rsidR="005C4147" w:rsidRPr="00E63E1C">
        <w:rPr>
          <w:lang w:val="en-GB"/>
        </w:rPr>
        <w:t>,</w:t>
      </w:r>
      <w:r w:rsidR="00212BE1" w:rsidRPr="00E63E1C">
        <w:rPr>
          <w:lang w:val="en-GB"/>
        </w:rPr>
        <w:t xml:space="preserve">908 different lipids were detected </w:t>
      </w:r>
      <w:r w:rsidR="00ED111E" w:rsidRPr="00E63E1C">
        <w:rPr>
          <w:lang w:val="en-GB"/>
        </w:rPr>
        <w:t xml:space="preserve">(excluding contributions from </w:t>
      </w:r>
      <w:r w:rsidR="00ED111E" w:rsidRPr="00E63E1C">
        <w:rPr>
          <w:vertAlign w:val="superscript"/>
          <w:lang w:val="en-GB"/>
        </w:rPr>
        <w:t>13</w:t>
      </w:r>
      <w:r w:rsidR="00ED111E" w:rsidRPr="00E63E1C">
        <w:rPr>
          <w:lang w:val="en-GB"/>
        </w:rPr>
        <w:t xml:space="preserve">C and other heavy nuclide-containing species) </w:t>
      </w:r>
      <w:r w:rsidR="00212BE1" w:rsidRPr="00E63E1C">
        <w:rPr>
          <w:lang w:val="en-GB"/>
        </w:rPr>
        <w:t xml:space="preserve">among which </w:t>
      </w:r>
      <w:r w:rsidR="005C4147" w:rsidRPr="00E63E1C">
        <w:rPr>
          <w:lang w:val="en-GB"/>
        </w:rPr>
        <w:t xml:space="preserve">1,254 </w:t>
      </w:r>
      <w:r w:rsidR="00212BE1" w:rsidRPr="00E63E1C">
        <w:rPr>
          <w:lang w:val="en-GB"/>
        </w:rPr>
        <w:t xml:space="preserve">elemental compositions </w:t>
      </w:r>
      <w:r w:rsidR="005C4147" w:rsidRPr="00E63E1C">
        <w:rPr>
          <w:lang w:val="en-GB"/>
        </w:rPr>
        <w:t xml:space="preserve">matched </w:t>
      </w:r>
      <w:r w:rsidR="00031052" w:rsidRPr="00E63E1C">
        <w:rPr>
          <w:bCs/>
          <w:lang w:val="en-GB"/>
        </w:rPr>
        <w:t>lipid elemental compositions reported in the Nature Lipidomics Gateway database (</w:t>
      </w:r>
      <w:hyperlink r:id="rId10" w:history="1">
        <w:r w:rsidR="00031052" w:rsidRPr="00E63E1C">
          <w:rPr>
            <w:bCs/>
            <w:lang w:val="en-GB"/>
          </w:rPr>
          <w:t>http://www.lipidmaps.org/</w:t>
        </w:r>
      </w:hyperlink>
      <w:r w:rsidR="00031052" w:rsidRPr="00E63E1C">
        <w:rPr>
          <w:bCs/>
          <w:lang w:val="en-GB"/>
        </w:rPr>
        <w:t>)</w:t>
      </w:r>
      <w:r w:rsidR="00031052" w:rsidRPr="00E63E1C">
        <w:t xml:space="preserve">. </w:t>
      </w:r>
      <w:r w:rsidR="00212BE1" w:rsidRPr="00E63E1C">
        <w:rPr>
          <w:lang w:val="en-GB"/>
        </w:rPr>
        <w:t xml:space="preserve">In the </w:t>
      </w:r>
      <w:r w:rsidR="001613F5" w:rsidRPr="00E63E1C">
        <w:rPr>
          <w:lang w:val="en-GB"/>
        </w:rPr>
        <w:t>positive</w:t>
      </w:r>
      <w:r w:rsidR="00212BE1" w:rsidRPr="00E63E1C">
        <w:rPr>
          <w:lang w:val="en-GB"/>
        </w:rPr>
        <w:t xml:space="preserve"> ionization </w:t>
      </w:r>
      <w:r w:rsidR="00E85D47" w:rsidRPr="00E63E1C">
        <w:rPr>
          <w:lang w:val="en-GB"/>
        </w:rPr>
        <w:t>mode</w:t>
      </w:r>
      <w:r w:rsidR="00B9373A" w:rsidRPr="00E63E1C">
        <w:rPr>
          <w:lang w:val="en-GB"/>
        </w:rPr>
        <w:t>,</w:t>
      </w:r>
      <w:r w:rsidR="00E85D47" w:rsidRPr="00E63E1C">
        <w:rPr>
          <w:lang w:val="en-GB"/>
        </w:rPr>
        <w:t xml:space="preserve"> </w:t>
      </w:r>
      <w:r w:rsidR="00212BE1" w:rsidRPr="00E63E1C">
        <w:rPr>
          <w:lang w:val="en-GB"/>
        </w:rPr>
        <w:t>3</w:t>
      </w:r>
      <w:r w:rsidR="005C4147" w:rsidRPr="00E63E1C">
        <w:rPr>
          <w:lang w:val="en-GB"/>
        </w:rPr>
        <w:t>,</w:t>
      </w:r>
      <w:r w:rsidR="00212BE1" w:rsidRPr="00E63E1C">
        <w:rPr>
          <w:lang w:val="en-GB"/>
        </w:rPr>
        <w:t xml:space="preserve">596 </w:t>
      </w:r>
      <w:r w:rsidR="005C4147" w:rsidRPr="00E63E1C">
        <w:rPr>
          <w:lang w:val="en-GB"/>
        </w:rPr>
        <w:t>monoisotopic lipid compounds</w:t>
      </w:r>
      <w:r w:rsidR="00212BE1" w:rsidRPr="00E63E1C">
        <w:rPr>
          <w:lang w:val="en-GB"/>
        </w:rPr>
        <w:t xml:space="preserve"> were detected </w:t>
      </w:r>
      <w:r w:rsidR="005C4147" w:rsidRPr="00E63E1C">
        <w:rPr>
          <w:lang w:val="en-GB"/>
        </w:rPr>
        <w:t xml:space="preserve">for which </w:t>
      </w:r>
      <w:r w:rsidR="00212BE1" w:rsidRPr="00E63E1C">
        <w:rPr>
          <w:lang w:val="en-GB"/>
        </w:rPr>
        <w:t xml:space="preserve">609 </w:t>
      </w:r>
      <w:r w:rsidR="005C4147" w:rsidRPr="00E63E1C">
        <w:rPr>
          <w:lang w:val="en-GB"/>
        </w:rPr>
        <w:t>matched known lipid elemental compositions</w:t>
      </w:r>
      <w:r w:rsidR="00212BE1" w:rsidRPr="00E63E1C">
        <w:rPr>
          <w:lang w:val="en-GB"/>
        </w:rPr>
        <w:t xml:space="preserve">. </w:t>
      </w:r>
      <w:r w:rsidR="00772CDD">
        <w:rPr>
          <w:lang w:val="en-GB"/>
        </w:rPr>
        <w:t xml:space="preserve">These observations indicate </w:t>
      </w:r>
      <w:r w:rsidR="0039345A">
        <w:rPr>
          <w:lang w:val="en-GB"/>
        </w:rPr>
        <w:t xml:space="preserve">the level of current </w:t>
      </w:r>
      <w:r w:rsidR="00772CDD">
        <w:rPr>
          <w:lang w:val="en-GB"/>
        </w:rPr>
        <w:t xml:space="preserve">documentation of marine lipids and highlight the limitation of lipid characterization techniques used to generate the database. </w:t>
      </w:r>
    </w:p>
    <w:p w:rsidR="003F4994" w:rsidRPr="00E63E1C" w:rsidRDefault="009D5D5D" w:rsidP="00CD12B2">
      <w:pPr>
        <w:spacing w:after="120" w:line="360" w:lineRule="auto"/>
        <w:ind w:firstLine="720"/>
        <w:jc w:val="both"/>
        <w:rPr>
          <w:lang w:val="en-GB"/>
        </w:rPr>
      </w:pPr>
      <w:r w:rsidRPr="00E63E1C">
        <w:rPr>
          <w:lang w:val="en-GB"/>
        </w:rPr>
        <w:t xml:space="preserve">Here </w:t>
      </w:r>
      <w:r w:rsidR="00BD70B5" w:rsidRPr="00E63E1C">
        <w:rPr>
          <w:lang w:val="en-GB"/>
        </w:rPr>
        <w:t>we present qualitative FT-ICR MS characterization of simple</w:t>
      </w:r>
      <w:r w:rsidR="00BD70B5" w:rsidRPr="00E63E1C">
        <w:t xml:space="preserve"> </w:t>
      </w:r>
      <w:r w:rsidR="00BD70B5" w:rsidRPr="00E63E1C">
        <w:rPr>
          <w:lang w:val="en-GB"/>
        </w:rPr>
        <w:t>acylglycerols</w:t>
      </w:r>
      <w:r w:rsidR="00BD70B5" w:rsidRPr="00E63E1C">
        <w:t xml:space="preserve">, </w:t>
      </w:r>
      <w:r w:rsidR="00BD70B5" w:rsidRPr="00E63E1C">
        <w:rPr>
          <w:bCs/>
          <w:lang w:val="en-GB"/>
        </w:rPr>
        <w:t>where tri- (TG) and di-</w:t>
      </w:r>
      <w:r w:rsidR="00BD70B5" w:rsidRPr="00E63E1C">
        <w:rPr>
          <w:lang w:val="en-GB"/>
        </w:rPr>
        <w:t>acylglycerol</w:t>
      </w:r>
      <w:r w:rsidR="0089787F" w:rsidRPr="00E63E1C">
        <w:rPr>
          <w:lang w:val="en-GB"/>
        </w:rPr>
        <w:t>s</w:t>
      </w:r>
      <w:r w:rsidR="00BD70B5" w:rsidRPr="00E63E1C">
        <w:rPr>
          <w:bCs/>
          <w:lang w:val="en-GB"/>
        </w:rPr>
        <w:t xml:space="preserve"> (DG) (both observed with even and odd numbers of carbon atoms) and mono</w:t>
      </w:r>
      <w:r w:rsidR="00BD70B5" w:rsidRPr="00E63E1C">
        <w:rPr>
          <w:lang w:val="en-GB"/>
        </w:rPr>
        <w:t>acylglycerol</w:t>
      </w:r>
      <w:r w:rsidR="0089787F" w:rsidRPr="00E63E1C">
        <w:rPr>
          <w:lang w:val="en-GB"/>
        </w:rPr>
        <w:t>s</w:t>
      </w:r>
      <w:r w:rsidR="00BD70B5" w:rsidRPr="00E63E1C">
        <w:rPr>
          <w:bCs/>
          <w:lang w:val="en-GB"/>
        </w:rPr>
        <w:t xml:space="preserve"> (MG) (observed with even carbon numbers only) are detected in the positive ionization mode and free fatty acids (FFA, both even and odd carbon numbers, unsaturated (UFA), branched (BrFA) and saturated (SAFA)) are detected in the negative ionization mode.</w:t>
      </w:r>
      <w:r w:rsidRPr="00E63E1C">
        <w:rPr>
          <w:lang w:val="en-GB"/>
        </w:rPr>
        <w:t xml:space="preserve"> </w:t>
      </w:r>
      <w:r w:rsidR="00EC11F3" w:rsidRPr="00E63E1C">
        <w:rPr>
          <w:lang w:val="en-GB"/>
        </w:rPr>
        <w:t xml:space="preserve">Although </w:t>
      </w:r>
      <w:r w:rsidR="00172A16" w:rsidRPr="00E63E1C">
        <w:rPr>
          <w:lang w:val="en-GB"/>
        </w:rPr>
        <w:t xml:space="preserve">many </w:t>
      </w:r>
      <w:r w:rsidR="00EC11F3" w:rsidRPr="00E63E1C">
        <w:rPr>
          <w:lang w:val="en-GB"/>
        </w:rPr>
        <w:t>oxidative form</w:t>
      </w:r>
      <w:r w:rsidR="007F638B" w:rsidRPr="00E63E1C">
        <w:rPr>
          <w:lang w:val="en-GB"/>
        </w:rPr>
        <w:t>s</w:t>
      </w:r>
      <w:r w:rsidR="00EC11F3" w:rsidRPr="00E63E1C">
        <w:rPr>
          <w:lang w:val="en-GB"/>
        </w:rPr>
        <w:t xml:space="preserve"> of TG and FFA</w:t>
      </w:r>
      <w:r w:rsidR="007F638B" w:rsidRPr="00E63E1C">
        <w:rPr>
          <w:lang w:val="en-GB"/>
        </w:rPr>
        <w:t xml:space="preserve"> were also detected,</w:t>
      </w:r>
      <w:r w:rsidR="00EC11F3" w:rsidRPr="00E63E1C">
        <w:rPr>
          <w:lang w:val="en-GB"/>
        </w:rPr>
        <w:t xml:space="preserve"> </w:t>
      </w:r>
      <w:r w:rsidR="007F638B" w:rsidRPr="00E63E1C">
        <w:rPr>
          <w:lang w:val="en-GB"/>
        </w:rPr>
        <w:t xml:space="preserve">those data are not </w:t>
      </w:r>
      <w:r w:rsidR="00EC11F3" w:rsidRPr="00E63E1C">
        <w:rPr>
          <w:lang w:val="en-GB"/>
        </w:rPr>
        <w:t>present</w:t>
      </w:r>
      <w:r w:rsidR="007F638B" w:rsidRPr="00E63E1C">
        <w:rPr>
          <w:lang w:val="en-GB"/>
        </w:rPr>
        <w:t xml:space="preserve">ed </w:t>
      </w:r>
      <w:r w:rsidR="00EC11F3" w:rsidRPr="00E63E1C">
        <w:rPr>
          <w:lang w:val="en-GB"/>
        </w:rPr>
        <w:t xml:space="preserve">to avoid </w:t>
      </w:r>
      <w:r w:rsidR="007F638B" w:rsidRPr="00E63E1C">
        <w:rPr>
          <w:lang w:val="en-GB"/>
        </w:rPr>
        <w:t xml:space="preserve">any </w:t>
      </w:r>
      <w:r w:rsidR="001613F5" w:rsidRPr="00E63E1C">
        <w:rPr>
          <w:lang w:val="en-GB"/>
        </w:rPr>
        <w:t>misinterpretation</w:t>
      </w:r>
      <w:r w:rsidR="00EC11F3" w:rsidRPr="00E63E1C">
        <w:rPr>
          <w:lang w:val="en-GB"/>
        </w:rPr>
        <w:t xml:space="preserve"> of lipidome due to the possible lipid oxidation during extraction and/or storage.</w:t>
      </w:r>
      <w:r w:rsidR="00300C0D" w:rsidRPr="00E63E1C">
        <w:rPr>
          <w:lang w:val="en-GB"/>
        </w:rPr>
        <w:t xml:space="preserve"> </w:t>
      </w:r>
    </w:p>
    <w:p w:rsidR="00C8369A" w:rsidRPr="00E63E1C" w:rsidRDefault="007A3E1F" w:rsidP="00F402CB">
      <w:pPr>
        <w:spacing w:after="120" w:line="360" w:lineRule="auto"/>
        <w:ind w:firstLine="720"/>
        <w:jc w:val="both"/>
        <w:rPr>
          <w:lang w:val="en-GB"/>
        </w:rPr>
      </w:pPr>
      <w:r w:rsidRPr="00E63E1C">
        <w:rPr>
          <w:lang w:val="en-GB"/>
        </w:rPr>
        <w:lastRenderedPageBreak/>
        <w:t xml:space="preserve">The depth related change of the </w:t>
      </w:r>
      <w:r w:rsidR="006014A0" w:rsidRPr="00E63E1C">
        <w:rPr>
          <w:lang w:val="en-GB"/>
        </w:rPr>
        <w:t xml:space="preserve">cumulative </w:t>
      </w:r>
      <w:r w:rsidR="00172A16" w:rsidRPr="00E63E1C">
        <w:rPr>
          <w:lang w:val="en-GB"/>
        </w:rPr>
        <w:t xml:space="preserve">FT-ICR MS </w:t>
      </w:r>
      <w:r w:rsidR="006014A0" w:rsidRPr="00E63E1C">
        <w:rPr>
          <w:lang w:val="en-GB"/>
        </w:rPr>
        <w:t xml:space="preserve">signal magnitude of </w:t>
      </w:r>
      <w:r w:rsidR="001070A0" w:rsidRPr="00E63E1C">
        <w:rPr>
          <w:lang w:val="en-GB"/>
        </w:rPr>
        <w:t>total lipids</w:t>
      </w:r>
      <w:r w:rsidR="00DF7C1A">
        <w:rPr>
          <w:lang w:val="en-GB"/>
        </w:rPr>
        <w:t xml:space="preserve"> </w:t>
      </w:r>
      <w:r w:rsidR="00AA27D2">
        <w:rPr>
          <w:lang w:val="en-GB"/>
        </w:rPr>
        <w:t>and that for</w:t>
      </w:r>
      <w:r w:rsidR="001070A0" w:rsidRPr="00E63E1C">
        <w:rPr>
          <w:lang w:val="en-GB"/>
        </w:rPr>
        <w:t xml:space="preserve"> </w:t>
      </w:r>
      <w:r w:rsidR="001E5A51" w:rsidRPr="00E63E1C">
        <w:rPr>
          <w:lang w:val="en-GB"/>
        </w:rPr>
        <w:t>T</w:t>
      </w:r>
      <w:r w:rsidR="006014A0" w:rsidRPr="00E63E1C">
        <w:rPr>
          <w:lang w:val="en-GB"/>
        </w:rPr>
        <w:t xml:space="preserve">Gs, DGs, MGs and </w:t>
      </w:r>
      <w:r w:rsidR="003B3CAE" w:rsidRPr="00E63E1C">
        <w:rPr>
          <w:lang w:val="en-GB"/>
        </w:rPr>
        <w:t>FFA</w:t>
      </w:r>
      <w:r w:rsidR="006014A0" w:rsidRPr="00E63E1C">
        <w:rPr>
          <w:lang w:val="en-GB"/>
        </w:rPr>
        <w:t xml:space="preserve"> </w:t>
      </w:r>
      <w:r w:rsidR="00327B87" w:rsidRPr="00E63E1C">
        <w:rPr>
          <w:lang w:val="en-GB"/>
        </w:rPr>
        <w:t>and</w:t>
      </w:r>
      <w:r w:rsidR="006014A0" w:rsidRPr="00E63E1C">
        <w:rPr>
          <w:lang w:val="en-GB"/>
        </w:rPr>
        <w:t xml:space="preserve"> their relative </w:t>
      </w:r>
      <w:r w:rsidR="00ED4747" w:rsidRPr="00E63E1C">
        <w:rPr>
          <w:lang w:val="en-GB"/>
        </w:rPr>
        <w:t xml:space="preserve">abundance </w:t>
      </w:r>
      <w:r w:rsidR="006014A0" w:rsidRPr="00E63E1C">
        <w:rPr>
          <w:lang w:val="en-GB"/>
        </w:rPr>
        <w:t xml:space="preserve">changes </w:t>
      </w:r>
      <w:r w:rsidRPr="00E63E1C">
        <w:rPr>
          <w:lang w:val="en-GB"/>
        </w:rPr>
        <w:t xml:space="preserve">are </w:t>
      </w:r>
      <w:r w:rsidR="00115DC4" w:rsidRPr="00E63E1C">
        <w:rPr>
          <w:lang w:val="en-GB"/>
        </w:rPr>
        <w:t xml:space="preserve">shown </w:t>
      </w:r>
      <w:r w:rsidR="006014A0" w:rsidRPr="00E63E1C">
        <w:rPr>
          <w:lang w:val="en-GB"/>
        </w:rPr>
        <w:t xml:space="preserve">in </w:t>
      </w:r>
      <w:r w:rsidR="00CD63AC" w:rsidRPr="00E63E1C">
        <w:rPr>
          <w:lang w:val="en-GB"/>
        </w:rPr>
        <w:t>Fig. 3</w:t>
      </w:r>
      <w:r w:rsidR="006014A0" w:rsidRPr="00E63E1C">
        <w:rPr>
          <w:lang w:val="en-GB"/>
        </w:rPr>
        <w:t xml:space="preserve">. </w:t>
      </w:r>
      <w:r w:rsidR="00172A16" w:rsidRPr="00E63E1C">
        <w:rPr>
          <w:lang w:val="en-GB"/>
        </w:rPr>
        <w:t>The</w:t>
      </w:r>
      <w:r w:rsidR="005131F3" w:rsidRPr="00E63E1C">
        <w:rPr>
          <w:lang w:val="en-GB"/>
        </w:rPr>
        <w:t xml:space="preserve"> signal magnitude for each compound is proportional to its solution phase concentration</w:t>
      </w:r>
      <w:r w:rsidR="007A17DC">
        <w:rPr>
          <w:lang w:val="en-GB"/>
        </w:rPr>
        <w:t xml:space="preserve"> although</w:t>
      </w:r>
      <w:r w:rsidR="005131F3" w:rsidRPr="00E63E1C">
        <w:rPr>
          <w:lang w:val="en-GB"/>
        </w:rPr>
        <w:t xml:space="preserve"> response factors for each compound are not known</w:t>
      </w:r>
      <w:r w:rsidR="00562853" w:rsidRPr="00E63E1C">
        <w:rPr>
          <w:lang w:val="en-GB"/>
        </w:rPr>
        <w:t xml:space="preserve"> due to the unavailability of standards</w:t>
      </w:r>
      <w:r w:rsidR="00AA27D2">
        <w:rPr>
          <w:lang w:val="en-GB"/>
        </w:rPr>
        <w:t xml:space="preserve"> for all compounds observed</w:t>
      </w:r>
      <w:r w:rsidR="005131F3" w:rsidRPr="00E63E1C">
        <w:rPr>
          <w:lang w:val="en-GB"/>
        </w:rPr>
        <w:t>.</w:t>
      </w:r>
      <w:r w:rsidR="00172A16" w:rsidRPr="00E63E1C">
        <w:rPr>
          <w:lang w:val="en-GB"/>
        </w:rPr>
        <w:t xml:space="preserve"> </w:t>
      </w:r>
      <w:r w:rsidR="00AA27D2">
        <w:rPr>
          <w:lang w:val="en-GB"/>
        </w:rPr>
        <w:t>Abundance d</w:t>
      </w:r>
      <w:r w:rsidRPr="00E63E1C">
        <w:rPr>
          <w:lang w:val="en-GB"/>
        </w:rPr>
        <w:t xml:space="preserve">ifferences for </w:t>
      </w:r>
      <w:r w:rsidR="005131F3" w:rsidRPr="00E63E1C">
        <w:rPr>
          <w:lang w:val="en-GB"/>
        </w:rPr>
        <w:t xml:space="preserve">the observed </w:t>
      </w:r>
      <w:r w:rsidRPr="00E63E1C">
        <w:rPr>
          <w:lang w:val="en-GB"/>
        </w:rPr>
        <w:t>compounds at various depths were</w:t>
      </w:r>
      <w:r w:rsidR="006014A0" w:rsidRPr="00E63E1C">
        <w:rPr>
          <w:lang w:val="en-GB"/>
        </w:rPr>
        <w:t xml:space="preserve"> compared by normalization of the total signal at each depth to the lowest cumulative signal obtained at a given depth.</w:t>
      </w:r>
      <w:r w:rsidR="00BD6304" w:rsidRPr="00E63E1C">
        <w:rPr>
          <w:lang w:val="en-GB"/>
        </w:rPr>
        <w:t xml:space="preserve"> </w:t>
      </w:r>
      <w:r w:rsidR="00DF34BD" w:rsidRPr="00E63E1C">
        <w:rPr>
          <w:lang w:val="en-GB"/>
        </w:rPr>
        <w:t xml:space="preserve">In general the </w:t>
      </w:r>
      <w:r w:rsidR="00AA27D2">
        <w:rPr>
          <w:lang w:val="en-GB"/>
        </w:rPr>
        <w:t>highest abundance values</w:t>
      </w:r>
      <w:r w:rsidR="00DF34BD" w:rsidRPr="00E63E1C">
        <w:rPr>
          <w:lang w:val="en-GB"/>
        </w:rPr>
        <w:t xml:space="preserve"> were measured </w:t>
      </w:r>
      <w:r w:rsidR="00162C7C" w:rsidRPr="00E63E1C">
        <w:rPr>
          <w:lang w:val="en-GB"/>
        </w:rPr>
        <w:t xml:space="preserve">in </w:t>
      </w:r>
      <w:r w:rsidR="00A0716F" w:rsidRPr="00E63E1C">
        <w:rPr>
          <w:lang w:val="en-GB"/>
        </w:rPr>
        <w:t xml:space="preserve">the </w:t>
      </w:r>
      <w:r w:rsidR="008956AA" w:rsidRPr="00E63E1C">
        <w:rPr>
          <w:lang w:val="en-GB"/>
        </w:rPr>
        <w:t xml:space="preserve">euphotic </w:t>
      </w:r>
      <w:r w:rsidR="00A0716F" w:rsidRPr="00E63E1C">
        <w:rPr>
          <w:lang w:val="en-GB"/>
        </w:rPr>
        <w:t>zone</w:t>
      </w:r>
      <w:r w:rsidR="00DF34BD" w:rsidRPr="00E63E1C">
        <w:rPr>
          <w:lang w:val="en-GB"/>
        </w:rPr>
        <w:t xml:space="preserve">. </w:t>
      </w:r>
      <w:r w:rsidR="009A2FAD" w:rsidRPr="00E63E1C">
        <w:rPr>
          <w:lang w:val="en-GB"/>
        </w:rPr>
        <w:t>U</w:t>
      </w:r>
      <w:r w:rsidR="00172A16" w:rsidRPr="00E63E1C">
        <w:rPr>
          <w:lang w:val="en-GB"/>
        </w:rPr>
        <w:t xml:space="preserve">nsaturated fatty acids </w:t>
      </w:r>
      <w:r w:rsidR="009A2FAD" w:rsidRPr="00E63E1C">
        <w:rPr>
          <w:lang w:val="en-GB"/>
        </w:rPr>
        <w:t xml:space="preserve">showed the </w:t>
      </w:r>
      <w:r w:rsidR="00AA27D2">
        <w:rPr>
          <w:lang w:val="en-GB"/>
        </w:rPr>
        <w:t xml:space="preserve">largest </w:t>
      </w:r>
      <w:r w:rsidR="009A2FAD" w:rsidRPr="00E63E1C">
        <w:rPr>
          <w:lang w:val="en-GB"/>
        </w:rPr>
        <w:t>decrease (up to 420-fold) compared to BrFA (up to 48-fold) and TG (up to 16-fold).</w:t>
      </w:r>
      <w:r w:rsidR="001D57A7" w:rsidRPr="00E63E1C">
        <w:rPr>
          <w:lang w:val="en-GB"/>
        </w:rPr>
        <w:t xml:space="preserve"> There was no </w:t>
      </w:r>
      <w:r w:rsidR="009A2FAD" w:rsidRPr="00E63E1C">
        <w:rPr>
          <w:lang w:val="en-GB"/>
        </w:rPr>
        <w:t xml:space="preserve">significant decrease in the relative abundance of </w:t>
      </w:r>
      <w:r w:rsidR="00BD6304" w:rsidRPr="00E63E1C">
        <w:rPr>
          <w:lang w:val="en-GB"/>
        </w:rPr>
        <w:t xml:space="preserve">MG and </w:t>
      </w:r>
      <w:r w:rsidR="001D57A7" w:rsidRPr="00E63E1C">
        <w:rPr>
          <w:lang w:val="en-GB"/>
        </w:rPr>
        <w:t xml:space="preserve">SAFA </w:t>
      </w:r>
      <w:r w:rsidR="001C5970" w:rsidRPr="00E63E1C">
        <w:rPr>
          <w:lang w:val="en-GB"/>
        </w:rPr>
        <w:t>with ocean depth.</w:t>
      </w:r>
    </w:p>
    <w:p w:rsidR="00DD1685" w:rsidRPr="00E63E1C" w:rsidRDefault="00DD1685" w:rsidP="00CD12B2">
      <w:pPr>
        <w:spacing w:after="120" w:line="360" w:lineRule="auto"/>
        <w:ind w:firstLine="720"/>
        <w:jc w:val="both"/>
        <w:rPr>
          <w:lang w:val="en-GB"/>
        </w:rPr>
      </w:pPr>
      <w:r w:rsidRPr="00E63E1C">
        <w:rPr>
          <w:lang w:val="en-GB"/>
        </w:rPr>
        <w:t>The contribution of tri</w:t>
      </w:r>
      <w:r w:rsidR="00AE2D1B" w:rsidRPr="00E63E1C">
        <w:rPr>
          <w:lang w:val="en-GB"/>
        </w:rPr>
        <w:t>acylglycerol</w:t>
      </w:r>
      <w:r w:rsidRPr="00E63E1C">
        <w:rPr>
          <w:lang w:val="en-GB"/>
        </w:rPr>
        <w:t xml:space="preserve"> (TG and oddTG), DG, MG and fatty acid (UFA, BrFA and SAFA) signals to </w:t>
      </w:r>
      <w:r w:rsidR="007A17DC">
        <w:rPr>
          <w:lang w:val="en-GB"/>
        </w:rPr>
        <w:t xml:space="preserve">the </w:t>
      </w:r>
      <w:r w:rsidRPr="00E63E1C">
        <w:rPr>
          <w:lang w:val="en-GB"/>
        </w:rPr>
        <w:t xml:space="preserve">total lipid signal are </w:t>
      </w:r>
      <w:r w:rsidR="00115DC4" w:rsidRPr="00E63E1C">
        <w:rPr>
          <w:lang w:val="en-GB"/>
        </w:rPr>
        <w:t xml:space="preserve">shown </w:t>
      </w:r>
      <w:r w:rsidRPr="00E63E1C">
        <w:rPr>
          <w:lang w:val="en-GB"/>
        </w:rPr>
        <w:t>in Figs. 2</w:t>
      </w:r>
      <w:r w:rsidR="000834AB" w:rsidRPr="00E63E1C">
        <w:rPr>
          <w:lang w:val="en-GB"/>
        </w:rPr>
        <w:t>c</w:t>
      </w:r>
      <w:r w:rsidRPr="00E63E1C">
        <w:rPr>
          <w:lang w:val="en-GB"/>
        </w:rPr>
        <w:t xml:space="preserve"> and f. </w:t>
      </w:r>
      <w:r w:rsidR="00115DC4" w:rsidRPr="00E63E1C">
        <w:rPr>
          <w:lang w:val="en-GB"/>
        </w:rPr>
        <w:t xml:space="preserve">The </w:t>
      </w:r>
      <w:r w:rsidR="009F3496" w:rsidRPr="00E63E1C">
        <w:rPr>
          <w:lang w:val="en-GB"/>
        </w:rPr>
        <w:t>d</w:t>
      </w:r>
      <w:r w:rsidRPr="00E63E1C">
        <w:rPr>
          <w:lang w:val="en-GB"/>
        </w:rPr>
        <w:t>epth</w:t>
      </w:r>
      <w:r w:rsidR="009F3496" w:rsidRPr="00E63E1C">
        <w:rPr>
          <w:lang w:val="en-GB"/>
        </w:rPr>
        <w:t>-dependent</w:t>
      </w:r>
      <w:r w:rsidR="00AA27D2">
        <w:rPr>
          <w:lang w:val="en-GB"/>
        </w:rPr>
        <w:t xml:space="preserve"> lipid abundances </w:t>
      </w:r>
      <w:r w:rsidRPr="00E63E1C">
        <w:rPr>
          <w:lang w:val="en-GB"/>
        </w:rPr>
        <w:t xml:space="preserve">indicate that </w:t>
      </w:r>
      <w:r w:rsidR="009F3496" w:rsidRPr="00E63E1C">
        <w:rPr>
          <w:lang w:val="en-GB"/>
        </w:rPr>
        <w:t xml:space="preserve">these </w:t>
      </w:r>
      <w:r w:rsidRPr="00E63E1C">
        <w:rPr>
          <w:lang w:val="en-GB"/>
        </w:rPr>
        <w:t>lipid</w:t>
      </w:r>
      <w:r w:rsidR="009F3496" w:rsidRPr="00E63E1C">
        <w:rPr>
          <w:lang w:val="en-GB"/>
        </w:rPr>
        <w:t xml:space="preserve"> classes</w:t>
      </w:r>
      <w:r w:rsidRPr="00E63E1C">
        <w:rPr>
          <w:lang w:val="en-GB"/>
        </w:rPr>
        <w:t xml:space="preserve"> </w:t>
      </w:r>
      <w:r w:rsidR="009F3496" w:rsidRPr="00E63E1C">
        <w:rPr>
          <w:lang w:val="en-GB"/>
        </w:rPr>
        <w:t xml:space="preserve">contribute most </w:t>
      </w:r>
      <w:r w:rsidR="00115DC4" w:rsidRPr="00E63E1C">
        <w:rPr>
          <w:lang w:val="en-GB"/>
        </w:rPr>
        <w:t>greatly</w:t>
      </w:r>
      <w:r w:rsidR="009F3496" w:rsidRPr="00E63E1C">
        <w:rPr>
          <w:lang w:val="en-GB"/>
        </w:rPr>
        <w:t xml:space="preserve"> to the total lipid signal</w:t>
      </w:r>
      <w:r w:rsidR="00115DC4" w:rsidRPr="00E63E1C">
        <w:rPr>
          <w:lang w:val="en-GB"/>
        </w:rPr>
        <w:t xml:space="preserve"> </w:t>
      </w:r>
      <w:r w:rsidR="000834AB" w:rsidRPr="00E63E1C">
        <w:rPr>
          <w:lang w:val="en-GB"/>
        </w:rPr>
        <w:t xml:space="preserve">in </w:t>
      </w:r>
      <w:r w:rsidR="00A0716F" w:rsidRPr="00E63E1C">
        <w:rPr>
          <w:lang w:val="en-GB"/>
        </w:rPr>
        <w:t xml:space="preserve">the euphotic zone </w:t>
      </w:r>
      <w:r w:rsidRPr="00E63E1C">
        <w:rPr>
          <w:lang w:val="en-GB"/>
        </w:rPr>
        <w:t xml:space="preserve">with </w:t>
      </w:r>
      <w:r w:rsidR="00AD3DE8" w:rsidRPr="00E63E1C">
        <w:rPr>
          <w:lang w:val="en-GB"/>
        </w:rPr>
        <w:t xml:space="preserve">the </w:t>
      </w:r>
      <w:r w:rsidRPr="00E63E1C">
        <w:rPr>
          <w:lang w:val="en-GB"/>
        </w:rPr>
        <w:t xml:space="preserve">exception of SAFA </w:t>
      </w:r>
      <w:r w:rsidR="00AD3DE8" w:rsidRPr="00E63E1C">
        <w:rPr>
          <w:lang w:val="en-GB"/>
        </w:rPr>
        <w:t xml:space="preserve">whose </w:t>
      </w:r>
      <w:r w:rsidRPr="00E63E1C">
        <w:rPr>
          <w:lang w:val="en-GB"/>
        </w:rPr>
        <w:t>contribution substantially increase</w:t>
      </w:r>
      <w:r w:rsidR="00AD3DE8" w:rsidRPr="00E63E1C">
        <w:rPr>
          <w:lang w:val="en-GB"/>
        </w:rPr>
        <w:t>s</w:t>
      </w:r>
      <w:r w:rsidRPr="00E63E1C">
        <w:rPr>
          <w:lang w:val="en-GB"/>
        </w:rPr>
        <w:t xml:space="preserve"> with depth, up to 39%. The contribution of TG</w:t>
      </w:r>
      <w:r w:rsidR="00AD3DE8" w:rsidRPr="00E63E1C">
        <w:rPr>
          <w:lang w:val="en-GB"/>
        </w:rPr>
        <w:t xml:space="preserve"> </w:t>
      </w:r>
      <w:r w:rsidRPr="00E63E1C">
        <w:rPr>
          <w:lang w:val="en-GB"/>
        </w:rPr>
        <w:t>and DG to total lipids was substantial (up to 11.5</w:t>
      </w:r>
      <w:r w:rsidR="00165F0B" w:rsidRPr="00E63E1C">
        <w:rPr>
          <w:lang w:val="en-GB"/>
        </w:rPr>
        <w:t xml:space="preserve"> </w:t>
      </w:r>
      <w:r w:rsidR="0089787F" w:rsidRPr="00E63E1C">
        <w:rPr>
          <w:lang w:val="en-GB"/>
        </w:rPr>
        <w:t>and 5.2%)</w:t>
      </w:r>
      <w:r w:rsidRPr="00E63E1C">
        <w:rPr>
          <w:lang w:val="en-GB"/>
        </w:rPr>
        <w:t xml:space="preserve"> at the surface productive depths (</w:t>
      </w:r>
      <w:r w:rsidR="00CD63AC" w:rsidRPr="00E63E1C">
        <w:rPr>
          <w:lang w:val="en-GB"/>
        </w:rPr>
        <w:t>Fig. 3</w:t>
      </w:r>
      <w:r w:rsidRPr="00E63E1C">
        <w:rPr>
          <w:lang w:val="en-GB"/>
        </w:rPr>
        <w:t xml:space="preserve">e). </w:t>
      </w:r>
      <w:r w:rsidR="009A2FAD" w:rsidRPr="00E63E1C">
        <w:rPr>
          <w:lang w:val="en-GB"/>
        </w:rPr>
        <w:t xml:space="preserve">BrFA </w:t>
      </w:r>
      <w:r w:rsidR="0033163A" w:rsidRPr="00E63E1C">
        <w:rPr>
          <w:lang w:val="en-GB"/>
        </w:rPr>
        <w:t>contributed 3.0-4.7% in e</w:t>
      </w:r>
      <w:r w:rsidRPr="00E63E1C">
        <w:rPr>
          <w:lang w:val="en-GB"/>
        </w:rPr>
        <w:t xml:space="preserve">pipelagic and </w:t>
      </w:r>
      <w:r w:rsidR="00F40AFC" w:rsidRPr="00E63E1C">
        <w:rPr>
          <w:lang w:val="en-GB"/>
        </w:rPr>
        <w:t>1.0-</w:t>
      </w:r>
      <w:r w:rsidRPr="00E63E1C">
        <w:rPr>
          <w:lang w:val="en-GB"/>
        </w:rPr>
        <w:t xml:space="preserve">2.0% in the depths below </w:t>
      </w:r>
      <w:r w:rsidR="0033163A" w:rsidRPr="00E63E1C">
        <w:rPr>
          <w:lang w:val="en-GB"/>
        </w:rPr>
        <w:t>e</w:t>
      </w:r>
      <w:r w:rsidRPr="00E63E1C">
        <w:rPr>
          <w:lang w:val="en-GB"/>
        </w:rPr>
        <w:t>pipelagic</w:t>
      </w:r>
      <w:r w:rsidR="0033163A" w:rsidRPr="00E63E1C">
        <w:rPr>
          <w:lang w:val="en-GB"/>
        </w:rPr>
        <w:t xml:space="preserve"> zone</w:t>
      </w:r>
      <w:r w:rsidRPr="00E63E1C">
        <w:rPr>
          <w:lang w:val="en-GB"/>
        </w:rPr>
        <w:t xml:space="preserve">. The lowest contribution was observed for UFA, </w:t>
      </w:r>
      <w:r w:rsidR="002F1F5B" w:rsidRPr="00E63E1C">
        <w:rPr>
          <w:lang w:val="en-GB"/>
        </w:rPr>
        <w:t xml:space="preserve">being </w:t>
      </w:r>
      <w:r w:rsidRPr="00E63E1C">
        <w:rPr>
          <w:lang w:val="en-GB"/>
        </w:rPr>
        <w:t xml:space="preserve">0.6-1.2% in </w:t>
      </w:r>
      <w:r w:rsidR="0033163A" w:rsidRPr="00E63E1C">
        <w:rPr>
          <w:lang w:val="en-GB"/>
        </w:rPr>
        <w:t>e</w:t>
      </w:r>
      <w:r w:rsidRPr="00E63E1C">
        <w:rPr>
          <w:lang w:val="en-GB"/>
        </w:rPr>
        <w:t xml:space="preserve">pipelagic </w:t>
      </w:r>
      <w:r w:rsidR="00AD3DE8" w:rsidRPr="00E63E1C">
        <w:rPr>
          <w:lang w:val="en-GB"/>
        </w:rPr>
        <w:t>and</w:t>
      </w:r>
      <w:r w:rsidR="00DB030F" w:rsidRPr="00E63E1C">
        <w:rPr>
          <w:lang w:val="en-GB"/>
        </w:rPr>
        <w:t xml:space="preserve"> 0.02% in </w:t>
      </w:r>
      <w:r w:rsidR="0033163A" w:rsidRPr="00E63E1C">
        <w:rPr>
          <w:lang w:val="en-GB"/>
        </w:rPr>
        <w:t>b</w:t>
      </w:r>
      <w:r w:rsidR="009A2FAD" w:rsidRPr="00E63E1C">
        <w:rPr>
          <w:lang w:val="en-GB"/>
        </w:rPr>
        <w:t xml:space="preserve">athypelagic </w:t>
      </w:r>
      <w:r w:rsidR="00DB030F" w:rsidRPr="00E63E1C">
        <w:rPr>
          <w:lang w:val="en-GB"/>
        </w:rPr>
        <w:t>(1000-4000 m depth)</w:t>
      </w:r>
      <w:r w:rsidR="0033163A" w:rsidRPr="00E63E1C">
        <w:rPr>
          <w:lang w:val="en-GB"/>
        </w:rPr>
        <w:t xml:space="preserve"> zone</w:t>
      </w:r>
      <w:r w:rsidR="00DB030F" w:rsidRPr="00E63E1C">
        <w:rPr>
          <w:lang w:val="en-GB"/>
        </w:rPr>
        <w:t>.</w:t>
      </w:r>
    </w:p>
    <w:p w:rsidR="007A3E1F" w:rsidRPr="00E63E1C" w:rsidRDefault="007A3E1F" w:rsidP="00DC323E">
      <w:pPr>
        <w:spacing w:after="120" w:line="360" w:lineRule="auto"/>
        <w:ind w:firstLine="720"/>
        <w:jc w:val="both"/>
        <w:rPr>
          <w:lang w:val="en-GB"/>
        </w:rPr>
      </w:pPr>
      <w:r w:rsidRPr="00E63E1C">
        <w:rPr>
          <w:lang w:val="en-GB"/>
        </w:rPr>
        <w:t xml:space="preserve">We observe that some </w:t>
      </w:r>
      <w:r w:rsidR="00550A45" w:rsidRPr="00E63E1C">
        <w:rPr>
          <w:lang w:val="en-GB"/>
        </w:rPr>
        <w:t>lipids</w:t>
      </w:r>
      <w:r w:rsidRPr="00E63E1C">
        <w:rPr>
          <w:lang w:val="en-GB"/>
        </w:rPr>
        <w:t xml:space="preserve"> </w:t>
      </w:r>
      <w:r w:rsidR="00AA27D2">
        <w:rPr>
          <w:lang w:val="en-GB"/>
        </w:rPr>
        <w:t xml:space="preserve">are observed primarily </w:t>
      </w:r>
      <w:r w:rsidRPr="00E63E1C">
        <w:rPr>
          <w:lang w:val="en-GB"/>
        </w:rPr>
        <w:t xml:space="preserve">in the </w:t>
      </w:r>
      <w:r w:rsidR="00A0716F" w:rsidRPr="00E63E1C">
        <w:rPr>
          <w:lang w:val="en-GB"/>
        </w:rPr>
        <w:t>euphotic zone</w:t>
      </w:r>
      <w:r w:rsidRPr="00E63E1C">
        <w:rPr>
          <w:lang w:val="en-GB"/>
        </w:rPr>
        <w:t>,</w:t>
      </w:r>
      <w:r w:rsidR="00AD4E62" w:rsidRPr="00E63E1C">
        <w:rPr>
          <w:lang w:val="en-GB"/>
        </w:rPr>
        <w:t xml:space="preserve"> or</w:t>
      </w:r>
      <w:r w:rsidRPr="00E63E1C">
        <w:rPr>
          <w:lang w:val="en-GB"/>
        </w:rPr>
        <w:t xml:space="preserve"> </w:t>
      </w:r>
      <w:r w:rsidR="0033163A" w:rsidRPr="00E63E1C">
        <w:rPr>
          <w:lang w:val="en-GB"/>
        </w:rPr>
        <w:t>m</w:t>
      </w:r>
      <w:r w:rsidR="00A0716F" w:rsidRPr="00E63E1C">
        <w:rPr>
          <w:lang w:val="en-GB"/>
        </w:rPr>
        <w:t>eso-</w:t>
      </w:r>
      <w:r w:rsidRPr="00E63E1C">
        <w:rPr>
          <w:lang w:val="en-GB"/>
        </w:rPr>
        <w:t xml:space="preserve"> to </w:t>
      </w:r>
      <w:r w:rsidR="0033163A" w:rsidRPr="00E63E1C">
        <w:rPr>
          <w:lang w:val="en-GB"/>
        </w:rPr>
        <w:t>a</w:t>
      </w:r>
      <w:r w:rsidRPr="00E63E1C">
        <w:rPr>
          <w:lang w:val="en-GB"/>
        </w:rPr>
        <w:t>byssopelagic</w:t>
      </w:r>
      <w:r w:rsidR="00103676" w:rsidRPr="00E63E1C">
        <w:rPr>
          <w:lang w:val="en-GB"/>
        </w:rPr>
        <w:t xml:space="preserve"> (200-4800 m depth)</w:t>
      </w:r>
      <w:r w:rsidR="0033163A" w:rsidRPr="00E63E1C">
        <w:rPr>
          <w:lang w:val="en-GB"/>
        </w:rPr>
        <w:t xml:space="preserve"> zone</w:t>
      </w:r>
      <w:r w:rsidRPr="00E63E1C">
        <w:rPr>
          <w:lang w:val="en-GB"/>
        </w:rPr>
        <w:t xml:space="preserve">, </w:t>
      </w:r>
      <w:r w:rsidR="00AD4E62" w:rsidRPr="00E63E1C">
        <w:rPr>
          <w:lang w:val="en-GB"/>
        </w:rPr>
        <w:t xml:space="preserve">whereas </w:t>
      </w:r>
      <w:r w:rsidR="00AA27D2">
        <w:rPr>
          <w:lang w:val="en-GB"/>
        </w:rPr>
        <w:t xml:space="preserve">other lipids maintain concentration across </w:t>
      </w:r>
      <w:r w:rsidRPr="00E63E1C">
        <w:rPr>
          <w:lang w:val="en-GB"/>
        </w:rPr>
        <w:t xml:space="preserve">the </w:t>
      </w:r>
      <w:r w:rsidR="00AA27D2">
        <w:rPr>
          <w:lang w:val="en-GB"/>
        </w:rPr>
        <w:t>entire</w:t>
      </w:r>
      <w:r w:rsidR="00AA27D2" w:rsidRPr="00E63E1C">
        <w:rPr>
          <w:lang w:val="en-GB"/>
        </w:rPr>
        <w:t xml:space="preserve"> </w:t>
      </w:r>
      <w:r w:rsidRPr="00E63E1C">
        <w:rPr>
          <w:lang w:val="en-GB"/>
        </w:rPr>
        <w:t xml:space="preserve">water column. </w:t>
      </w:r>
      <w:r w:rsidR="00AD4E62" w:rsidRPr="00E63E1C">
        <w:rPr>
          <w:lang w:val="en-GB"/>
        </w:rPr>
        <w:t>Table 1 shows acyl DBE</w:t>
      </w:r>
      <w:r w:rsidR="00AA27D2">
        <w:rPr>
          <w:lang w:val="en-GB"/>
        </w:rPr>
        <w:t xml:space="preserve"> (DBE, double bond equivalents which is the number of molecular rings plus double bonds</w:t>
      </w:r>
      <w:r w:rsidR="009620A3">
        <w:rPr>
          <w:lang w:val="en-GB"/>
        </w:rPr>
        <w:t xml:space="preserve"> to carbon</w:t>
      </w:r>
      <w:r w:rsidR="00AA27D2">
        <w:rPr>
          <w:lang w:val="en-GB"/>
        </w:rPr>
        <w:t>)</w:t>
      </w:r>
      <w:r w:rsidR="00AD4E62" w:rsidRPr="00E63E1C">
        <w:rPr>
          <w:lang w:val="en-GB"/>
        </w:rPr>
        <w:t xml:space="preserve"> and carbon number </w:t>
      </w:r>
      <w:r w:rsidR="00AA27D2">
        <w:rPr>
          <w:lang w:val="en-GB"/>
        </w:rPr>
        <w:t xml:space="preserve">content </w:t>
      </w:r>
      <w:r w:rsidR="00AD4E62" w:rsidRPr="00E63E1C">
        <w:rPr>
          <w:lang w:val="en-GB"/>
        </w:rPr>
        <w:t xml:space="preserve">of the most abundant lipids observed in the </w:t>
      </w:r>
      <w:r w:rsidR="0033163A" w:rsidRPr="00E63E1C">
        <w:rPr>
          <w:lang w:val="en-GB"/>
        </w:rPr>
        <w:t>e</w:t>
      </w:r>
      <w:r w:rsidR="00AD4E62" w:rsidRPr="00E63E1C">
        <w:rPr>
          <w:lang w:val="en-GB"/>
        </w:rPr>
        <w:t xml:space="preserve">pipelagic and below </w:t>
      </w:r>
      <w:r w:rsidR="0033163A" w:rsidRPr="00E63E1C">
        <w:rPr>
          <w:lang w:val="en-GB"/>
        </w:rPr>
        <w:t>e</w:t>
      </w:r>
      <w:r w:rsidR="00AD4E62" w:rsidRPr="00E63E1C">
        <w:rPr>
          <w:lang w:val="en-GB"/>
        </w:rPr>
        <w:t xml:space="preserve">pipelagic </w:t>
      </w:r>
      <w:r w:rsidR="0033163A" w:rsidRPr="00E63E1C">
        <w:rPr>
          <w:lang w:val="en-GB"/>
        </w:rPr>
        <w:t xml:space="preserve">depths </w:t>
      </w:r>
      <w:r w:rsidR="00AD4E62" w:rsidRPr="00E63E1C">
        <w:rPr>
          <w:lang w:val="en-GB"/>
        </w:rPr>
        <w:t>and their contribution to the lipid class.</w:t>
      </w:r>
    </w:p>
    <w:p w:rsidR="002D3687" w:rsidRPr="00E63E1C" w:rsidRDefault="0089787F" w:rsidP="00CC41D7">
      <w:pPr>
        <w:spacing w:after="120" w:line="360" w:lineRule="auto"/>
        <w:ind w:firstLine="720"/>
        <w:jc w:val="both"/>
        <w:rPr>
          <w:lang w:val="en-GB"/>
        </w:rPr>
      </w:pPr>
      <w:r w:rsidRPr="00E63E1C">
        <w:rPr>
          <w:lang w:val="en-GB"/>
        </w:rPr>
        <w:t xml:space="preserve">The lipid class with the </w:t>
      </w:r>
      <w:r w:rsidR="00114C7E">
        <w:rPr>
          <w:lang w:val="en-GB"/>
        </w:rPr>
        <w:t>most observed compounds</w:t>
      </w:r>
      <w:r w:rsidRPr="00E63E1C">
        <w:rPr>
          <w:lang w:val="en-GB"/>
        </w:rPr>
        <w:t xml:space="preserve"> </w:t>
      </w:r>
      <w:r w:rsidR="00CF04D4" w:rsidRPr="00E63E1C">
        <w:rPr>
          <w:lang w:val="en-GB"/>
        </w:rPr>
        <w:t>for the whole ocean</w:t>
      </w:r>
      <w:r w:rsidR="00550A45" w:rsidRPr="00E63E1C">
        <w:rPr>
          <w:lang w:val="en-GB"/>
        </w:rPr>
        <w:t xml:space="preserve"> depth profile was </w:t>
      </w:r>
      <w:r w:rsidR="00114D99" w:rsidRPr="00E63E1C">
        <w:rPr>
          <w:lang w:val="en-GB"/>
        </w:rPr>
        <w:t>that of</w:t>
      </w:r>
      <w:r w:rsidR="00550A45" w:rsidRPr="00E63E1C">
        <w:rPr>
          <w:lang w:val="en-GB"/>
        </w:rPr>
        <w:t xml:space="preserve"> TG with </w:t>
      </w:r>
      <w:r w:rsidR="00114C7E">
        <w:rPr>
          <w:lang w:val="en-GB"/>
        </w:rPr>
        <w:t>9</w:t>
      </w:r>
      <w:r w:rsidR="00DF7C1A">
        <w:rPr>
          <w:lang w:val="en-GB"/>
        </w:rPr>
        <w:t>9</w:t>
      </w:r>
      <w:r w:rsidR="00CD7FE7" w:rsidRPr="00E63E1C">
        <w:rPr>
          <w:lang w:val="en-GB"/>
        </w:rPr>
        <w:t xml:space="preserve"> </w:t>
      </w:r>
      <w:r w:rsidR="00550A45" w:rsidRPr="00E63E1C">
        <w:rPr>
          <w:lang w:val="en-GB"/>
        </w:rPr>
        <w:t xml:space="preserve">TG </w:t>
      </w:r>
      <w:r w:rsidR="00114D99" w:rsidRPr="00E63E1C">
        <w:rPr>
          <w:lang w:val="en-GB"/>
        </w:rPr>
        <w:t xml:space="preserve">compounds </w:t>
      </w:r>
      <w:r w:rsidR="00550A45" w:rsidRPr="00E63E1C">
        <w:rPr>
          <w:lang w:val="en-GB"/>
        </w:rPr>
        <w:t>detected</w:t>
      </w:r>
      <w:r w:rsidR="00CF04D4" w:rsidRPr="00E63E1C">
        <w:rPr>
          <w:lang w:val="en-GB"/>
        </w:rPr>
        <w:t xml:space="preserve">. </w:t>
      </w:r>
      <w:r w:rsidR="00114D99" w:rsidRPr="00E63E1C">
        <w:rPr>
          <w:lang w:val="en-GB"/>
        </w:rPr>
        <w:t xml:space="preserve">The </w:t>
      </w:r>
      <w:r w:rsidR="00CF04D4" w:rsidRPr="00E63E1C">
        <w:rPr>
          <w:lang w:val="en-GB"/>
        </w:rPr>
        <w:t>DG</w:t>
      </w:r>
      <w:r w:rsidR="008D37F5" w:rsidRPr="00E63E1C">
        <w:rPr>
          <w:lang w:val="en-GB"/>
        </w:rPr>
        <w:t xml:space="preserve"> and odd</w:t>
      </w:r>
      <w:r w:rsidR="003B093E" w:rsidRPr="00E63E1C">
        <w:rPr>
          <w:lang w:val="en-GB"/>
        </w:rPr>
        <w:t>TG</w:t>
      </w:r>
      <w:r w:rsidR="00CF04D4" w:rsidRPr="00E63E1C">
        <w:rPr>
          <w:lang w:val="en-GB"/>
        </w:rPr>
        <w:t xml:space="preserve"> </w:t>
      </w:r>
      <w:r w:rsidR="00114D99" w:rsidRPr="00E63E1C">
        <w:rPr>
          <w:lang w:val="en-GB"/>
        </w:rPr>
        <w:t xml:space="preserve">lipid classes </w:t>
      </w:r>
      <w:r w:rsidR="00CF04D4" w:rsidRPr="00E63E1C">
        <w:rPr>
          <w:lang w:val="en-GB"/>
        </w:rPr>
        <w:t xml:space="preserve">were </w:t>
      </w:r>
      <w:r w:rsidR="00114C7E">
        <w:rPr>
          <w:lang w:val="en-GB"/>
        </w:rPr>
        <w:t xml:space="preserve">slightly </w:t>
      </w:r>
      <w:r w:rsidR="00CF04D4" w:rsidRPr="00E63E1C">
        <w:rPr>
          <w:lang w:val="en-GB"/>
        </w:rPr>
        <w:t xml:space="preserve">less diverse with 82 </w:t>
      </w:r>
      <w:r w:rsidR="003B093E" w:rsidRPr="00E63E1C">
        <w:rPr>
          <w:lang w:val="en-GB"/>
        </w:rPr>
        <w:t>and</w:t>
      </w:r>
      <w:r w:rsidR="00114C7E">
        <w:rPr>
          <w:lang w:val="en-GB"/>
        </w:rPr>
        <w:t xml:space="preserve"> 76</w:t>
      </w:r>
      <w:r w:rsidR="003B093E" w:rsidRPr="00E63E1C">
        <w:rPr>
          <w:lang w:val="en-GB"/>
        </w:rPr>
        <w:t xml:space="preserve"> molecular </w:t>
      </w:r>
      <w:r w:rsidR="00CF04D4" w:rsidRPr="00E63E1C">
        <w:rPr>
          <w:lang w:val="en-GB"/>
        </w:rPr>
        <w:t>formula</w:t>
      </w:r>
      <w:r w:rsidR="00114D99" w:rsidRPr="00E63E1C">
        <w:rPr>
          <w:lang w:val="en-GB"/>
        </w:rPr>
        <w:t>e</w:t>
      </w:r>
      <w:r w:rsidR="00CF04D4" w:rsidRPr="00E63E1C">
        <w:rPr>
          <w:lang w:val="en-GB"/>
        </w:rPr>
        <w:t xml:space="preserve">. Only </w:t>
      </w:r>
      <w:r w:rsidR="003B093E" w:rsidRPr="00E63E1C">
        <w:rPr>
          <w:lang w:val="en-GB"/>
        </w:rPr>
        <w:t>4</w:t>
      </w:r>
      <w:r w:rsidR="00CF04D4" w:rsidRPr="00E63E1C">
        <w:rPr>
          <w:lang w:val="en-GB"/>
        </w:rPr>
        <w:t xml:space="preserve"> different MG </w:t>
      </w:r>
      <w:r w:rsidR="00114D99" w:rsidRPr="00E63E1C">
        <w:rPr>
          <w:lang w:val="en-GB"/>
        </w:rPr>
        <w:t>formulae</w:t>
      </w:r>
      <w:r w:rsidR="00CF04D4" w:rsidRPr="00E63E1C">
        <w:rPr>
          <w:lang w:val="en-GB"/>
        </w:rPr>
        <w:t xml:space="preserve"> were detected. The molecular diversity of fatty acids was </w:t>
      </w:r>
      <w:r w:rsidR="001B1892" w:rsidRPr="00E63E1C">
        <w:rPr>
          <w:lang w:val="en-GB"/>
        </w:rPr>
        <w:t>reflected</w:t>
      </w:r>
      <w:r w:rsidR="003B093E" w:rsidRPr="00E63E1C">
        <w:rPr>
          <w:lang w:val="en-GB"/>
        </w:rPr>
        <w:t xml:space="preserve"> in 8 </w:t>
      </w:r>
      <w:r w:rsidR="00CF04D4" w:rsidRPr="00E63E1C">
        <w:rPr>
          <w:lang w:val="en-GB"/>
        </w:rPr>
        <w:t>UFA</w:t>
      </w:r>
      <w:r w:rsidR="003B093E" w:rsidRPr="00E63E1C">
        <w:rPr>
          <w:lang w:val="en-GB"/>
        </w:rPr>
        <w:t>,</w:t>
      </w:r>
      <w:r w:rsidR="00CF04D4" w:rsidRPr="00E63E1C">
        <w:rPr>
          <w:lang w:val="en-GB"/>
        </w:rPr>
        <w:t xml:space="preserve"> 13 BrFA and 22 SAFA molecular </w:t>
      </w:r>
      <w:r w:rsidR="00114D99" w:rsidRPr="00E63E1C">
        <w:rPr>
          <w:lang w:val="en-GB"/>
        </w:rPr>
        <w:t>formulae</w:t>
      </w:r>
      <w:r w:rsidR="00CF04D4" w:rsidRPr="00E63E1C">
        <w:rPr>
          <w:lang w:val="en-GB"/>
        </w:rPr>
        <w:t xml:space="preserve">. </w:t>
      </w:r>
      <w:r w:rsidR="002D3687" w:rsidRPr="00E63E1C">
        <w:rPr>
          <w:lang w:val="en-GB"/>
        </w:rPr>
        <w:t xml:space="preserve">The molecular diversity </w:t>
      </w:r>
      <w:r w:rsidR="002D3687" w:rsidRPr="00E63E1C">
        <w:rPr>
          <w:i/>
          <w:lang w:val="en-GB"/>
        </w:rPr>
        <w:t>i.e</w:t>
      </w:r>
      <w:r w:rsidR="002D3687" w:rsidRPr="00E63E1C">
        <w:rPr>
          <w:lang w:val="en-GB"/>
        </w:rPr>
        <w:t xml:space="preserve">. the number of assigned elemental compositions of </w:t>
      </w:r>
      <w:r w:rsidR="005C4147" w:rsidRPr="00E63E1C">
        <w:rPr>
          <w:lang w:val="en-GB"/>
        </w:rPr>
        <w:t>observed</w:t>
      </w:r>
      <w:r w:rsidR="002D3687" w:rsidRPr="00E63E1C">
        <w:rPr>
          <w:lang w:val="en-GB"/>
        </w:rPr>
        <w:t xml:space="preserve"> lipids </w:t>
      </w:r>
      <w:r w:rsidR="00550A45" w:rsidRPr="00E63E1C">
        <w:rPr>
          <w:lang w:val="en-GB"/>
        </w:rPr>
        <w:t>across</w:t>
      </w:r>
      <w:r w:rsidR="002D3687" w:rsidRPr="00E63E1C">
        <w:rPr>
          <w:lang w:val="en-GB"/>
        </w:rPr>
        <w:t xml:space="preserve"> ocean depths is presented in </w:t>
      </w:r>
      <w:r w:rsidR="00CD63AC" w:rsidRPr="00E63E1C">
        <w:rPr>
          <w:lang w:val="en-GB"/>
        </w:rPr>
        <w:t>Fig. 4</w:t>
      </w:r>
      <w:r w:rsidR="002D3687" w:rsidRPr="00E63E1C">
        <w:rPr>
          <w:lang w:val="en-GB"/>
        </w:rPr>
        <w:t>.</w:t>
      </w:r>
      <w:r w:rsidR="00993275" w:rsidRPr="00E63E1C">
        <w:rPr>
          <w:lang w:val="en-GB"/>
        </w:rPr>
        <w:t xml:space="preserve"> The </w:t>
      </w:r>
      <w:r w:rsidR="00CF04D4" w:rsidRPr="00E63E1C">
        <w:rPr>
          <w:lang w:val="en-GB"/>
        </w:rPr>
        <w:t>highest m</w:t>
      </w:r>
      <w:r w:rsidR="00E35BBB" w:rsidRPr="00E63E1C">
        <w:rPr>
          <w:lang w:val="en-GB"/>
        </w:rPr>
        <w:t>o</w:t>
      </w:r>
      <w:r w:rsidR="00CF04D4" w:rsidRPr="00E63E1C">
        <w:rPr>
          <w:lang w:val="en-GB"/>
        </w:rPr>
        <w:t xml:space="preserve">lecular diversity was </w:t>
      </w:r>
      <w:r w:rsidR="00CF04D4" w:rsidRPr="00E63E1C">
        <w:rPr>
          <w:lang w:val="en-GB"/>
        </w:rPr>
        <w:lastRenderedPageBreak/>
        <w:t>observ</w:t>
      </w:r>
      <w:r w:rsidR="00E35BBB" w:rsidRPr="00E63E1C">
        <w:rPr>
          <w:lang w:val="en-GB"/>
        </w:rPr>
        <w:t>e</w:t>
      </w:r>
      <w:r w:rsidR="00CF04D4" w:rsidRPr="00E63E1C">
        <w:rPr>
          <w:lang w:val="en-GB"/>
        </w:rPr>
        <w:t xml:space="preserve">d for the </w:t>
      </w:r>
      <w:r w:rsidR="00A0716F" w:rsidRPr="00E63E1C">
        <w:rPr>
          <w:lang w:val="en-GB"/>
        </w:rPr>
        <w:t xml:space="preserve">euphotic zone </w:t>
      </w:r>
      <w:r w:rsidR="00CF04D4" w:rsidRPr="00E63E1C">
        <w:rPr>
          <w:lang w:val="en-GB"/>
        </w:rPr>
        <w:t xml:space="preserve">with </w:t>
      </w:r>
      <w:r w:rsidR="007A17DC">
        <w:rPr>
          <w:lang w:val="en-GB"/>
        </w:rPr>
        <w:t xml:space="preserve">the </w:t>
      </w:r>
      <w:r w:rsidR="00CF04D4" w:rsidRPr="00E63E1C">
        <w:rPr>
          <w:lang w:val="en-GB"/>
        </w:rPr>
        <w:t xml:space="preserve">exception of SAFA for which </w:t>
      </w:r>
      <w:r w:rsidR="00114D99" w:rsidRPr="00E63E1C">
        <w:rPr>
          <w:lang w:val="en-GB"/>
        </w:rPr>
        <w:t xml:space="preserve">increased </w:t>
      </w:r>
      <w:r w:rsidR="00231C6E" w:rsidRPr="00E63E1C">
        <w:rPr>
          <w:lang w:val="en-GB"/>
        </w:rPr>
        <w:t>diversity</w:t>
      </w:r>
      <w:r w:rsidR="00CF04D4" w:rsidRPr="00E63E1C">
        <w:rPr>
          <w:lang w:val="en-GB"/>
        </w:rPr>
        <w:t xml:space="preserve"> </w:t>
      </w:r>
      <w:r w:rsidR="00114D99" w:rsidRPr="00E63E1C">
        <w:rPr>
          <w:lang w:val="en-GB"/>
        </w:rPr>
        <w:t xml:space="preserve">was observed </w:t>
      </w:r>
      <w:r w:rsidR="00CF04D4" w:rsidRPr="00E63E1C">
        <w:rPr>
          <w:lang w:val="en-GB"/>
        </w:rPr>
        <w:t xml:space="preserve">with </w:t>
      </w:r>
      <w:r w:rsidR="00114D99" w:rsidRPr="00E63E1C">
        <w:rPr>
          <w:lang w:val="en-GB"/>
        </w:rPr>
        <w:t xml:space="preserve">increased </w:t>
      </w:r>
      <w:r w:rsidR="00CF04D4" w:rsidRPr="00E63E1C">
        <w:rPr>
          <w:lang w:val="en-GB"/>
        </w:rPr>
        <w:t>depth</w:t>
      </w:r>
      <w:r w:rsidR="00231C6E" w:rsidRPr="00E63E1C">
        <w:rPr>
          <w:lang w:val="en-GB"/>
        </w:rPr>
        <w:t>s</w:t>
      </w:r>
      <w:r w:rsidR="00CF04D4" w:rsidRPr="00E63E1C">
        <w:rPr>
          <w:lang w:val="en-GB"/>
        </w:rPr>
        <w:t>.</w:t>
      </w:r>
      <w:r w:rsidR="00E35BBB" w:rsidRPr="00E63E1C">
        <w:rPr>
          <w:lang w:val="en-GB"/>
        </w:rPr>
        <w:t xml:space="preserve"> </w:t>
      </w:r>
    </w:p>
    <w:p w:rsidR="009212C0" w:rsidRPr="00E63E1C" w:rsidRDefault="00D81556" w:rsidP="00114C7E">
      <w:pPr>
        <w:spacing w:after="120" w:line="360" w:lineRule="auto"/>
        <w:ind w:firstLine="720"/>
        <w:jc w:val="both"/>
        <w:rPr>
          <w:lang w:val="en-GB"/>
        </w:rPr>
      </w:pPr>
      <w:r w:rsidRPr="00E63E1C">
        <w:rPr>
          <w:lang w:val="en-GB"/>
        </w:rPr>
        <w:t>The use of FT-IC</w:t>
      </w:r>
      <w:r w:rsidR="00F202E1" w:rsidRPr="00E63E1C">
        <w:rPr>
          <w:lang w:val="en-GB"/>
        </w:rPr>
        <w:t>R</w:t>
      </w:r>
      <w:r w:rsidRPr="00E63E1C">
        <w:rPr>
          <w:lang w:val="en-GB"/>
        </w:rPr>
        <w:t xml:space="preserve"> MS allows qualitative characterization </w:t>
      </w:r>
      <w:r w:rsidR="00CF2D53" w:rsidRPr="00E63E1C">
        <w:rPr>
          <w:lang w:val="en-GB"/>
        </w:rPr>
        <w:t>for</w:t>
      </w:r>
      <w:r w:rsidRPr="00E63E1C">
        <w:rPr>
          <w:lang w:val="en-GB"/>
        </w:rPr>
        <w:t xml:space="preserve"> detected </w:t>
      </w:r>
      <w:r w:rsidR="00CF2D53" w:rsidRPr="00E63E1C">
        <w:rPr>
          <w:lang w:val="en-GB"/>
        </w:rPr>
        <w:t xml:space="preserve">lipid </w:t>
      </w:r>
      <w:r w:rsidRPr="00E63E1C">
        <w:rPr>
          <w:lang w:val="en-GB"/>
        </w:rPr>
        <w:t xml:space="preserve">signals by </w:t>
      </w:r>
      <w:r w:rsidR="004F172E" w:rsidRPr="00E63E1C">
        <w:rPr>
          <w:lang w:val="en-GB"/>
        </w:rPr>
        <w:t>defining mass, average number of carbon atoms in the acyl chain of tri-, di-, and mono</w:t>
      </w:r>
      <w:r w:rsidR="00AE2D1B" w:rsidRPr="00E63E1C">
        <w:rPr>
          <w:lang w:val="en-GB"/>
        </w:rPr>
        <w:t>acylglycerol</w:t>
      </w:r>
      <w:r w:rsidR="004F172E" w:rsidRPr="00E63E1C">
        <w:rPr>
          <w:lang w:val="en-GB"/>
        </w:rPr>
        <w:t xml:space="preserve">s and </w:t>
      </w:r>
      <w:r w:rsidR="00E03FF7" w:rsidRPr="00E63E1C">
        <w:rPr>
          <w:lang w:val="en-GB"/>
        </w:rPr>
        <w:t>carbon</w:t>
      </w:r>
      <w:r w:rsidR="004F172E" w:rsidRPr="00E63E1C">
        <w:rPr>
          <w:lang w:val="en-GB"/>
        </w:rPr>
        <w:t xml:space="preserve"> atoms in fatty acids, together with double bond</w:t>
      </w:r>
      <w:r w:rsidR="00C42290" w:rsidRPr="00E63E1C">
        <w:rPr>
          <w:lang w:val="en-GB"/>
        </w:rPr>
        <w:t xml:space="preserve"> </w:t>
      </w:r>
      <w:r w:rsidR="004F172E" w:rsidRPr="00E63E1C">
        <w:rPr>
          <w:lang w:val="en-GB"/>
        </w:rPr>
        <w:t xml:space="preserve">equivalents </w:t>
      </w:r>
      <w:r w:rsidR="001B1892" w:rsidRPr="00E63E1C">
        <w:rPr>
          <w:lang w:val="en-GB"/>
        </w:rPr>
        <w:t xml:space="preserve">The average molecular mass </w:t>
      </w:r>
      <w:r w:rsidR="00157E03" w:rsidRPr="00E63E1C">
        <w:rPr>
          <w:lang w:val="en-GB"/>
        </w:rPr>
        <w:t>(M</w:t>
      </w:r>
      <w:r w:rsidR="00157E03" w:rsidRPr="00E63E1C">
        <w:rPr>
          <w:vertAlign w:val="subscript"/>
          <w:lang w:val="en-GB"/>
        </w:rPr>
        <w:t>w</w:t>
      </w:r>
      <w:r w:rsidR="00157E03" w:rsidRPr="00E63E1C">
        <w:rPr>
          <w:lang w:val="en-GB"/>
        </w:rPr>
        <w:t xml:space="preserve">) </w:t>
      </w:r>
      <w:r w:rsidR="001B1892" w:rsidRPr="00E63E1C">
        <w:rPr>
          <w:lang w:val="en-GB"/>
        </w:rPr>
        <w:t xml:space="preserve">of the </w:t>
      </w:r>
      <w:r w:rsidR="005C4147" w:rsidRPr="00E63E1C">
        <w:rPr>
          <w:lang w:val="en-GB"/>
        </w:rPr>
        <w:t>observed</w:t>
      </w:r>
      <w:r w:rsidR="001B1892" w:rsidRPr="00E63E1C">
        <w:rPr>
          <w:lang w:val="en-GB"/>
        </w:rPr>
        <w:t xml:space="preserve"> lipids </w:t>
      </w:r>
      <w:r w:rsidR="00357FAA" w:rsidRPr="00E63E1C">
        <w:rPr>
          <w:lang w:val="en-GB"/>
        </w:rPr>
        <w:t xml:space="preserve">is </w:t>
      </w:r>
      <w:r w:rsidR="00114C7E">
        <w:rPr>
          <w:lang w:val="en-GB"/>
        </w:rPr>
        <w:t>shown</w:t>
      </w:r>
      <w:r w:rsidR="00114C7E" w:rsidRPr="00E63E1C">
        <w:rPr>
          <w:lang w:val="en-GB"/>
        </w:rPr>
        <w:t xml:space="preserve"> </w:t>
      </w:r>
      <w:r w:rsidR="00357FAA" w:rsidRPr="00E63E1C">
        <w:rPr>
          <w:lang w:val="en-GB"/>
        </w:rPr>
        <w:t xml:space="preserve">in </w:t>
      </w:r>
      <w:r w:rsidR="00CD63AC" w:rsidRPr="00E63E1C">
        <w:rPr>
          <w:lang w:val="en-GB"/>
        </w:rPr>
        <w:t>Fig. 5</w:t>
      </w:r>
      <w:r w:rsidR="00FC6173" w:rsidRPr="00E63E1C">
        <w:rPr>
          <w:lang w:val="en-GB"/>
        </w:rPr>
        <w:t xml:space="preserve">. </w:t>
      </w:r>
      <w:r w:rsidR="00CF2D53" w:rsidRPr="00E63E1C">
        <w:rPr>
          <w:lang w:val="en-GB"/>
        </w:rPr>
        <w:t>Average m</w:t>
      </w:r>
      <w:r w:rsidR="00FC6173" w:rsidRPr="00E63E1C">
        <w:rPr>
          <w:lang w:val="en-GB"/>
        </w:rPr>
        <w:t xml:space="preserve">olecular mass </w:t>
      </w:r>
      <w:r w:rsidR="00CF2D53" w:rsidRPr="00E63E1C">
        <w:rPr>
          <w:lang w:val="en-GB"/>
        </w:rPr>
        <w:t xml:space="preserve">for </w:t>
      </w:r>
      <w:r w:rsidR="00FC6173" w:rsidRPr="00E63E1C">
        <w:rPr>
          <w:lang w:val="en-GB"/>
        </w:rPr>
        <w:t xml:space="preserve">oddTG and </w:t>
      </w:r>
      <w:r w:rsidR="00157E03" w:rsidRPr="00E63E1C">
        <w:rPr>
          <w:lang w:val="en-GB"/>
        </w:rPr>
        <w:t xml:space="preserve">TG </w:t>
      </w:r>
      <w:r w:rsidR="006B789A" w:rsidRPr="00E63E1C">
        <w:rPr>
          <w:lang w:val="en-GB"/>
        </w:rPr>
        <w:t>decreased from</w:t>
      </w:r>
      <w:r w:rsidR="00FC6173" w:rsidRPr="00E63E1C">
        <w:rPr>
          <w:lang w:val="en-GB"/>
        </w:rPr>
        <w:t xml:space="preserve"> </w:t>
      </w:r>
      <w:r w:rsidR="007A17DC">
        <w:rPr>
          <w:lang w:val="en-GB"/>
        </w:rPr>
        <w:t xml:space="preserve">the </w:t>
      </w:r>
      <w:r w:rsidR="0033163A" w:rsidRPr="00E63E1C">
        <w:rPr>
          <w:lang w:val="en-GB"/>
        </w:rPr>
        <w:t>e</w:t>
      </w:r>
      <w:r w:rsidR="00FC6173" w:rsidRPr="00E63E1C">
        <w:rPr>
          <w:lang w:val="en-GB"/>
        </w:rPr>
        <w:t>pipelagic</w:t>
      </w:r>
      <w:r w:rsidR="00BC5C33" w:rsidRPr="00E63E1C">
        <w:rPr>
          <w:lang w:val="en-GB"/>
        </w:rPr>
        <w:t xml:space="preserve"> </w:t>
      </w:r>
      <w:r w:rsidR="0033163A" w:rsidRPr="00E63E1C">
        <w:rPr>
          <w:lang w:val="en-GB"/>
        </w:rPr>
        <w:t xml:space="preserve">zone </w:t>
      </w:r>
      <w:r w:rsidR="006B789A" w:rsidRPr="00E63E1C">
        <w:rPr>
          <w:lang w:val="en-GB"/>
        </w:rPr>
        <w:t>(</w:t>
      </w:r>
      <w:r w:rsidR="00FC6173" w:rsidRPr="00E63E1C">
        <w:rPr>
          <w:lang w:val="en-GB"/>
        </w:rPr>
        <w:t>810 and 801 Da, respectively</w:t>
      </w:r>
      <w:r w:rsidR="006B789A" w:rsidRPr="00E63E1C">
        <w:rPr>
          <w:lang w:val="en-GB"/>
        </w:rPr>
        <w:t>) to 4800 m depth (</w:t>
      </w:r>
      <w:r w:rsidR="00FC6173" w:rsidRPr="00E63E1C">
        <w:rPr>
          <w:lang w:val="en-GB"/>
        </w:rPr>
        <w:t>780 and 715 Da, respectively</w:t>
      </w:r>
      <w:r w:rsidR="006B789A" w:rsidRPr="00E63E1C">
        <w:rPr>
          <w:lang w:val="en-GB"/>
        </w:rPr>
        <w:t>)</w:t>
      </w:r>
      <w:r w:rsidR="00FC6173" w:rsidRPr="00E63E1C">
        <w:rPr>
          <w:lang w:val="en-GB"/>
        </w:rPr>
        <w:t xml:space="preserve">. </w:t>
      </w:r>
      <w:r w:rsidR="00157E03" w:rsidRPr="00E63E1C">
        <w:rPr>
          <w:lang w:val="en-GB"/>
        </w:rPr>
        <w:t>M</w:t>
      </w:r>
      <w:r w:rsidR="00157E03" w:rsidRPr="00E63E1C">
        <w:rPr>
          <w:vertAlign w:val="subscript"/>
          <w:lang w:val="en-GB"/>
        </w:rPr>
        <w:t>w</w:t>
      </w:r>
      <w:r w:rsidR="00157E03" w:rsidRPr="00E63E1C">
        <w:rPr>
          <w:lang w:val="en-GB"/>
        </w:rPr>
        <w:t xml:space="preserve"> of D</w:t>
      </w:r>
      <w:r w:rsidR="00F75EC8" w:rsidRPr="00E63E1C">
        <w:rPr>
          <w:lang w:val="en-GB"/>
        </w:rPr>
        <w:t>G</w:t>
      </w:r>
      <w:r w:rsidR="00157E03" w:rsidRPr="00E63E1C">
        <w:rPr>
          <w:lang w:val="en-GB"/>
        </w:rPr>
        <w:t xml:space="preserve"> </w:t>
      </w:r>
      <w:r w:rsidR="00CF2D53" w:rsidRPr="00E63E1C">
        <w:rPr>
          <w:lang w:val="en-GB"/>
        </w:rPr>
        <w:t xml:space="preserve">varied </w:t>
      </w:r>
      <w:r w:rsidR="00157E03" w:rsidRPr="00E63E1C">
        <w:rPr>
          <w:lang w:val="en-GB"/>
        </w:rPr>
        <w:t xml:space="preserve">in </w:t>
      </w:r>
      <w:r w:rsidR="00CF2D53" w:rsidRPr="00E63E1C">
        <w:rPr>
          <w:lang w:val="en-GB"/>
        </w:rPr>
        <w:t xml:space="preserve">a </w:t>
      </w:r>
      <w:r w:rsidR="00157E03" w:rsidRPr="00E63E1C">
        <w:rPr>
          <w:lang w:val="en-GB"/>
        </w:rPr>
        <w:t xml:space="preserve">range between 626 Da at </w:t>
      </w:r>
      <w:r w:rsidR="00CF2D53" w:rsidRPr="00E63E1C">
        <w:rPr>
          <w:lang w:val="en-GB"/>
        </w:rPr>
        <w:t xml:space="preserve">the </w:t>
      </w:r>
      <w:r w:rsidR="00157E03" w:rsidRPr="00E63E1C">
        <w:rPr>
          <w:lang w:val="en-GB"/>
        </w:rPr>
        <w:t>surface and 592</w:t>
      </w:r>
      <w:r w:rsidR="00E03FF7" w:rsidRPr="00E63E1C">
        <w:rPr>
          <w:lang w:val="en-GB"/>
        </w:rPr>
        <w:t xml:space="preserve"> Da</w:t>
      </w:r>
      <w:r w:rsidR="00157E03" w:rsidRPr="00E63E1C">
        <w:rPr>
          <w:lang w:val="en-GB"/>
        </w:rPr>
        <w:t xml:space="preserve"> in </w:t>
      </w:r>
      <w:r w:rsidR="00CF2D53" w:rsidRPr="00E63E1C">
        <w:rPr>
          <w:lang w:val="en-GB"/>
        </w:rPr>
        <w:t xml:space="preserve">the </w:t>
      </w:r>
      <w:r w:rsidR="00157E03" w:rsidRPr="00E63E1C">
        <w:rPr>
          <w:lang w:val="en-GB"/>
        </w:rPr>
        <w:t>deep Atlantic</w:t>
      </w:r>
      <w:r w:rsidR="00063FAF" w:rsidRPr="00E63E1C">
        <w:rPr>
          <w:lang w:val="en-GB"/>
        </w:rPr>
        <w:t xml:space="preserve"> (4800 m)</w:t>
      </w:r>
      <w:r w:rsidR="00157E03" w:rsidRPr="00E63E1C">
        <w:rPr>
          <w:lang w:val="en-GB"/>
        </w:rPr>
        <w:t>.</w:t>
      </w:r>
      <w:r w:rsidR="009A2FAD" w:rsidRPr="00E63E1C">
        <w:rPr>
          <w:lang w:val="en-GB"/>
        </w:rPr>
        <w:t xml:space="preserve"> Only four </w:t>
      </w:r>
      <w:r w:rsidR="00114D99" w:rsidRPr="00E63E1C">
        <w:rPr>
          <w:lang w:val="en-GB"/>
        </w:rPr>
        <w:t>formulae</w:t>
      </w:r>
      <w:r w:rsidR="009A2FAD" w:rsidRPr="00E63E1C">
        <w:rPr>
          <w:lang w:val="en-GB"/>
        </w:rPr>
        <w:t xml:space="preserve"> were detected for MG and the M</w:t>
      </w:r>
      <w:r w:rsidR="009A2FAD" w:rsidRPr="00E63E1C">
        <w:rPr>
          <w:vertAlign w:val="subscript"/>
          <w:lang w:val="en-GB"/>
        </w:rPr>
        <w:t>w</w:t>
      </w:r>
      <w:r w:rsidR="009A2FAD" w:rsidRPr="00E63E1C">
        <w:rPr>
          <w:lang w:val="en-GB"/>
        </w:rPr>
        <w:t xml:space="preserve"> remains constant throughout the whole water column.</w:t>
      </w:r>
      <w:r w:rsidR="00F75EC8" w:rsidRPr="00E63E1C">
        <w:rPr>
          <w:lang w:val="en-GB"/>
        </w:rPr>
        <w:t xml:space="preserve"> </w:t>
      </w:r>
      <w:r w:rsidR="009212C0" w:rsidRPr="00E63E1C">
        <w:rPr>
          <w:lang w:val="en-GB"/>
        </w:rPr>
        <w:t xml:space="preserve">The average number of C-atoms in acyl chain of TG </w:t>
      </w:r>
      <w:r w:rsidR="00CF2D53" w:rsidRPr="00E63E1C">
        <w:rPr>
          <w:lang w:val="en-GB"/>
        </w:rPr>
        <w:t xml:space="preserve">decreased </w:t>
      </w:r>
      <w:r w:rsidR="009212C0" w:rsidRPr="00E63E1C">
        <w:rPr>
          <w:lang w:val="en-GB"/>
        </w:rPr>
        <w:t xml:space="preserve">from </w:t>
      </w:r>
      <w:r w:rsidR="007A17DC">
        <w:rPr>
          <w:lang w:val="en-GB"/>
        </w:rPr>
        <w:t xml:space="preserve">the </w:t>
      </w:r>
      <w:r w:rsidR="0033163A" w:rsidRPr="00E63E1C">
        <w:rPr>
          <w:lang w:val="en-GB"/>
        </w:rPr>
        <w:t>e</w:t>
      </w:r>
      <w:r w:rsidR="006B789A" w:rsidRPr="00E63E1C">
        <w:rPr>
          <w:lang w:val="en-GB"/>
        </w:rPr>
        <w:t>pipelagic</w:t>
      </w:r>
      <w:r w:rsidR="009212C0" w:rsidRPr="00E63E1C">
        <w:rPr>
          <w:lang w:val="en-GB"/>
        </w:rPr>
        <w:t xml:space="preserve"> </w:t>
      </w:r>
      <w:r w:rsidR="0033163A" w:rsidRPr="00E63E1C">
        <w:rPr>
          <w:lang w:val="en-GB"/>
        </w:rPr>
        <w:t xml:space="preserve">layer </w:t>
      </w:r>
      <w:r w:rsidR="009212C0" w:rsidRPr="00E63E1C">
        <w:rPr>
          <w:lang w:val="en-GB"/>
        </w:rPr>
        <w:t xml:space="preserve">(15.5-16.1) </w:t>
      </w:r>
      <w:r w:rsidR="00063FAF" w:rsidRPr="00E63E1C">
        <w:rPr>
          <w:lang w:val="en-GB"/>
        </w:rPr>
        <w:t xml:space="preserve">to </w:t>
      </w:r>
      <w:r w:rsidR="00BB1003" w:rsidRPr="00E63E1C">
        <w:rPr>
          <w:lang w:val="en-GB"/>
        </w:rPr>
        <w:t>4800 m depth</w:t>
      </w:r>
      <w:r w:rsidR="009212C0" w:rsidRPr="00E63E1C">
        <w:rPr>
          <w:lang w:val="en-GB"/>
        </w:rPr>
        <w:t xml:space="preserve"> (13.9) </w:t>
      </w:r>
      <w:r w:rsidR="002F08ED" w:rsidRPr="00E63E1C">
        <w:rPr>
          <w:lang w:val="en-GB"/>
        </w:rPr>
        <w:t xml:space="preserve">(Appendix Fig. 1) </w:t>
      </w:r>
      <w:r w:rsidR="009212C0" w:rsidRPr="00E63E1C">
        <w:rPr>
          <w:lang w:val="en-GB"/>
        </w:rPr>
        <w:t xml:space="preserve">while </w:t>
      </w:r>
      <w:r w:rsidR="00BB1003" w:rsidRPr="00E63E1C">
        <w:rPr>
          <w:lang w:val="en-GB"/>
        </w:rPr>
        <w:t xml:space="preserve">the average acyl carbon number </w:t>
      </w:r>
      <w:r w:rsidR="009212C0" w:rsidRPr="00E63E1C">
        <w:rPr>
          <w:lang w:val="en-GB"/>
        </w:rPr>
        <w:t xml:space="preserve">of oddTG (15.3 to 16.3) </w:t>
      </w:r>
      <w:r w:rsidR="002F08ED" w:rsidRPr="00E63E1C">
        <w:rPr>
          <w:lang w:val="en-GB"/>
        </w:rPr>
        <w:t xml:space="preserve">(Appendix Fig. 2) </w:t>
      </w:r>
      <w:r w:rsidR="009212C0" w:rsidRPr="00E63E1C">
        <w:rPr>
          <w:lang w:val="en-GB"/>
        </w:rPr>
        <w:t xml:space="preserve">remained essentially consistent </w:t>
      </w:r>
      <w:r w:rsidR="00CF2D53" w:rsidRPr="00E63E1C">
        <w:rPr>
          <w:lang w:val="en-GB"/>
        </w:rPr>
        <w:t xml:space="preserve">with </w:t>
      </w:r>
      <w:r w:rsidR="009212C0" w:rsidRPr="00E63E1C">
        <w:rPr>
          <w:lang w:val="en-GB"/>
        </w:rPr>
        <w:t xml:space="preserve">depth. Longer acyl chains were detected for DG, being 18.1-18.4 at </w:t>
      </w:r>
      <w:r w:rsidR="0033163A" w:rsidRPr="00E63E1C">
        <w:rPr>
          <w:lang w:val="en-GB"/>
        </w:rPr>
        <w:t>e</w:t>
      </w:r>
      <w:r w:rsidR="006B789A" w:rsidRPr="00E63E1C">
        <w:rPr>
          <w:lang w:val="en-GB"/>
        </w:rPr>
        <w:t>pipelagic</w:t>
      </w:r>
      <w:r w:rsidR="009212C0" w:rsidRPr="00E63E1C">
        <w:rPr>
          <w:lang w:val="en-GB"/>
        </w:rPr>
        <w:t xml:space="preserve"> and 16.6</w:t>
      </w:r>
      <w:r w:rsidR="00754C23" w:rsidRPr="00E63E1C">
        <w:rPr>
          <w:lang w:val="en-GB"/>
        </w:rPr>
        <w:sym w:font="Symbol" w:char="F02D"/>
      </w:r>
      <w:r w:rsidR="009212C0" w:rsidRPr="00E63E1C">
        <w:rPr>
          <w:lang w:val="en-GB"/>
        </w:rPr>
        <w:t xml:space="preserve">17.2 at </w:t>
      </w:r>
      <w:r w:rsidR="0033163A" w:rsidRPr="00E63E1C">
        <w:rPr>
          <w:lang w:val="en-GB"/>
        </w:rPr>
        <w:t>a</w:t>
      </w:r>
      <w:r w:rsidR="006B789A" w:rsidRPr="00E63E1C">
        <w:rPr>
          <w:lang w:val="en-GB"/>
        </w:rPr>
        <w:t>bys</w:t>
      </w:r>
      <w:r w:rsidR="00851745" w:rsidRPr="00E63E1C">
        <w:rPr>
          <w:lang w:val="en-GB"/>
        </w:rPr>
        <w:t>s</w:t>
      </w:r>
      <w:r w:rsidR="006B789A" w:rsidRPr="00E63E1C">
        <w:rPr>
          <w:lang w:val="en-GB"/>
        </w:rPr>
        <w:t>opelagic</w:t>
      </w:r>
      <w:r w:rsidR="0033163A" w:rsidRPr="00E63E1C">
        <w:rPr>
          <w:lang w:val="en-GB"/>
        </w:rPr>
        <w:t xml:space="preserve"> depths</w:t>
      </w:r>
      <w:r w:rsidR="002F08ED" w:rsidRPr="00E63E1C">
        <w:rPr>
          <w:lang w:val="en-GB"/>
        </w:rPr>
        <w:t xml:space="preserve"> (Appendix Fig. 3)</w:t>
      </w:r>
      <w:r w:rsidR="00BB1003" w:rsidRPr="00E63E1C">
        <w:rPr>
          <w:lang w:val="en-GB"/>
        </w:rPr>
        <w:t xml:space="preserve">. Average acyl carbon number of MG was constant at 18.5 </w:t>
      </w:r>
      <w:r w:rsidR="00B306F5" w:rsidRPr="00E63E1C">
        <w:rPr>
          <w:lang w:val="en-GB"/>
        </w:rPr>
        <w:t xml:space="preserve">from the surface to 3500 m </w:t>
      </w:r>
      <w:r w:rsidR="00BB1003" w:rsidRPr="00E63E1C">
        <w:rPr>
          <w:lang w:val="en-GB"/>
        </w:rPr>
        <w:t>and decreased to 18.0 below 3500 m.</w:t>
      </w:r>
    </w:p>
    <w:p w:rsidR="00E30162" w:rsidRDefault="00F75EC8" w:rsidP="00114C7E">
      <w:pPr>
        <w:spacing w:after="120" w:line="360" w:lineRule="auto"/>
        <w:ind w:firstLine="720"/>
        <w:jc w:val="both"/>
        <w:rPr>
          <w:lang w:val="en-GB"/>
        </w:rPr>
      </w:pPr>
      <w:r w:rsidRPr="00E63E1C">
        <w:rPr>
          <w:lang w:val="en-GB"/>
        </w:rPr>
        <w:t xml:space="preserve">We observed </w:t>
      </w:r>
      <w:r w:rsidR="00CF2D53" w:rsidRPr="00E63E1C">
        <w:rPr>
          <w:lang w:val="en-GB"/>
        </w:rPr>
        <w:t xml:space="preserve">an </w:t>
      </w:r>
      <w:r w:rsidRPr="00E63E1C">
        <w:rPr>
          <w:lang w:val="en-GB"/>
        </w:rPr>
        <w:t xml:space="preserve">interesting feature </w:t>
      </w:r>
      <w:r w:rsidR="00CF2D53" w:rsidRPr="00E63E1C">
        <w:rPr>
          <w:lang w:val="en-GB"/>
        </w:rPr>
        <w:t xml:space="preserve">for </w:t>
      </w:r>
      <w:r w:rsidR="00867AAD" w:rsidRPr="00E63E1C">
        <w:rPr>
          <w:lang w:val="en-GB"/>
        </w:rPr>
        <w:t>F</w:t>
      </w:r>
      <w:r w:rsidRPr="00E63E1C">
        <w:rPr>
          <w:lang w:val="en-GB"/>
        </w:rPr>
        <w:t xml:space="preserve">FA </w:t>
      </w:r>
      <w:r w:rsidR="00CF2D53" w:rsidRPr="00E63E1C">
        <w:rPr>
          <w:lang w:val="en-GB"/>
        </w:rPr>
        <w:t xml:space="preserve">where the </w:t>
      </w:r>
      <w:r w:rsidR="00114C7E">
        <w:rPr>
          <w:lang w:val="en-GB"/>
        </w:rPr>
        <w:t xml:space="preserve">average </w:t>
      </w:r>
      <w:r w:rsidR="00CF2D53" w:rsidRPr="00E63E1C">
        <w:rPr>
          <w:lang w:val="en-GB"/>
        </w:rPr>
        <w:t>molecular weight increase</w:t>
      </w:r>
      <w:r w:rsidRPr="00E63E1C">
        <w:rPr>
          <w:lang w:val="en-GB"/>
        </w:rPr>
        <w:t xml:space="preserve"> with depth (</w:t>
      </w:r>
      <w:r w:rsidR="00CD63AC" w:rsidRPr="00E63E1C">
        <w:rPr>
          <w:lang w:val="en-GB"/>
        </w:rPr>
        <w:t>Fig. 5</w:t>
      </w:r>
      <w:r w:rsidR="00852F37" w:rsidRPr="00E63E1C">
        <w:rPr>
          <w:lang w:val="en-GB"/>
        </w:rPr>
        <w:t>c</w:t>
      </w:r>
      <w:r w:rsidRPr="00E63E1C">
        <w:rPr>
          <w:lang w:val="en-GB"/>
        </w:rPr>
        <w:t xml:space="preserve">)  </w:t>
      </w:r>
      <w:r w:rsidR="00754C23" w:rsidRPr="00E63E1C">
        <w:rPr>
          <w:lang w:val="en-GB"/>
        </w:rPr>
        <w:t>(</w:t>
      </w:r>
      <w:r w:rsidR="00CD63AC" w:rsidRPr="00E63E1C">
        <w:rPr>
          <w:lang w:val="en-GB"/>
        </w:rPr>
        <w:t>Fig. 5</w:t>
      </w:r>
      <w:r w:rsidR="00754C23" w:rsidRPr="00E63E1C">
        <w:rPr>
          <w:lang w:val="en-GB"/>
        </w:rPr>
        <w:t>d</w:t>
      </w:r>
      <w:r w:rsidR="006C5128" w:rsidRPr="00E63E1C">
        <w:rPr>
          <w:lang w:val="en-GB"/>
        </w:rPr>
        <w:t xml:space="preserve"> and </w:t>
      </w:r>
      <w:r w:rsidR="00817296" w:rsidRPr="00E63E1C">
        <w:rPr>
          <w:lang w:val="en-GB"/>
        </w:rPr>
        <w:t>Appendix</w:t>
      </w:r>
      <w:r w:rsidR="006C5128" w:rsidRPr="00E63E1C">
        <w:rPr>
          <w:lang w:val="en-GB"/>
        </w:rPr>
        <w:t xml:space="preserve"> Figs. </w:t>
      </w:r>
      <w:r w:rsidR="002F08ED" w:rsidRPr="00E63E1C">
        <w:rPr>
          <w:lang w:val="en-GB"/>
        </w:rPr>
        <w:t>4</w:t>
      </w:r>
      <w:r w:rsidR="006C5128" w:rsidRPr="00E63E1C">
        <w:rPr>
          <w:lang w:val="en-GB"/>
        </w:rPr>
        <w:t>-</w:t>
      </w:r>
      <w:r w:rsidR="002F08ED" w:rsidRPr="00E63E1C">
        <w:rPr>
          <w:lang w:val="en-GB"/>
        </w:rPr>
        <w:t>6</w:t>
      </w:r>
      <w:r w:rsidR="00754C23" w:rsidRPr="00E63E1C">
        <w:rPr>
          <w:lang w:val="en-GB"/>
        </w:rPr>
        <w:t>)</w:t>
      </w:r>
      <w:r w:rsidRPr="00E63E1C">
        <w:rPr>
          <w:lang w:val="en-GB"/>
        </w:rPr>
        <w:t xml:space="preserve">. The </w:t>
      </w:r>
      <w:r w:rsidR="006D7C1A" w:rsidRPr="00E63E1C">
        <w:rPr>
          <w:lang w:val="en-GB"/>
        </w:rPr>
        <w:t xml:space="preserve">average </w:t>
      </w:r>
      <w:r w:rsidRPr="00E63E1C">
        <w:rPr>
          <w:lang w:val="en-GB"/>
        </w:rPr>
        <w:t xml:space="preserve">molecular </w:t>
      </w:r>
      <w:r w:rsidR="00114C7E">
        <w:rPr>
          <w:lang w:val="en-GB"/>
        </w:rPr>
        <w:t>weight</w:t>
      </w:r>
      <w:r w:rsidR="00114C7E" w:rsidRPr="00E63E1C">
        <w:rPr>
          <w:lang w:val="en-GB"/>
        </w:rPr>
        <w:t xml:space="preserve"> </w:t>
      </w:r>
      <w:r w:rsidRPr="00E63E1C">
        <w:rPr>
          <w:lang w:val="en-GB"/>
        </w:rPr>
        <w:t xml:space="preserve">of UFA, BrFA and </w:t>
      </w:r>
      <w:r w:rsidR="006D7C1A" w:rsidRPr="00E63E1C">
        <w:rPr>
          <w:lang w:val="en-GB"/>
        </w:rPr>
        <w:t>SAFA</w:t>
      </w:r>
      <w:r w:rsidRPr="00E63E1C">
        <w:rPr>
          <w:lang w:val="en-GB"/>
        </w:rPr>
        <w:t xml:space="preserve"> ranged from 289 to 366 Da, 295 to 3</w:t>
      </w:r>
      <w:r w:rsidR="00852F37" w:rsidRPr="00E63E1C">
        <w:rPr>
          <w:lang w:val="en-GB"/>
        </w:rPr>
        <w:t>52</w:t>
      </w:r>
      <w:r w:rsidRPr="00E63E1C">
        <w:rPr>
          <w:lang w:val="en-GB"/>
        </w:rPr>
        <w:t xml:space="preserve"> Da, and </w:t>
      </w:r>
      <w:r w:rsidR="00852F37" w:rsidRPr="00E63E1C">
        <w:rPr>
          <w:lang w:val="en-GB"/>
        </w:rPr>
        <w:t>291</w:t>
      </w:r>
      <w:r w:rsidRPr="00E63E1C">
        <w:rPr>
          <w:lang w:val="en-GB"/>
        </w:rPr>
        <w:t xml:space="preserve"> to </w:t>
      </w:r>
      <w:r w:rsidR="00852F37" w:rsidRPr="00E63E1C">
        <w:rPr>
          <w:lang w:val="en-GB"/>
        </w:rPr>
        <w:t>375</w:t>
      </w:r>
      <w:r w:rsidRPr="00E63E1C">
        <w:rPr>
          <w:lang w:val="en-GB"/>
        </w:rPr>
        <w:t xml:space="preserve"> Da</w:t>
      </w:r>
      <w:r w:rsidR="009212C0" w:rsidRPr="00E63E1C">
        <w:rPr>
          <w:lang w:val="en-GB"/>
        </w:rPr>
        <w:t>, respectively</w:t>
      </w:r>
      <w:r w:rsidRPr="00E63E1C">
        <w:rPr>
          <w:lang w:val="en-GB"/>
        </w:rPr>
        <w:t>.</w:t>
      </w:r>
    </w:p>
    <w:p w:rsidR="004E233B" w:rsidRPr="00E63E1C" w:rsidRDefault="0009544B" w:rsidP="00114C7E">
      <w:pPr>
        <w:spacing w:after="120" w:line="360" w:lineRule="auto"/>
        <w:ind w:firstLine="720"/>
        <w:jc w:val="both"/>
        <w:rPr>
          <w:lang w:val="en-GB"/>
        </w:rPr>
      </w:pPr>
      <w:r w:rsidRPr="00E63E1C">
        <w:rPr>
          <w:lang w:val="en-GB"/>
        </w:rPr>
        <w:t xml:space="preserve">The degree of unsaturation of the </w:t>
      </w:r>
      <w:r w:rsidR="005C4147" w:rsidRPr="00E63E1C">
        <w:rPr>
          <w:lang w:val="en-GB"/>
        </w:rPr>
        <w:t>observed</w:t>
      </w:r>
      <w:r w:rsidRPr="00E63E1C">
        <w:rPr>
          <w:lang w:val="en-GB"/>
        </w:rPr>
        <w:t xml:space="preserve"> lipids </w:t>
      </w:r>
      <w:r w:rsidR="00114C7E">
        <w:rPr>
          <w:lang w:val="en-GB"/>
        </w:rPr>
        <w:t xml:space="preserve">is shown as </w:t>
      </w:r>
      <w:r w:rsidR="00D2006B" w:rsidRPr="00E63E1C">
        <w:rPr>
          <w:lang w:val="en-GB"/>
        </w:rPr>
        <w:t xml:space="preserve">acyl </w:t>
      </w:r>
      <w:r w:rsidR="00114C7E">
        <w:rPr>
          <w:lang w:val="en-GB"/>
        </w:rPr>
        <w:t>double bond equivalent content, is shown in Figure 6.</w:t>
      </w:r>
      <w:r w:rsidR="00AD72EA" w:rsidRPr="00E63E1C">
        <w:rPr>
          <w:lang w:val="en-GB"/>
        </w:rPr>
        <w:t xml:space="preserve"> </w:t>
      </w:r>
      <w:r w:rsidR="00114C7E">
        <w:rPr>
          <w:lang w:val="en-GB"/>
        </w:rPr>
        <w:t>Observed lipids generally show higher levels of acyl</w:t>
      </w:r>
      <w:r w:rsidR="00AD72EA" w:rsidRPr="00E63E1C">
        <w:rPr>
          <w:lang w:val="en-GB"/>
        </w:rPr>
        <w:t xml:space="preserve"> </w:t>
      </w:r>
      <w:r w:rsidR="002C2DC0" w:rsidRPr="00E63E1C">
        <w:rPr>
          <w:lang w:val="en-GB"/>
        </w:rPr>
        <w:t>un</w:t>
      </w:r>
      <w:r w:rsidR="00AD72EA" w:rsidRPr="00E63E1C">
        <w:rPr>
          <w:lang w:val="en-GB"/>
        </w:rPr>
        <w:t>saturation at</w:t>
      </w:r>
      <w:r w:rsidR="00D2006B" w:rsidRPr="00E63E1C">
        <w:rPr>
          <w:lang w:val="en-GB"/>
        </w:rPr>
        <w:t xml:space="preserve"> surface productive depths </w:t>
      </w:r>
      <w:r w:rsidR="00114C7E">
        <w:rPr>
          <w:lang w:val="en-GB"/>
        </w:rPr>
        <w:t>as opposed to the</w:t>
      </w:r>
      <w:r w:rsidR="00D2006B" w:rsidRPr="00E63E1C">
        <w:rPr>
          <w:lang w:val="en-GB"/>
        </w:rPr>
        <w:t xml:space="preserve"> deep ocean</w:t>
      </w:r>
      <w:r w:rsidR="00AD72EA" w:rsidRPr="00E63E1C">
        <w:rPr>
          <w:lang w:val="en-GB"/>
        </w:rPr>
        <w:t xml:space="preserve">. The </w:t>
      </w:r>
      <w:r w:rsidR="0033163A" w:rsidRPr="00E63E1C">
        <w:rPr>
          <w:lang w:val="en-GB"/>
        </w:rPr>
        <w:t>e</w:t>
      </w:r>
      <w:r w:rsidR="002702E6" w:rsidRPr="00E63E1C">
        <w:rPr>
          <w:lang w:val="en-GB"/>
        </w:rPr>
        <w:t>pipelagic</w:t>
      </w:r>
      <w:r w:rsidR="00AD72EA" w:rsidRPr="00E63E1C">
        <w:rPr>
          <w:lang w:val="en-GB"/>
        </w:rPr>
        <w:t xml:space="preserve"> </w:t>
      </w:r>
      <w:r w:rsidR="0033163A" w:rsidRPr="00E63E1C">
        <w:rPr>
          <w:lang w:val="en-GB"/>
        </w:rPr>
        <w:t xml:space="preserve">zone </w:t>
      </w:r>
      <w:r w:rsidR="00E03FF7" w:rsidRPr="00E63E1C">
        <w:rPr>
          <w:lang w:val="en-GB"/>
        </w:rPr>
        <w:t xml:space="preserve">average </w:t>
      </w:r>
      <w:r w:rsidR="00AD72EA" w:rsidRPr="00E63E1C">
        <w:rPr>
          <w:lang w:val="en-GB"/>
        </w:rPr>
        <w:t>unsaturation decreased in the order TG (DBE 3.5-4.7)</w:t>
      </w:r>
      <w:r w:rsidR="00E03FF7" w:rsidRPr="00E63E1C">
        <w:rPr>
          <w:lang w:val="en-GB"/>
        </w:rPr>
        <w:t xml:space="preserve"> </w:t>
      </w:r>
      <w:r w:rsidR="00AD72EA" w:rsidRPr="00E63E1C">
        <w:rPr>
          <w:lang w:val="en-GB"/>
        </w:rPr>
        <w:t>&gt;</w:t>
      </w:r>
      <w:r w:rsidR="006E564D" w:rsidRPr="00E63E1C">
        <w:rPr>
          <w:lang w:val="en-GB"/>
        </w:rPr>
        <w:t xml:space="preserve"> </w:t>
      </w:r>
      <w:r w:rsidR="00AD72EA" w:rsidRPr="00E63E1C">
        <w:rPr>
          <w:lang w:val="en-GB"/>
        </w:rPr>
        <w:t>oddTG (DBE 2.1-4.7)</w:t>
      </w:r>
      <w:r w:rsidR="006E564D" w:rsidRPr="00E63E1C">
        <w:rPr>
          <w:lang w:val="en-GB"/>
        </w:rPr>
        <w:t xml:space="preserve"> </w:t>
      </w:r>
      <w:r w:rsidR="00AD72EA" w:rsidRPr="00E63E1C">
        <w:rPr>
          <w:lang w:val="en-GB"/>
        </w:rPr>
        <w:t>&gt;</w:t>
      </w:r>
      <w:r w:rsidR="006E564D" w:rsidRPr="00E63E1C">
        <w:rPr>
          <w:lang w:val="en-GB"/>
        </w:rPr>
        <w:t xml:space="preserve"> </w:t>
      </w:r>
      <w:r w:rsidR="00AD72EA" w:rsidRPr="00E63E1C">
        <w:rPr>
          <w:lang w:val="en-GB"/>
        </w:rPr>
        <w:t>UFA (DBE 3.4-3.7)</w:t>
      </w:r>
      <w:r w:rsidR="006E564D" w:rsidRPr="00E63E1C">
        <w:rPr>
          <w:lang w:val="en-GB"/>
        </w:rPr>
        <w:t xml:space="preserve"> </w:t>
      </w:r>
      <w:r w:rsidR="00AD72EA" w:rsidRPr="00E63E1C">
        <w:rPr>
          <w:lang w:val="en-GB"/>
        </w:rPr>
        <w:t>&gt;</w:t>
      </w:r>
      <w:r w:rsidR="006E564D" w:rsidRPr="00E63E1C">
        <w:rPr>
          <w:lang w:val="en-GB"/>
        </w:rPr>
        <w:t xml:space="preserve"> </w:t>
      </w:r>
      <w:r w:rsidR="00AD72EA" w:rsidRPr="00E63E1C">
        <w:rPr>
          <w:lang w:val="en-GB"/>
        </w:rPr>
        <w:t>DG (DBE 3.1-3.9)</w:t>
      </w:r>
      <w:r w:rsidR="006E564D" w:rsidRPr="00E63E1C">
        <w:rPr>
          <w:lang w:val="en-GB"/>
        </w:rPr>
        <w:t xml:space="preserve"> </w:t>
      </w:r>
      <w:r w:rsidR="00AD72EA" w:rsidRPr="00E63E1C">
        <w:rPr>
          <w:lang w:val="en-GB"/>
        </w:rPr>
        <w:t>&gt;</w:t>
      </w:r>
      <w:r w:rsidR="006E564D" w:rsidRPr="00E63E1C">
        <w:rPr>
          <w:lang w:val="en-GB"/>
        </w:rPr>
        <w:t xml:space="preserve"> </w:t>
      </w:r>
      <w:r w:rsidR="00AD72EA" w:rsidRPr="00E63E1C">
        <w:rPr>
          <w:lang w:val="en-GB"/>
        </w:rPr>
        <w:t>BrFA</w:t>
      </w:r>
      <w:r w:rsidR="006E564D" w:rsidRPr="00E63E1C">
        <w:rPr>
          <w:lang w:val="en-GB"/>
        </w:rPr>
        <w:t xml:space="preserve"> (DBE 1.3) = MG (DBE 1.3).</w:t>
      </w:r>
      <w:r w:rsidR="00A9683C" w:rsidRPr="00E63E1C">
        <w:rPr>
          <w:lang w:val="en-GB"/>
        </w:rPr>
        <w:t xml:space="preserve"> </w:t>
      </w:r>
    </w:p>
    <w:p w:rsidR="00C81F9C" w:rsidRPr="00E63E1C" w:rsidRDefault="00C81F9C" w:rsidP="00C81F9C">
      <w:pPr>
        <w:spacing w:after="120"/>
        <w:jc w:val="both"/>
        <w:rPr>
          <w:lang w:val="en-GB"/>
        </w:rPr>
      </w:pPr>
    </w:p>
    <w:p w:rsidR="002E03E3" w:rsidRPr="00E63E1C" w:rsidRDefault="002E03E3" w:rsidP="00C81F9C">
      <w:pPr>
        <w:spacing w:after="120" w:line="360" w:lineRule="auto"/>
        <w:jc w:val="both"/>
        <w:rPr>
          <w:b/>
          <w:lang w:val="en-GB"/>
        </w:rPr>
      </w:pPr>
      <w:r w:rsidRPr="00E63E1C">
        <w:rPr>
          <w:b/>
          <w:lang w:val="en-GB"/>
        </w:rPr>
        <w:t>4. Discussion</w:t>
      </w:r>
    </w:p>
    <w:p w:rsidR="002A0537" w:rsidRPr="00E63E1C" w:rsidRDefault="007A17DC" w:rsidP="00CB015A">
      <w:pPr>
        <w:spacing w:after="120" w:line="360" w:lineRule="auto"/>
        <w:ind w:firstLine="720"/>
        <w:jc w:val="both"/>
        <w:rPr>
          <w:lang w:val="en-GB"/>
        </w:rPr>
      </w:pPr>
      <w:r>
        <w:rPr>
          <w:lang w:val="en-GB"/>
        </w:rPr>
        <w:t>Using</w:t>
      </w:r>
      <w:r w:rsidR="00A22406" w:rsidRPr="00E63E1C">
        <w:rPr>
          <w:lang w:val="en-GB"/>
        </w:rPr>
        <w:t xml:space="preserve"> FT-ICR MS </w:t>
      </w:r>
      <w:r w:rsidR="00B17842" w:rsidRPr="00E63E1C">
        <w:rPr>
          <w:lang w:val="en-GB"/>
        </w:rPr>
        <w:t xml:space="preserve">and Iatroscan </w:t>
      </w:r>
      <w:r>
        <w:rPr>
          <w:lang w:val="en-GB"/>
        </w:rPr>
        <w:t xml:space="preserve">we present details of oceanic particulate lipid composition </w:t>
      </w:r>
      <w:r w:rsidR="00950BF7">
        <w:rPr>
          <w:lang w:val="en-GB"/>
        </w:rPr>
        <w:t>that</w:t>
      </w:r>
      <w:r>
        <w:rPr>
          <w:lang w:val="en-GB"/>
        </w:rPr>
        <w:t xml:space="preserve"> has n</w:t>
      </w:r>
      <w:r w:rsidR="00950BF7">
        <w:rPr>
          <w:lang w:val="en-GB"/>
        </w:rPr>
        <w:t>ot</w:t>
      </w:r>
      <w:r>
        <w:rPr>
          <w:lang w:val="en-GB"/>
        </w:rPr>
        <w:t xml:space="preserve"> been </w:t>
      </w:r>
      <w:r w:rsidR="00950BF7">
        <w:rPr>
          <w:lang w:val="en-GB"/>
        </w:rPr>
        <w:t xml:space="preserve">previously </w:t>
      </w:r>
      <w:r>
        <w:rPr>
          <w:lang w:val="en-GB"/>
        </w:rPr>
        <w:t xml:space="preserve">achieved. We discuss </w:t>
      </w:r>
      <w:r w:rsidR="00B17842" w:rsidRPr="00E63E1C">
        <w:rPr>
          <w:lang w:val="en-GB"/>
        </w:rPr>
        <w:t>the</w:t>
      </w:r>
      <w:r w:rsidR="00A22406" w:rsidRPr="00E63E1C">
        <w:rPr>
          <w:lang w:val="en-GB"/>
        </w:rPr>
        <w:t xml:space="preserve"> cycling of </w:t>
      </w:r>
      <w:r w:rsidR="00183AEE" w:rsidRPr="00E63E1C">
        <w:rPr>
          <w:lang w:val="en-GB"/>
        </w:rPr>
        <w:t xml:space="preserve">suspended </w:t>
      </w:r>
      <w:r w:rsidR="00A22406" w:rsidRPr="00E63E1C">
        <w:rPr>
          <w:lang w:val="en-GB"/>
        </w:rPr>
        <w:t>simple lipids</w:t>
      </w:r>
      <w:r w:rsidR="003B53AB" w:rsidRPr="00E63E1C">
        <w:rPr>
          <w:lang w:val="en-GB"/>
        </w:rPr>
        <w:t xml:space="preserve"> </w:t>
      </w:r>
      <w:r w:rsidR="00A22406" w:rsidRPr="00E63E1C">
        <w:rPr>
          <w:lang w:val="en-GB"/>
        </w:rPr>
        <w:t xml:space="preserve">that contain only C, O and H in the molecular formulae, </w:t>
      </w:r>
      <w:r w:rsidR="00B17842" w:rsidRPr="00E63E1C">
        <w:rPr>
          <w:lang w:val="en-GB"/>
        </w:rPr>
        <w:t>through the</w:t>
      </w:r>
      <w:r w:rsidR="00A22406" w:rsidRPr="00E63E1C">
        <w:rPr>
          <w:lang w:val="en-GB"/>
        </w:rPr>
        <w:t xml:space="preserve"> qualitative and quantitative </w:t>
      </w:r>
      <w:r w:rsidR="00B17842" w:rsidRPr="00E63E1C">
        <w:rPr>
          <w:lang w:val="en-GB"/>
        </w:rPr>
        <w:t xml:space="preserve">description of </w:t>
      </w:r>
      <w:r w:rsidR="00BB373A" w:rsidRPr="00E63E1C">
        <w:rPr>
          <w:lang w:val="en-GB"/>
        </w:rPr>
        <w:t xml:space="preserve">their </w:t>
      </w:r>
      <w:r w:rsidR="00A22406" w:rsidRPr="00E63E1C">
        <w:rPr>
          <w:lang w:val="en-GB"/>
        </w:rPr>
        <w:t xml:space="preserve">change </w:t>
      </w:r>
      <w:r w:rsidR="00731111" w:rsidRPr="00E63E1C">
        <w:rPr>
          <w:lang w:val="en-GB"/>
        </w:rPr>
        <w:t>through the ocean depth</w:t>
      </w:r>
      <w:r w:rsidR="000B0D60" w:rsidRPr="00E63E1C">
        <w:rPr>
          <w:lang w:val="en-GB"/>
        </w:rPr>
        <w:t>s</w:t>
      </w:r>
      <w:r w:rsidR="00A22406" w:rsidRPr="00E63E1C">
        <w:rPr>
          <w:lang w:val="en-GB"/>
        </w:rPr>
        <w:t xml:space="preserve">. </w:t>
      </w:r>
      <w:r w:rsidR="002A0537" w:rsidRPr="00E63E1C">
        <w:rPr>
          <w:lang w:val="en-GB"/>
        </w:rPr>
        <w:t xml:space="preserve">Lipid analysis with </w:t>
      </w:r>
      <w:r w:rsidR="00B17842" w:rsidRPr="00E63E1C">
        <w:rPr>
          <w:lang w:val="en-GB"/>
        </w:rPr>
        <w:t xml:space="preserve">the </w:t>
      </w:r>
      <w:r w:rsidR="002A0537" w:rsidRPr="00E63E1C">
        <w:rPr>
          <w:lang w:val="en-GB"/>
        </w:rPr>
        <w:lastRenderedPageBreak/>
        <w:t xml:space="preserve">Iatroscan technique was performed to </w:t>
      </w:r>
      <w:r w:rsidR="00B17842" w:rsidRPr="00E63E1C">
        <w:rPr>
          <w:lang w:val="en-GB"/>
        </w:rPr>
        <w:t>reveal lipid class</w:t>
      </w:r>
      <w:r w:rsidR="00543C7A" w:rsidRPr="00E63E1C">
        <w:rPr>
          <w:lang w:val="en-GB"/>
        </w:rPr>
        <w:t xml:space="preserve"> concentration</w:t>
      </w:r>
      <w:r w:rsidR="00B17842" w:rsidRPr="00E63E1C">
        <w:rPr>
          <w:lang w:val="en-GB"/>
        </w:rPr>
        <w:t xml:space="preserve">s and </w:t>
      </w:r>
      <w:r w:rsidR="00D43866" w:rsidRPr="00E63E1C">
        <w:rPr>
          <w:lang w:val="en-GB"/>
        </w:rPr>
        <w:t xml:space="preserve">ESI FT-ICR MS </w:t>
      </w:r>
      <w:r w:rsidR="00B17842" w:rsidRPr="00E63E1C">
        <w:rPr>
          <w:lang w:val="en-GB"/>
        </w:rPr>
        <w:t xml:space="preserve">provides lipid characteristics such as degree of unsaturation and the extent of alkylation for observed lipids. </w:t>
      </w:r>
      <w:r w:rsidR="009A2FAD" w:rsidRPr="00E63E1C">
        <w:rPr>
          <w:lang w:val="en-GB"/>
        </w:rPr>
        <w:t>Molecular formulae derived</w:t>
      </w:r>
      <w:r w:rsidR="00950BF7">
        <w:rPr>
          <w:lang w:val="en-GB"/>
        </w:rPr>
        <w:t xml:space="preserve"> directly</w:t>
      </w:r>
      <w:r w:rsidR="009A2FAD" w:rsidRPr="00E63E1C">
        <w:rPr>
          <w:lang w:val="en-GB"/>
        </w:rPr>
        <w:t xml:space="preserve"> from FT-ICR MS measured m</w:t>
      </w:r>
      <w:r w:rsidR="00B17842" w:rsidRPr="00E63E1C">
        <w:rPr>
          <w:lang w:val="en-GB"/>
        </w:rPr>
        <w:t>/z values</w:t>
      </w:r>
      <w:r w:rsidR="009A2FAD" w:rsidRPr="00E63E1C">
        <w:rPr>
          <w:lang w:val="en-GB"/>
        </w:rPr>
        <w:t xml:space="preserve"> </w:t>
      </w:r>
      <w:r w:rsidR="00B17842" w:rsidRPr="00E63E1C">
        <w:rPr>
          <w:lang w:val="en-GB"/>
        </w:rPr>
        <w:t>are</w:t>
      </w:r>
      <w:r w:rsidR="009A2FAD" w:rsidRPr="00E63E1C">
        <w:rPr>
          <w:lang w:val="en-GB"/>
        </w:rPr>
        <w:t xml:space="preserve"> </w:t>
      </w:r>
      <w:r w:rsidR="00B17842" w:rsidRPr="00E63E1C">
        <w:rPr>
          <w:lang w:val="en-GB"/>
        </w:rPr>
        <w:t xml:space="preserve">tentatively assigned to </w:t>
      </w:r>
      <w:r w:rsidR="009A2FAD" w:rsidRPr="00E63E1C">
        <w:rPr>
          <w:lang w:val="en-GB"/>
        </w:rPr>
        <w:t>given lipid class</w:t>
      </w:r>
      <w:r>
        <w:rPr>
          <w:lang w:val="en-GB"/>
        </w:rPr>
        <w:t>es using</w:t>
      </w:r>
      <w:r w:rsidR="009A2FAD" w:rsidRPr="00E63E1C">
        <w:rPr>
          <w:lang w:val="en-GB"/>
        </w:rPr>
        <w:t xml:space="preserve"> an in-house assembled lipid database derived from Lipid </w:t>
      </w:r>
      <w:r w:rsidR="00E92DCD" w:rsidRPr="00E63E1C">
        <w:rPr>
          <w:lang w:val="en-GB"/>
        </w:rPr>
        <w:t>M</w:t>
      </w:r>
      <w:r w:rsidR="009A2FAD" w:rsidRPr="00E63E1C">
        <w:rPr>
          <w:lang w:val="en-GB"/>
        </w:rPr>
        <w:t xml:space="preserve">aps to provide depth-related lipid class distribution. </w:t>
      </w:r>
      <w:r w:rsidR="00950BF7">
        <w:rPr>
          <w:lang w:val="en-GB"/>
        </w:rPr>
        <w:t>Importantly, w</w:t>
      </w:r>
      <w:r w:rsidR="00543C7A" w:rsidRPr="00E63E1C">
        <w:rPr>
          <w:lang w:val="en-GB"/>
        </w:rPr>
        <w:t xml:space="preserve">e </w:t>
      </w:r>
      <w:r w:rsidR="00D43866" w:rsidRPr="00E63E1C">
        <w:rPr>
          <w:lang w:val="en-GB"/>
        </w:rPr>
        <w:t>observed</w:t>
      </w:r>
      <w:r w:rsidR="00543C7A" w:rsidRPr="00E63E1C">
        <w:rPr>
          <w:lang w:val="en-GB"/>
        </w:rPr>
        <w:t xml:space="preserve"> similar water column distribution patter</w:t>
      </w:r>
      <w:r w:rsidR="00B95A33" w:rsidRPr="00E63E1C">
        <w:rPr>
          <w:lang w:val="en-GB"/>
        </w:rPr>
        <w:t>n</w:t>
      </w:r>
      <w:r w:rsidR="00B17842" w:rsidRPr="00E63E1C">
        <w:rPr>
          <w:lang w:val="en-GB"/>
        </w:rPr>
        <w:t>s</w:t>
      </w:r>
      <w:r w:rsidR="00543C7A" w:rsidRPr="00E63E1C">
        <w:rPr>
          <w:lang w:val="en-GB"/>
        </w:rPr>
        <w:t xml:space="preserve"> for the </w:t>
      </w:r>
      <w:r w:rsidR="005C4147" w:rsidRPr="00E63E1C">
        <w:rPr>
          <w:lang w:val="en-GB"/>
        </w:rPr>
        <w:t>observed</w:t>
      </w:r>
      <w:r w:rsidR="00543C7A" w:rsidRPr="00E63E1C">
        <w:rPr>
          <w:lang w:val="en-GB"/>
        </w:rPr>
        <w:t xml:space="preserve"> classes for the two methods employed.</w:t>
      </w:r>
      <w:r w:rsidR="00732BFE" w:rsidRPr="00E63E1C">
        <w:rPr>
          <w:lang w:val="en-GB"/>
        </w:rPr>
        <w:t xml:space="preserve"> </w:t>
      </w:r>
    </w:p>
    <w:p w:rsidR="00396DE9" w:rsidRPr="00E63E1C" w:rsidRDefault="00E10E7A" w:rsidP="00FE0BDC">
      <w:pPr>
        <w:spacing w:line="360" w:lineRule="auto"/>
        <w:ind w:firstLine="706"/>
        <w:jc w:val="both"/>
        <w:rPr>
          <w:lang w:val="en-GB"/>
        </w:rPr>
      </w:pPr>
      <w:r w:rsidRPr="00E63E1C">
        <w:rPr>
          <w:lang w:val="en-GB"/>
        </w:rPr>
        <w:t>We report</w:t>
      </w:r>
      <w:r w:rsidR="009D3605" w:rsidRPr="00E63E1C">
        <w:rPr>
          <w:lang w:val="en-GB"/>
        </w:rPr>
        <w:t xml:space="preserve"> </w:t>
      </w:r>
      <w:r w:rsidR="00A91D79" w:rsidRPr="00E63E1C">
        <w:rPr>
          <w:lang w:val="en-GB"/>
        </w:rPr>
        <w:t>depth</w:t>
      </w:r>
      <w:r w:rsidRPr="00E63E1C">
        <w:rPr>
          <w:lang w:val="en-GB"/>
        </w:rPr>
        <w:t>-</w:t>
      </w:r>
      <w:r w:rsidR="00A91D79" w:rsidRPr="00E63E1C">
        <w:rPr>
          <w:lang w:val="en-GB"/>
        </w:rPr>
        <w:t xml:space="preserve">related cycling of </w:t>
      </w:r>
      <w:r w:rsidR="00CF4310" w:rsidRPr="00E63E1C">
        <w:rPr>
          <w:lang w:val="en-GB"/>
        </w:rPr>
        <w:t>tri</w:t>
      </w:r>
      <w:r w:rsidR="00AE2D1B" w:rsidRPr="00E63E1C">
        <w:rPr>
          <w:lang w:val="en-GB"/>
        </w:rPr>
        <w:t>acylglycerol</w:t>
      </w:r>
      <w:r w:rsidR="00CF4310" w:rsidRPr="00E63E1C">
        <w:rPr>
          <w:lang w:val="en-GB"/>
        </w:rPr>
        <w:t xml:space="preserve">s with even carbon number (TG) and odd carbon number </w:t>
      </w:r>
      <w:r w:rsidR="009D3605" w:rsidRPr="00E63E1C">
        <w:rPr>
          <w:lang w:val="en-GB"/>
        </w:rPr>
        <w:t xml:space="preserve">(oddTG) and </w:t>
      </w:r>
      <w:r w:rsidR="000D4845" w:rsidRPr="00E63E1C">
        <w:rPr>
          <w:lang w:val="en-GB"/>
        </w:rPr>
        <w:t xml:space="preserve">lipid </w:t>
      </w:r>
      <w:r w:rsidR="009D3605" w:rsidRPr="00E63E1C">
        <w:rPr>
          <w:lang w:val="en-GB"/>
        </w:rPr>
        <w:t xml:space="preserve">degradation indices being </w:t>
      </w:r>
      <w:r w:rsidR="00CF4310" w:rsidRPr="00E63E1C">
        <w:rPr>
          <w:lang w:val="en-GB"/>
        </w:rPr>
        <w:t>di-, and mono</w:t>
      </w:r>
      <w:r w:rsidR="00AE2D1B" w:rsidRPr="00E63E1C">
        <w:rPr>
          <w:lang w:val="en-GB"/>
        </w:rPr>
        <w:t>acylglycerol</w:t>
      </w:r>
      <w:r w:rsidR="00CF4310" w:rsidRPr="00E63E1C">
        <w:rPr>
          <w:lang w:val="en-GB"/>
        </w:rPr>
        <w:t>s (</w:t>
      </w:r>
      <w:r w:rsidR="009D3605" w:rsidRPr="00E63E1C">
        <w:rPr>
          <w:lang w:val="en-GB"/>
        </w:rPr>
        <w:t>DG</w:t>
      </w:r>
      <w:r w:rsidR="00CF4310" w:rsidRPr="00E63E1C">
        <w:rPr>
          <w:lang w:val="en-GB"/>
        </w:rPr>
        <w:t xml:space="preserve"> and </w:t>
      </w:r>
      <w:r w:rsidR="009D3605" w:rsidRPr="00E63E1C">
        <w:rPr>
          <w:lang w:val="en-GB"/>
        </w:rPr>
        <w:t>MG</w:t>
      </w:r>
      <w:r w:rsidR="00CF4310" w:rsidRPr="00E63E1C">
        <w:rPr>
          <w:lang w:val="en-GB"/>
        </w:rPr>
        <w:t>, respectively)</w:t>
      </w:r>
      <w:r w:rsidR="009D3605" w:rsidRPr="00E63E1C">
        <w:rPr>
          <w:lang w:val="en-GB"/>
        </w:rPr>
        <w:t xml:space="preserve"> and </w:t>
      </w:r>
      <w:r w:rsidR="00CF4310" w:rsidRPr="00E63E1C">
        <w:rPr>
          <w:lang w:val="en-GB"/>
        </w:rPr>
        <w:t>free fatty acids (</w:t>
      </w:r>
      <w:r w:rsidR="009D3605" w:rsidRPr="00E63E1C">
        <w:rPr>
          <w:lang w:val="en-GB"/>
        </w:rPr>
        <w:t>FFA</w:t>
      </w:r>
      <w:r w:rsidR="00CF4310" w:rsidRPr="00E63E1C">
        <w:rPr>
          <w:lang w:val="en-GB"/>
        </w:rPr>
        <w:t xml:space="preserve">) including unsaturated fatty acids (UFA), branched fatty acids (BrFA) and </w:t>
      </w:r>
      <w:r w:rsidR="00776F45" w:rsidRPr="00E63E1C">
        <w:rPr>
          <w:lang w:val="en-GB"/>
        </w:rPr>
        <w:t>saturated</w:t>
      </w:r>
      <w:r w:rsidR="00CF4310" w:rsidRPr="00E63E1C">
        <w:rPr>
          <w:lang w:val="en-GB"/>
        </w:rPr>
        <w:t xml:space="preserve"> fatty acids (SAFA)</w:t>
      </w:r>
      <w:r w:rsidR="009D3605" w:rsidRPr="00E63E1C">
        <w:rPr>
          <w:lang w:val="en-GB"/>
        </w:rPr>
        <w:t xml:space="preserve"> that indicate lipid </w:t>
      </w:r>
      <w:r w:rsidR="009D3605" w:rsidRPr="00E63E1C">
        <w:rPr>
          <w:rStyle w:val="st"/>
          <w:lang w:val="en-GB"/>
        </w:rPr>
        <w:t>earliest stage of alteration (diagenesis)</w:t>
      </w:r>
      <w:r w:rsidR="000D4845" w:rsidRPr="00E63E1C">
        <w:rPr>
          <w:lang w:val="en-GB"/>
        </w:rPr>
        <w:t xml:space="preserve"> (Goutx et al., 2003)</w:t>
      </w:r>
      <w:r w:rsidR="009D3605" w:rsidRPr="00E63E1C">
        <w:rPr>
          <w:lang w:val="en-GB"/>
        </w:rPr>
        <w:t>.</w:t>
      </w:r>
      <w:r w:rsidR="006F6617" w:rsidRPr="00E63E1C">
        <w:rPr>
          <w:lang w:val="en-GB"/>
        </w:rPr>
        <w:t xml:space="preserve"> </w:t>
      </w:r>
      <w:r w:rsidR="00DD38A6" w:rsidRPr="00E63E1C">
        <w:rPr>
          <w:lang w:val="en-GB"/>
        </w:rPr>
        <w:t xml:space="preserve">Triacylglycerols are storage lipids present </w:t>
      </w:r>
      <w:r w:rsidR="00DD38A6" w:rsidRPr="00E63E1C">
        <w:rPr>
          <w:rStyle w:val="st"/>
          <w:lang w:val="en-GB"/>
        </w:rPr>
        <w:t xml:space="preserve">in </w:t>
      </w:r>
      <w:r w:rsidR="00696CE1" w:rsidRPr="00E63E1C">
        <w:rPr>
          <w:rStyle w:val="st"/>
          <w:lang w:val="en-GB"/>
        </w:rPr>
        <w:t>phytoplankton (</w:t>
      </w:r>
      <w:r w:rsidR="00696CE1" w:rsidRPr="00E63E1C">
        <w:rPr>
          <w:lang w:val="en-GB" w:eastAsia="hr-HR"/>
        </w:rPr>
        <w:t>Guschina and Harwood, 2009</w:t>
      </w:r>
      <w:r w:rsidR="00696CE1" w:rsidRPr="00E63E1C">
        <w:rPr>
          <w:rStyle w:val="st"/>
          <w:lang w:val="en-GB"/>
        </w:rPr>
        <w:t xml:space="preserve">) and </w:t>
      </w:r>
      <w:r w:rsidR="0027490B" w:rsidRPr="00E63E1C">
        <w:rPr>
          <w:rStyle w:val="st"/>
          <w:lang w:val="en-GB"/>
        </w:rPr>
        <w:t xml:space="preserve">certain </w:t>
      </w:r>
      <w:r w:rsidR="00DD38A6" w:rsidRPr="00E63E1C">
        <w:rPr>
          <w:rStyle w:val="st"/>
          <w:lang w:val="en-GB"/>
        </w:rPr>
        <w:t>bacterial species (</w:t>
      </w:r>
      <w:r w:rsidR="002A623C" w:rsidRPr="00E63E1C">
        <w:rPr>
          <w:rStyle w:val="st"/>
          <w:lang w:val="en-GB"/>
        </w:rPr>
        <w:t xml:space="preserve">Goutx et al., 1990; </w:t>
      </w:r>
      <w:r w:rsidR="008362C2" w:rsidRPr="00E63E1C">
        <w:rPr>
          <w:rStyle w:val="st"/>
          <w:lang w:val="en-GB"/>
        </w:rPr>
        <w:t>Kalscheuer et al., 2007</w:t>
      </w:r>
      <w:r w:rsidR="00DD38A6" w:rsidRPr="00E63E1C">
        <w:rPr>
          <w:rStyle w:val="st"/>
          <w:lang w:val="en-GB"/>
        </w:rPr>
        <w:t>)</w:t>
      </w:r>
      <w:r w:rsidR="00696CE1" w:rsidRPr="00E63E1C">
        <w:rPr>
          <w:rStyle w:val="st"/>
          <w:lang w:val="en-GB"/>
        </w:rPr>
        <w:t xml:space="preserve">. </w:t>
      </w:r>
      <w:r w:rsidR="000B259D" w:rsidRPr="00E63E1C">
        <w:rPr>
          <w:rStyle w:val="st"/>
          <w:lang w:val="en-GB"/>
        </w:rPr>
        <w:t>Zooplankton may also synthesize TG as storage compounds (Lee, 1974)</w:t>
      </w:r>
      <w:r w:rsidR="0025661F" w:rsidRPr="00E63E1C">
        <w:rPr>
          <w:rStyle w:val="st"/>
          <w:lang w:val="en-GB"/>
        </w:rPr>
        <w:t>,</w:t>
      </w:r>
      <w:r w:rsidR="000B259D" w:rsidRPr="00E63E1C">
        <w:rPr>
          <w:rStyle w:val="st"/>
          <w:lang w:val="en-GB"/>
        </w:rPr>
        <w:t xml:space="preserve"> although </w:t>
      </w:r>
      <w:r w:rsidR="00200636" w:rsidRPr="00E63E1C">
        <w:rPr>
          <w:rStyle w:val="st"/>
          <w:lang w:val="en-GB"/>
        </w:rPr>
        <w:t xml:space="preserve">zooplankton mainly store wax esters </w:t>
      </w:r>
      <w:r w:rsidR="0054476F" w:rsidRPr="00E63E1C">
        <w:rPr>
          <w:rStyle w:val="st"/>
          <w:lang w:val="en-GB"/>
        </w:rPr>
        <w:t xml:space="preserve">that </w:t>
      </w:r>
      <w:r w:rsidR="00200636" w:rsidRPr="00E63E1C">
        <w:rPr>
          <w:rStyle w:val="st"/>
          <w:lang w:val="en-GB"/>
        </w:rPr>
        <w:t>serve as long-term metabolic reserves (</w:t>
      </w:r>
      <w:r w:rsidR="00200636" w:rsidRPr="00E63E1C">
        <w:rPr>
          <w:lang w:val="en-GB"/>
        </w:rPr>
        <w:t>Kattner and Hagen</w:t>
      </w:r>
      <w:r w:rsidR="001E4007" w:rsidRPr="00E63E1C">
        <w:rPr>
          <w:lang w:val="en-GB"/>
        </w:rPr>
        <w:t>,</w:t>
      </w:r>
      <w:r w:rsidR="00200636" w:rsidRPr="00E63E1C">
        <w:rPr>
          <w:lang w:val="en-GB"/>
        </w:rPr>
        <w:t xml:space="preserve"> 2009</w:t>
      </w:r>
      <w:r w:rsidR="00200636" w:rsidRPr="00E63E1C">
        <w:rPr>
          <w:rStyle w:val="st"/>
          <w:lang w:val="en-GB"/>
        </w:rPr>
        <w:t xml:space="preserve">). </w:t>
      </w:r>
      <w:r w:rsidR="001E4007" w:rsidRPr="00E63E1C">
        <w:rPr>
          <w:rStyle w:val="st"/>
          <w:lang w:val="en-GB"/>
        </w:rPr>
        <w:t xml:space="preserve">Fatty acids in zooplankton have </w:t>
      </w:r>
      <w:r w:rsidR="007A17DC">
        <w:rPr>
          <w:rStyle w:val="st"/>
          <w:lang w:val="en-GB"/>
        </w:rPr>
        <w:t xml:space="preserve">an </w:t>
      </w:r>
      <w:r w:rsidR="001E4007" w:rsidRPr="00E63E1C">
        <w:rPr>
          <w:rStyle w:val="st"/>
          <w:lang w:val="en-GB"/>
        </w:rPr>
        <w:t>even number of C-atoms (</w:t>
      </w:r>
      <w:r w:rsidR="001E4007" w:rsidRPr="00E63E1C">
        <w:rPr>
          <w:lang w:val="en-GB"/>
        </w:rPr>
        <w:t>Kattner and Hagen, 2009</w:t>
      </w:r>
      <w:r w:rsidR="001E4007" w:rsidRPr="00E63E1C">
        <w:rPr>
          <w:rStyle w:val="st"/>
          <w:lang w:val="en-GB"/>
        </w:rPr>
        <w:t xml:space="preserve">), reflecting </w:t>
      </w:r>
      <w:r w:rsidR="007A17DC">
        <w:rPr>
          <w:rStyle w:val="st"/>
          <w:lang w:val="en-GB"/>
        </w:rPr>
        <w:t>their</w:t>
      </w:r>
      <w:r w:rsidR="007A17DC" w:rsidRPr="00E63E1C">
        <w:rPr>
          <w:rStyle w:val="st"/>
          <w:lang w:val="en-GB"/>
        </w:rPr>
        <w:t xml:space="preserve"> </w:t>
      </w:r>
      <w:r w:rsidR="001E4007" w:rsidRPr="00E63E1C">
        <w:rPr>
          <w:rStyle w:val="st"/>
          <w:lang w:val="en-GB"/>
        </w:rPr>
        <w:t>diet i.e. feeding on primary producers that produce FA with even number of C-atoms. Unlike phytoplankton, bacteria</w:t>
      </w:r>
      <w:r w:rsidR="007A17DC">
        <w:rPr>
          <w:rStyle w:val="st"/>
          <w:lang w:val="en-GB"/>
        </w:rPr>
        <w:t>l</w:t>
      </w:r>
      <w:r w:rsidR="001E4007" w:rsidRPr="00E63E1C">
        <w:rPr>
          <w:rStyle w:val="st"/>
          <w:lang w:val="en-GB"/>
        </w:rPr>
        <w:t xml:space="preserve"> metabolic pathways synthesize FA with </w:t>
      </w:r>
      <w:r w:rsidR="009D2235" w:rsidRPr="00E63E1C">
        <w:rPr>
          <w:lang w:val="en-GB"/>
        </w:rPr>
        <w:t>odd-numbered, branched trans-unsaturated and cyclopropyl fatty acids</w:t>
      </w:r>
      <w:r w:rsidR="007A17DC">
        <w:rPr>
          <w:lang w:val="en-GB"/>
        </w:rPr>
        <w:t>. As a consequence</w:t>
      </w:r>
      <w:r w:rsidR="009D2235" w:rsidRPr="00E63E1C">
        <w:rPr>
          <w:lang w:val="en-GB"/>
        </w:rPr>
        <w:t xml:space="preserve"> 15:0, 17:0, 10-methyl-16:0, iso-</w:t>
      </w:r>
      <w:r w:rsidR="00C42290" w:rsidRPr="00E63E1C">
        <w:rPr>
          <w:lang w:val="en-GB"/>
        </w:rPr>
        <w:t xml:space="preserve"> </w:t>
      </w:r>
      <w:r w:rsidR="009D2235" w:rsidRPr="00E63E1C">
        <w:rPr>
          <w:lang w:val="en-GB"/>
        </w:rPr>
        <w:t>and</w:t>
      </w:r>
      <w:r w:rsidR="00C42290" w:rsidRPr="00E63E1C">
        <w:rPr>
          <w:lang w:val="en-GB"/>
        </w:rPr>
        <w:t xml:space="preserve"> </w:t>
      </w:r>
      <w:r w:rsidR="009D2235" w:rsidRPr="00E63E1C">
        <w:rPr>
          <w:lang w:val="en-GB"/>
        </w:rPr>
        <w:t xml:space="preserve">anteiso-branched saturated and monounsaturated </w:t>
      </w:r>
      <w:r w:rsidR="007A17DC">
        <w:rPr>
          <w:lang w:val="en-GB"/>
        </w:rPr>
        <w:t>have been</w:t>
      </w:r>
      <w:r w:rsidR="009D2235" w:rsidRPr="00E63E1C">
        <w:rPr>
          <w:lang w:val="en-GB"/>
        </w:rPr>
        <w:t xml:space="preserve"> used as bacterial fatty acid markers </w:t>
      </w:r>
      <w:r w:rsidR="001E4007" w:rsidRPr="00E63E1C">
        <w:rPr>
          <w:rStyle w:val="st"/>
          <w:lang w:val="en-GB"/>
        </w:rPr>
        <w:t>(</w:t>
      </w:r>
      <w:r w:rsidR="009D2235" w:rsidRPr="00E63E1C">
        <w:rPr>
          <w:lang w:val="en-GB"/>
        </w:rPr>
        <w:t>Harkewicz and Dennis, 2011</w:t>
      </w:r>
      <w:r w:rsidR="001E4007" w:rsidRPr="00E63E1C">
        <w:rPr>
          <w:rStyle w:val="st"/>
          <w:lang w:val="en-GB"/>
        </w:rPr>
        <w:t xml:space="preserve">). </w:t>
      </w:r>
      <w:r w:rsidR="00396DE9" w:rsidRPr="00E63E1C">
        <w:rPr>
          <w:lang w:val="en-US"/>
        </w:rPr>
        <w:t xml:space="preserve">Odd-chain FFA, DG and MG are not discussed </w:t>
      </w:r>
      <w:r w:rsidR="00FE0BDC" w:rsidRPr="00E63E1C">
        <w:rPr>
          <w:lang w:val="en-US"/>
        </w:rPr>
        <w:t>explicitly</w:t>
      </w:r>
      <w:r w:rsidR="00396DE9" w:rsidRPr="00E63E1C">
        <w:rPr>
          <w:lang w:val="en-US"/>
        </w:rPr>
        <w:t xml:space="preserve"> as they are degradation products of triacylglycerol. </w:t>
      </w:r>
      <w:r w:rsidR="00AB26F9" w:rsidRPr="00E63E1C">
        <w:rPr>
          <w:rStyle w:val="st"/>
          <w:lang w:val="en-GB"/>
        </w:rPr>
        <w:t>W</w:t>
      </w:r>
      <w:r w:rsidR="00977CD6" w:rsidRPr="00E63E1C">
        <w:rPr>
          <w:rStyle w:val="st"/>
          <w:lang w:val="en-GB"/>
        </w:rPr>
        <w:t xml:space="preserve">e </w:t>
      </w:r>
      <w:r w:rsidR="000126A0" w:rsidRPr="00E63E1C">
        <w:rPr>
          <w:rStyle w:val="st"/>
          <w:lang w:val="en-GB"/>
        </w:rPr>
        <w:t>consider</w:t>
      </w:r>
      <w:r w:rsidR="00AB1400" w:rsidRPr="00E63E1C">
        <w:rPr>
          <w:rStyle w:val="st"/>
          <w:lang w:val="en-GB"/>
        </w:rPr>
        <w:t xml:space="preserve"> o</w:t>
      </w:r>
      <w:r w:rsidR="00DD38A6" w:rsidRPr="00E63E1C">
        <w:rPr>
          <w:lang w:val="en-GB"/>
        </w:rPr>
        <w:t xml:space="preserve">ddTG as an indicator </w:t>
      </w:r>
      <w:r w:rsidR="0089787F" w:rsidRPr="00E63E1C">
        <w:rPr>
          <w:lang w:val="en-GB"/>
        </w:rPr>
        <w:t>of</w:t>
      </w:r>
      <w:r w:rsidR="00DD38A6" w:rsidRPr="00E63E1C">
        <w:rPr>
          <w:lang w:val="en-GB"/>
        </w:rPr>
        <w:t xml:space="preserve"> bacteria</w:t>
      </w:r>
      <w:r w:rsidR="00AB26F9" w:rsidRPr="00E63E1C">
        <w:rPr>
          <w:lang w:val="en-GB"/>
        </w:rPr>
        <w:t xml:space="preserve">, although odd-chain FA </w:t>
      </w:r>
      <w:r w:rsidR="00D66624" w:rsidRPr="00E63E1C">
        <w:rPr>
          <w:lang w:val="en-GB"/>
        </w:rPr>
        <w:t xml:space="preserve">are also biosynthesized by </w:t>
      </w:r>
      <w:r w:rsidR="00AB26F9" w:rsidRPr="00E63E1C">
        <w:rPr>
          <w:lang w:val="en-GB"/>
        </w:rPr>
        <w:t xml:space="preserve">other </w:t>
      </w:r>
      <w:r w:rsidR="00787884" w:rsidRPr="00E63E1C">
        <w:rPr>
          <w:lang w:val="en-GB"/>
        </w:rPr>
        <w:t xml:space="preserve">organisms </w:t>
      </w:r>
      <w:r w:rsidR="00AB26F9" w:rsidRPr="00E63E1C">
        <w:rPr>
          <w:lang w:val="en-GB"/>
        </w:rPr>
        <w:t>(Dalsgaard et al., 2003 and references therein)</w:t>
      </w:r>
      <w:r w:rsidR="00AB1400" w:rsidRPr="00E63E1C">
        <w:rPr>
          <w:lang w:val="en-GB"/>
        </w:rPr>
        <w:t>.</w:t>
      </w:r>
    </w:p>
    <w:p w:rsidR="00425F04" w:rsidRPr="00E63E1C" w:rsidRDefault="00F92173" w:rsidP="00425F04">
      <w:pPr>
        <w:spacing w:after="120" w:line="360" w:lineRule="auto"/>
        <w:ind w:firstLine="720"/>
        <w:jc w:val="both"/>
      </w:pPr>
      <w:r w:rsidRPr="00E63E1C">
        <w:t xml:space="preserve">The concentration of total lipids </w:t>
      </w:r>
      <w:r w:rsidR="00950BF7">
        <w:t xml:space="preserve">that we </w:t>
      </w:r>
      <w:r w:rsidR="00950BF7" w:rsidRPr="00E63E1C">
        <w:t>ob</w:t>
      </w:r>
      <w:r w:rsidR="00950BF7">
        <w:t xml:space="preserve">served </w:t>
      </w:r>
      <w:r w:rsidR="00776214" w:rsidRPr="00E63E1C">
        <w:t xml:space="preserve">(3.0 to 24.9 </w:t>
      </w:r>
      <w:r w:rsidR="00776214" w:rsidRPr="00E63E1C">
        <w:sym w:font="Symbol" w:char="F06D"/>
      </w:r>
      <w:r w:rsidR="00776214" w:rsidRPr="00E63E1C">
        <w:t>g L</w:t>
      </w:r>
      <w:r w:rsidR="00776214" w:rsidRPr="00E63E1C">
        <w:rPr>
          <w:vertAlign w:val="superscript"/>
        </w:rPr>
        <w:t>-1</w:t>
      </w:r>
      <w:r w:rsidR="00776214" w:rsidRPr="00E63E1C">
        <w:t xml:space="preserve">) </w:t>
      </w:r>
      <w:r w:rsidR="006257AB" w:rsidRPr="00E63E1C">
        <w:t>are within the ranges published for the eastern Atlantic (</w:t>
      </w:r>
      <w:r w:rsidR="00776214" w:rsidRPr="00E63E1C">
        <w:t xml:space="preserve">3.2 to 29.4 </w:t>
      </w:r>
      <w:r w:rsidR="00776214" w:rsidRPr="00E63E1C">
        <w:sym w:font="Symbol" w:char="F06D"/>
      </w:r>
      <w:r w:rsidR="00776214" w:rsidRPr="00E63E1C">
        <w:t>g L</w:t>
      </w:r>
      <w:r w:rsidR="00776214" w:rsidRPr="00E63E1C">
        <w:rPr>
          <w:vertAlign w:val="superscript"/>
        </w:rPr>
        <w:t>-1</w:t>
      </w:r>
      <w:r w:rsidR="00776214" w:rsidRPr="00E63E1C">
        <w:t xml:space="preserve">, </w:t>
      </w:r>
      <w:r w:rsidR="006257AB" w:rsidRPr="00E63E1C">
        <w:t xml:space="preserve">Gašparović et al., </w:t>
      </w:r>
      <w:r w:rsidR="00776214" w:rsidRPr="00E63E1C">
        <w:t xml:space="preserve">2014), and lower than those </w:t>
      </w:r>
      <w:r w:rsidR="00664FAF" w:rsidRPr="00E63E1C">
        <w:t>reported for</w:t>
      </w:r>
      <w:r w:rsidR="00776214" w:rsidRPr="00E63E1C">
        <w:t xml:space="preserve"> the c</w:t>
      </w:r>
      <w:r w:rsidR="00B157C8" w:rsidRPr="00E63E1C">
        <w:t>oastal regions of the NW Atlantic (28–58 µg L</w:t>
      </w:r>
      <w:r w:rsidR="00B157C8" w:rsidRPr="00E63E1C">
        <w:rPr>
          <w:vertAlign w:val="superscript"/>
        </w:rPr>
        <w:t>–1</w:t>
      </w:r>
      <w:r w:rsidR="00B157C8" w:rsidRPr="00E63E1C">
        <w:t xml:space="preserve">, Parrish et al., 1988), </w:t>
      </w:r>
      <w:r w:rsidR="00776214" w:rsidRPr="00E63E1C">
        <w:t xml:space="preserve">Gulf of Mexico </w:t>
      </w:r>
      <w:r w:rsidR="00425F04" w:rsidRPr="00E63E1C">
        <w:t>(</w:t>
      </w:r>
      <w:r w:rsidR="00A96B45" w:rsidRPr="00E63E1C">
        <w:t>9</w:t>
      </w:r>
      <w:r w:rsidR="00425F04" w:rsidRPr="00E63E1C">
        <w:t>-</w:t>
      </w:r>
      <w:r w:rsidR="00A96B45" w:rsidRPr="00E63E1C">
        <w:t>7</w:t>
      </w:r>
      <w:r w:rsidR="00425F04" w:rsidRPr="00E63E1C">
        <w:t>0 µg L</w:t>
      </w:r>
      <w:r w:rsidR="00425F04" w:rsidRPr="00E63E1C">
        <w:rPr>
          <w:vertAlign w:val="superscript"/>
        </w:rPr>
        <w:t>–1</w:t>
      </w:r>
      <w:r w:rsidR="00425F04" w:rsidRPr="00E63E1C">
        <w:t xml:space="preserve">, Kennicutt  and Jeffrey, 1981) and west Mediterranean Sea (3–84 </w:t>
      </w:r>
      <w:r w:rsidR="00425F04" w:rsidRPr="00E63E1C">
        <w:sym w:font="Symbol" w:char="F06D"/>
      </w:r>
      <w:r w:rsidR="00425F04" w:rsidRPr="00E63E1C">
        <w:t>g L</w:t>
      </w:r>
      <w:r w:rsidR="00425F04" w:rsidRPr="00E63E1C">
        <w:rPr>
          <w:vertAlign w:val="superscript"/>
        </w:rPr>
        <w:t>-1</w:t>
      </w:r>
      <w:r w:rsidR="00425F04" w:rsidRPr="00E63E1C">
        <w:t>, Gérin and Goutx, 1994).</w:t>
      </w:r>
    </w:p>
    <w:p w:rsidR="00A34AA1" w:rsidRPr="00E63E1C" w:rsidRDefault="00A34AA1" w:rsidP="009E4E69">
      <w:pPr>
        <w:spacing w:after="120" w:line="360" w:lineRule="auto"/>
        <w:ind w:firstLine="720"/>
        <w:jc w:val="both"/>
        <w:rPr>
          <w:lang w:val="en-GB"/>
        </w:rPr>
      </w:pPr>
      <w:r w:rsidRPr="00E63E1C">
        <w:rPr>
          <w:lang w:val="en-GB"/>
        </w:rPr>
        <w:t>Samples from different depth</w:t>
      </w:r>
      <w:r w:rsidR="00E10E7A" w:rsidRPr="00E63E1C">
        <w:rPr>
          <w:lang w:val="en-GB"/>
        </w:rPr>
        <w:t>s</w:t>
      </w:r>
      <w:r w:rsidRPr="00E63E1C">
        <w:rPr>
          <w:lang w:val="en-GB"/>
        </w:rPr>
        <w:t xml:space="preserve"> reflect</w:t>
      </w:r>
      <w:r w:rsidR="00E10E7A" w:rsidRPr="00E63E1C">
        <w:rPr>
          <w:lang w:val="en-GB"/>
        </w:rPr>
        <w:t xml:space="preserve"> variable periods relative to the original synthesis of the lipid at the surface productive layer.</w:t>
      </w:r>
      <w:r w:rsidRPr="00E63E1C">
        <w:rPr>
          <w:lang w:val="en-GB"/>
        </w:rPr>
        <w:t xml:space="preserve"> </w:t>
      </w:r>
      <w:r w:rsidR="00045BC1" w:rsidRPr="00E63E1C">
        <w:rPr>
          <w:lang w:val="en-US"/>
        </w:rPr>
        <w:t xml:space="preserve">As the Niskin bottle collects a mixture of fast, slow and </w:t>
      </w:r>
      <w:r w:rsidR="0098527D" w:rsidRPr="00E63E1C">
        <w:rPr>
          <w:lang w:val="en-US"/>
        </w:rPr>
        <w:lastRenderedPageBreak/>
        <w:t>non-</w:t>
      </w:r>
      <w:r w:rsidR="00045BC1" w:rsidRPr="00E63E1C">
        <w:rPr>
          <w:lang w:val="en-US"/>
        </w:rPr>
        <w:t>sinking particles, it should be stressed that different</w:t>
      </w:r>
      <w:r w:rsidR="00FE0BDC" w:rsidRPr="00E63E1C">
        <w:rPr>
          <w:lang w:val="en-US"/>
        </w:rPr>
        <w:t xml:space="preserve"> </w:t>
      </w:r>
      <w:r w:rsidR="00045BC1" w:rsidRPr="00E63E1C">
        <w:rPr>
          <w:lang w:val="en-US"/>
        </w:rPr>
        <w:t xml:space="preserve">sinking particles are </w:t>
      </w:r>
      <w:r w:rsidR="00550AE2" w:rsidRPr="00E63E1C">
        <w:rPr>
          <w:lang w:val="en-US"/>
        </w:rPr>
        <w:t xml:space="preserve">differentially </w:t>
      </w:r>
      <w:r w:rsidR="00045BC1" w:rsidRPr="00E63E1C">
        <w:rPr>
          <w:lang w:val="en-US"/>
        </w:rPr>
        <w:t>prone to degradative processes</w:t>
      </w:r>
      <w:r w:rsidR="00550AE2" w:rsidRPr="00E63E1C">
        <w:rPr>
          <w:lang w:val="en-US"/>
        </w:rPr>
        <w:t>.</w:t>
      </w:r>
      <w:r w:rsidR="00755EBB" w:rsidRPr="00E63E1C">
        <w:rPr>
          <w:lang w:val="en-US"/>
        </w:rPr>
        <w:t xml:space="preserve"> </w:t>
      </w:r>
      <w:r w:rsidR="00550AE2" w:rsidRPr="00E63E1C">
        <w:rPr>
          <w:lang w:val="en-US"/>
        </w:rPr>
        <w:t xml:space="preserve">Namely, </w:t>
      </w:r>
      <w:r w:rsidR="00045BC1" w:rsidRPr="00E63E1C">
        <w:rPr>
          <w:lang w:val="en-US"/>
        </w:rPr>
        <w:t>slow</w:t>
      </w:r>
      <w:r w:rsidR="0098527D" w:rsidRPr="00E63E1C">
        <w:rPr>
          <w:lang w:val="en-US"/>
        </w:rPr>
        <w:t>-</w:t>
      </w:r>
      <w:r w:rsidR="00045BC1" w:rsidRPr="00E63E1C">
        <w:rPr>
          <w:lang w:val="en-US"/>
        </w:rPr>
        <w:t xml:space="preserve">sinking </w:t>
      </w:r>
      <w:r w:rsidR="00755EBB" w:rsidRPr="00E63E1C">
        <w:rPr>
          <w:lang w:val="en-US"/>
        </w:rPr>
        <w:t xml:space="preserve">particles </w:t>
      </w:r>
      <w:r w:rsidR="00045BC1" w:rsidRPr="00E63E1C">
        <w:rPr>
          <w:lang w:val="en-US"/>
        </w:rPr>
        <w:t>bear a stronger signature of bacterial degradation than do the fast-sinking particles</w:t>
      </w:r>
      <w:r w:rsidR="00755EBB" w:rsidRPr="00E63E1C">
        <w:rPr>
          <w:lang w:val="en-US"/>
        </w:rPr>
        <w:t xml:space="preserve"> (Wakeham et al., 2009)</w:t>
      </w:r>
      <w:r w:rsidR="00045BC1" w:rsidRPr="00E63E1C">
        <w:rPr>
          <w:lang w:val="en-US"/>
        </w:rPr>
        <w:t>.</w:t>
      </w:r>
      <w:r w:rsidR="00755EBB" w:rsidRPr="00E63E1C">
        <w:rPr>
          <w:lang w:val="en-US"/>
        </w:rPr>
        <w:t xml:space="preserve"> </w:t>
      </w:r>
      <w:r w:rsidR="007A17DC">
        <w:rPr>
          <w:lang w:val="en-US"/>
        </w:rPr>
        <w:t>The c</w:t>
      </w:r>
      <w:r w:rsidR="00755EBB" w:rsidRPr="00E63E1C">
        <w:rPr>
          <w:lang w:val="en-US"/>
        </w:rPr>
        <w:t>ompositional difference</w:t>
      </w:r>
      <w:r w:rsidR="00FE0BDC" w:rsidRPr="00E63E1C">
        <w:rPr>
          <w:lang w:val="en-US"/>
        </w:rPr>
        <w:t xml:space="preserve"> </w:t>
      </w:r>
      <w:r w:rsidR="00755EBB" w:rsidRPr="00E63E1C">
        <w:rPr>
          <w:lang w:val="en-US"/>
        </w:rPr>
        <w:t>between fast-sinking and slow</w:t>
      </w:r>
      <w:r w:rsidR="0098527D" w:rsidRPr="00E63E1C">
        <w:rPr>
          <w:lang w:val="en-US"/>
        </w:rPr>
        <w:t>-</w:t>
      </w:r>
      <w:r w:rsidR="00755EBB" w:rsidRPr="00E63E1C">
        <w:rPr>
          <w:lang w:val="en-US"/>
        </w:rPr>
        <w:t xml:space="preserve">sinking particles </w:t>
      </w:r>
      <w:r w:rsidR="00550AE2" w:rsidRPr="00E63E1C">
        <w:rPr>
          <w:lang w:val="en-US"/>
        </w:rPr>
        <w:t>show</w:t>
      </w:r>
      <w:r w:rsidR="007A17DC">
        <w:rPr>
          <w:lang w:val="en-US"/>
        </w:rPr>
        <w:t>s</w:t>
      </w:r>
      <w:r w:rsidR="00550AE2" w:rsidRPr="00E63E1C">
        <w:rPr>
          <w:lang w:val="en-US"/>
        </w:rPr>
        <w:t xml:space="preserve"> </w:t>
      </w:r>
      <w:r w:rsidR="00755EBB" w:rsidRPr="00E63E1C">
        <w:rPr>
          <w:lang w:val="en-US"/>
        </w:rPr>
        <w:t>heterogeniety within the particle ﬁeld</w:t>
      </w:r>
      <w:r w:rsidR="00550AE2" w:rsidRPr="00E63E1C">
        <w:rPr>
          <w:lang w:val="en-US"/>
        </w:rPr>
        <w:t>, an observation</w:t>
      </w:r>
      <w:r w:rsidR="00755EBB" w:rsidRPr="00E63E1C">
        <w:rPr>
          <w:lang w:val="en-US"/>
        </w:rPr>
        <w:t xml:space="preserve"> that implies limited </w:t>
      </w:r>
      <w:r w:rsidR="00550AE2" w:rsidRPr="00E63E1C">
        <w:rPr>
          <w:lang w:val="en-US"/>
        </w:rPr>
        <w:t>material</w:t>
      </w:r>
      <w:r w:rsidR="00FE0BDC" w:rsidRPr="00E63E1C">
        <w:rPr>
          <w:lang w:val="en-US"/>
        </w:rPr>
        <w:t xml:space="preserve"> </w:t>
      </w:r>
      <w:r w:rsidR="00755EBB" w:rsidRPr="00E63E1C">
        <w:rPr>
          <w:lang w:val="en-US"/>
        </w:rPr>
        <w:t>exchange between the two pools</w:t>
      </w:r>
      <w:r w:rsidR="009C15CA" w:rsidRPr="00E63E1C">
        <w:rPr>
          <w:lang w:val="en-US"/>
        </w:rPr>
        <w:t xml:space="preserve"> (Wakeham et al., 2009)</w:t>
      </w:r>
      <w:r w:rsidR="00755EBB" w:rsidRPr="00E63E1C">
        <w:rPr>
          <w:lang w:val="en-US"/>
        </w:rPr>
        <w:t xml:space="preserve">. </w:t>
      </w:r>
      <w:r w:rsidRPr="00E63E1C">
        <w:rPr>
          <w:rFonts w:eastAsia="Times New Roman"/>
          <w:lang w:val="en-GB"/>
        </w:rPr>
        <w:t xml:space="preserve">The main lipid producers in the surface layer are phytoplankton (Gašparović et al. 2014) while mainly </w:t>
      </w:r>
      <w:r w:rsidRPr="00E63E1C">
        <w:rPr>
          <w:lang w:val="en-GB"/>
        </w:rPr>
        <w:t xml:space="preserve">bacteria and </w:t>
      </w:r>
      <w:r w:rsidR="00A91D79" w:rsidRPr="00E63E1C">
        <w:rPr>
          <w:lang w:val="en-GB"/>
        </w:rPr>
        <w:t>to a much lesser degree</w:t>
      </w:r>
      <w:r w:rsidRPr="00E63E1C">
        <w:rPr>
          <w:lang w:val="en-GB"/>
        </w:rPr>
        <w:t xml:space="preserve"> protozooplankton, and mesozooplankton contribute to </w:t>
      </w:r>
      <w:r w:rsidR="00E10E7A" w:rsidRPr="00E63E1C">
        <w:rPr>
          <w:lang w:val="en-GB"/>
        </w:rPr>
        <w:t xml:space="preserve">the </w:t>
      </w:r>
      <w:r w:rsidRPr="00E63E1C">
        <w:rPr>
          <w:lang w:val="en-GB"/>
        </w:rPr>
        <w:t xml:space="preserve">lipid pool at the </w:t>
      </w:r>
      <w:r w:rsidR="005A5854" w:rsidRPr="00E63E1C">
        <w:rPr>
          <w:lang w:val="en-GB"/>
        </w:rPr>
        <w:t>b</w:t>
      </w:r>
      <w:r w:rsidRPr="00E63E1C">
        <w:rPr>
          <w:lang w:val="en-GB"/>
        </w:rPr>
        <w:t xml:space="preserve">athypelagic depths (Yamaguchi et al., 2002). Plankton biomass at the </w:t>
      </w:r>
      <w:r w:rsidR="006237C2" w:rsidRPr="00E63E1C">
        <w:rPr>
          <w:lang w:val="en-GB"/>
        </w:rPr>
        <w:t xml:space="preserve">ocean depths below 1000 m </w:t>
      </w:r>
      <w:r w:rsidRPr="00E63E1C">
        <w:rPr>
          <w:lang w:val="en-GB"/>
        </w:rPr>
        <w:t>ranges 0.4–1.7 µg C l</w:t>
      </w:r>
      <w:r w:rsidRPr="00E63E1C">
        <w:rPr>
          <w:vertAlign w:val="superscript"/>
          <w:lang w:val="en-GB"/>
        </w:rPr>
        <w:t>-1</w:t>
      </w:r>
      <w:r w:rsidRPr="00E63E1C">
        <w:rPr>
          <w:lang w:val="en-GB"/>
        </w:rPr>
        <w:t xml:space="preserve"> (Yamaguchi et al., 2002). Knowing that the lipid content of marine bacteria is low varying from 1.7% to 7.3% of organic carbon (Goutx et al., 1990) and that carbon </w:t>
      </w:r>
      <w:r w:rsidR="00A91D79" w:rsidRPr="00E63E1C">
        <w:rPr>
          <w:lang w:val="en-GB"/>
        </w:rPr>
        <w:t>from</w:t>
      </w:r>
      <w:r w:rsidRPr="00E63E1C">
        <w:rPr>
          <w:lang w:val="en-GB"/>
        </w:rPr>
        <w:t xml:space="preserve"> particulate lipids at depths below 1000 m in our samples range</w:t>
      </w:r>
      <w:r w:rsidR="00A91D79" w:rsidRPr="00E63E1C">
        <w:rPr>
          <w:lang w:val="en-GB"/>
        </w:rPr>
        <w:t>d</w:t>
      </w:r>
      <w:r w:rsidRPr="00E63E1C">
        <w:rPr>
          <w:lang w:val="en-GB"/>
        </w:rPr>
        <w:t xml:space="preserve"> </w:t>
      </w:r>
      <w:r w:rsidR="0025661F" w:rsidRPr="00E63E1C">
        <w:rPr>
          <w:lang w:val="en-GB"/>
        </w:rPr>
        <w:t xml:space="preserve">from </w:t>
      </w:r>
      <w:r w:rsidRPr="00E63E1C">
        <w:rPr>
          <w:lang w:val="en-GB"/>
        </w:rPr>
        <w:t>2.1</w:t>
      </w:r>
      <w:r w:rsidR="0025661F" w:rsidRPr="00E63E1C">
        <w:rPr>
          <w:lang w:val="en-GB"/>
        </w:rPr>
        <w:t xml:space="preserve"> to </w:t>
      </w:r>
      <w:r w:rsidRPr="00E63E1C">
        <w:rPr>
          <w:lang w:val="en-GB"/>
        </w:rPr>
        <w:t>7.3 µg C l</w:t>
      </w:r>
      <w:r w:rsidRPr="00E63E1C">
        <w:rPr>
          <w:vertAlign w:val="superscript"/>
          <w:lang w:val="en-GB"/>
        </w:rPr>
        <w:t>-1</w:t>
      </w:r>
      <w:r w:rsidRPr="00E63E1C">
        <w:rPr>
          <w:lang w:val="en-GB"/>
        </w:rPr>
        <w:t xml:space="preserve"> (average 3.9 µg C l</w:t>
      </w:r>
      <w:r w:rsidRPr="00E63E1C">
        <w:rPr>
          <w:vertAlign w:val="superscript"/>
          <w:lang w:val="en-GB"/>
        </w:rPr>
        <w:t>-1</w:t>
      </w:r>
      <w:r w:rsidRPr="00E63E1C">
        <w:rPr>
          <w:lang w:val="en-GB"/>
        </w:rPr>
        <w:t xml:space="preserve">) one can assume that </w:t>
      </w:r>
      <w:r w:rsidR="00342498" w:rsidRPr="00E63E1C">
        <w:rPr>
          <w:lang w:val="en-GB"/>
        </w:rPr>
        <w:t>roughly</w:t>
      </w:r>
      <w:r w:rsidR="00E23A55" w:rsidRPr="00E63E1C">
        <w:rPr>
          <w:lang w:val="en-GB"/>
        </w:rPr>
        <w:t xml:space="preserve"> 1% </w:t>
      </w:r>
      <w:r w:rsidRPr="00E63E1C">
        <w:rPr>
          <w:lang w:val="en-GB"/>
        </w:rPr>
        <w:t xml:space="preserve">of the sampled lipids </w:t>
      </w:r>
      <w:r w:rsidR="00E10E7A" w:rsidRPr="00E63E1C">
        <w:rPr>
          <w:lang w:val="en-GB"/>
        </w:rPr>
        <w:t xml:space="preserve">at the greatest depths </w:t>
      </w:r>
      <w:r w:rsidRPr="00E63E1C">
        <w:rPr>
          <w:lang w:val="en-GB"/>
        </w:rPr>
        <w:t>originate</w:t>
      </w:r>
      <w:r w:rsidR="007A17DC">
        <w:rPr>
          <w:lang w:val="en-GB"/>
        </w:rPr>
        <w:t>d</w:t>
      </w:r>
      <w:r w:rsidRPr="00E63E1C">
        <w:rPr>
          <w:lang w:val="en-GB"/>
        </w:rPr>
        <w:t xml:space="preserve"> from living plankton.</w:t>
      </w:r>
    </w:p>
    <w:p w:rsidR="005156AA" w:rsidRPr="00E30162" w:rsidRDefault="00A11426" w:rsidP="00CD12B2">
      <w:pPr>
        <w:spacing w:after="120" w:line="360" w:lineRule="auto"/>
        <w:ind w:firstLine="720"/>
        <w:jc w:val="both"/>
        <w:rPr>
          <w:lang w:val="en-GB"/>
        </w:rPr>
      </w:pPr>
      <w:r w:rsidRPr="00E63E1C">
        <w:rPr>
          <w:lang w:val="en-GB"/>
        </w:rPr>
        <w:t xml:space="preserve">We </w:t>
      </w:r>
      <w:r w:rsidR="005156AA" w:rsidRPr="00E63E1C">
        <w:rPr>
          <w:lang w:val="en-GB"/>
        </w:rPr>
        <w:t>also</w:t>
      </w:r>
      <w:r w:rsidRPr="00E63E1C">
        <w:rPr>
          <w:lang w:val="en-GB"/>
        </w:rPr>
        <w:t xml:space="preserve"> evaluate </w:t>
      </w:r>
      <w:r w:rsidR="005156AA" w:rsidRPr="00E63E1C">
        <w:rPr>
          <w:lang w:val="en-GB"/>
        </w:rPr>
        <w:t xml:space="preserve">the </w:t>
      </w:r>
      <w:r w:rsidRPr="00E63E1C">
        <w:rPr>
          <w:lang w:val="en-GB"/>
        </w:rPr>
        <w:t xml:space="preserve">possible contribution of </w:t>
      </w:r>
      <w:r w:rsidR="00E23B27" w:rsidRPr="00E63E1C">
        <w:rPr>
          <w:lang w:val="en-GB"/>
        </w:rPr>
        <w:t>living plankton</w:t>
      </w:r>
      <w:r w:rsidR="005156AA" w:rsidRPr="00E63E1C">
        <w:rPr>
          <w:lang w:val="en-GB"/>
        </w:rPr>
        <w:t>ic</w:t>
      </w:r>
      <w:r w:rsidR="00E23B27" w:rsidRPr="00E63E1C">
        <w:rPr>
          <w:lang w:val="en-GB"/>
        </w:rPr>
        <w:t xml:space="preserve"> lipids to total </w:t>
      </w:r>
      <w:r w:rsidRPr="00E63E1C">
        <w:rPr>
          <w:lang w:val="en-GB"/>
        </w:rPr>
        <w:t>measured lipids</w:t>
      </w:r>
      <w:r w:rsidR="00BE144E" w:rsidRPr="00E63E1C">
        <w:rPr>
          <w:lang w:val="en-GB"/>
        </w:rPr>
        <w:t xml:space="preserve"> in the </w:t>
      </w:r>
      <w:r w:rsidR="00385A9F" w:rsidRPr="00E63E1C">
        <w:rPr>
          <w:lang w:val="en-GB"/>
        </w:rPr>
        <w:t>e</w:t>
      </w:r>
      <w:r w:rsidR="00BE144E" w:rsidRPr="00E63E1C">
        <w:rPr>
          <w:lang w:val="en-GB"/>
        </w:rPr>
        <w:t>pipelagic</w:t>
      </w:r>
      <w:r w:rsidR="00385A9F" w:rsidRPr="00E63E1C">
        <w:rPr>
          <w:lang w:val="en-GB"/>
        </w:rPr>
        <w:t xml:space="preserve"> zone</w:t>
      </w:r>
      <w:r w:rsidR="00E23B27" w:rsidRPr="00E63E1C">
        <w:rPr>
          <w:lang w:val="en-GB"/>
        </w:rPr>
        <w:t xml:space="preserve">. To do this we </w:t>
      </w:r>
      <w:r w:rsidR="00E23B27" w:rsidRPr="00E30162">
        <w:rPr>
          <w:lang w:val="en-GB"/>
        </w:rPr>
        <w:t xml:space="preserve">have converted Chl </w:t>
      </w:r>
      <w:r w:rsidR="00E23B27" w:rsidRPr="00E30162">
        <w:rPr>
          <w:i/>
          <w:iCs/>
          <w:lang w:val="en-GB"/>
        </w:rPr>
        <w:t>a</w:t>
      </w:r>
      <w:r w:rsidR="00E23B27" w:rsidRPr="00E30162">
        <w:rPr>
          <w:lang w:val="en-GB"/>
        </w:rPr>
        <w:t xml:space="preserve"> to phytoplankton carbon by using conversion formulae: </w:t>
      </w:r>
    </w:p>
    <w:p w:rsidR="005156AA" w:rsidRPr="00E30162" w:rsidRDefault="00E23B27" w:rsidP="00CD12B2">
      <w:pPr>
        <w:spacing w:after="120" w:line="360" w:lineRule="auto"/>
        <w:ind w:firstLine="720"/>
        <w:jc w:val="both"/>
        <w:rPr>
          <w:lang w:val="en-GB"/>
        </w:rPr>
      </w:pPr>
      <w:r w:rsidRPr="00E30162">
        <w:rPr>
          <w:lang w:val="en-GB"/>
        </w:rPr>
        <w:t>C</w:t>
      </w:r>
      <w:r w:rsidR="002951D9" w:rsidRPr="00E30162">
        <w:rPr>
          <w:vertAlign w:val="subscript"/>
          <w:lang w:val="en-GB"/>
        </w:rPr>
        <w:t>phy</w:t>
      </w:r>
      <w:r w:rsidRPr="00E30162">
        <w:rPr>
          <w:vertAlign w:val="subscript"/>
          <w:lang w:val="en-GB"/>
        </w:rPr>
        <w:t>to</w:t>
      </w:r>
      <w:r w:rsidR="00562128" w:rsidRPr="00E30162">
        <w:rPr>
          <w:vertAlign w:val="subscript"/>
          <w:lang w:val="en-GB"/>
        </w:rPr>
        <w:t xml:space="preserve"> </w:t>
      </w:r>
      <w:r w:rsidR="00562128" w:rsidRPr="00E30162">
        <w:rPr>
          <w:bCs/>
          <w:lang w:val="en-GB"/>
        </w:rPr>
        <w:t>(</w:t>
      </w:r>
      <w:r w:rsidR="00562128" w:rsidRPr="00E30162">
        <w:rPr>
          <w:lang w:val="en-GB"/>
        </w:rPr>
        <w:sym w:font="Symbol" w:char="F06D"/>
      </w:r>
      <w:r w:rsidR="00562128" w:rsidRPr="00E30162">
        <w:rPr>
          <w:lang w:val="en-GB"/>
        </w:rPr>
        <w:t>gC l</w:t>
      </w:r>
      <w:r w:rsidR="00562128" w:rsidRPr="00E30162">
        <w:rPr>
          <w:vertAlign w:val="superscript"/>
          <w:lang w:val="en-GB"/>
        </w:rPr>
        <w:t>-1</w:t>
      </w:r>
      <w:r w:rsidR="00562128" w:rsidRPr="00E30162">
        <w:rPr>
          <w:lang w:val="en-GB"/>
        </w:rPr>
        <w:t xml:space="preserve">) </w:t>
      </w:r>
      <w:r w:rsidRPr="00E30162">
        <w:rPr>
          <w:lang w:val="en-GB"/>
        </w:rPr>
        <w:t>=</w:t>
      </w:r>
      <w:r w:rsidR="00562128" w:rsidRPr="00E30162">
        <w:rPr>
          <w:lang w:val="en-GB"/>
        </w:rPr>
        <w:t xml:space="preserve"> </w:t>
      </w:r>
      <w:r w:rsidRPr="00E30162">
        <w:rPr>
          <w:lang w:val="en-GB"/>
        </w:rPr>
        <w:t>33.7</w:t>
      </w:r>
      <w:r w:rsidR="002951D9" w:rsidRPr="00E30162">
        <w:rPr>
          <w:lang w:val="en-GB"/>
        </w:rPr>
        <w:t>*</w:t>
      </w:r>
      <w:r w:rsidRPr="00E30162">
        <w:rPr>
          <w:lang w:val="en-GB"/>
        </w:rPr>
        <w:t xml:space="preserve">Chl </w:t>
      </w:r>
      <w:r w:rsidRPr="00E30162">
        <w:rPr>
          <w:i/>
          <w:lang w:val="en-GB"/>
        </w:rPr>
        <w:t>a</w:t>
      </w:r>
      <w:r w:rsidRPr="00E30162">
        <w:rPr>
          <w:lang w:val="en-GB"/>
        </w:rPr>
        <w:t xml:space="preserve"> </w:t>
      </w:r>
      <w:r w:rsidR="00562128" w:rsidRPr="00E30162">
        <w:rPr>
          <w:bCs/>
          <w:lang w:val="en-GB"/>
        </w:rPr>
        <w:t>(</w:t>
      </w:r>
      <w:r w:rsidR="00562128" w:rsidRPr="00E30162">
        <w:rPr>
          <w:lang w:val="en-GB"/>
        </w:rPr>
        <w:sym w:font="Symbol" w:char="F06D"/>
      </w:r>
      <w:r w:rsidR="00562128" w:rsidRPr="00E30162">
        <w:rPr>
          <w:lang w:val="en-GB"/>
        </w:rPr>
        <w:t>gC l</w:t>
      </w:r>
      <w:r w:rsidR="00562128" w:rsidRPr="00E30162">
        <w:rPr>
          <w:vertAlign w:val="superscript"/>
          <w:lang w:val="en-GB"/>
        </w:rPr>
        <w:t>-1</w:t>
      </w:r>
      <w:r w:rsidR="00562128" w:rsidRPr="00E30162">
        <w:rPr>
          <w:lang w:val="en-GB"/>
        </w:rPr>
        <w:t xml:space="preserve">) </w:t>
      </w:r>
      <w:r w:rsidRPr="00E30162">
        <w:rPr>
          <w:lang w:val="en-GB"/>
        </w:rPr>
        <w:t>+</w:t>
      </w:r>
      <w:r w:rsidR="005156AA" w:rsidRPr="00E30162">
        <w:rPr>
          <w:lang w:val="en-GB"/>
        </w:rPr>
        <w:t xml:space="preserve"> </w:t>
      </w:r>
      <w:r w:rsidRPr="00E30162">
        <w:rPr>
          <w:lang w:val="en-GB"/>
        </w:rPr>
        <w:t>9.8 (Graff et al., 2015)</w:t>
      </w:r>
    </w:p>
    <w:p w:rsidR="00193F56" w:rsidRPr="00E63E1C" w:rsidRDefault="00950BF7" w:rsidP="00CD12B2">
      <w:pPr>
        <w:spacing w:after="120" w:line="360" w:lineRule="auto"/>
        <w:jc w:val="both"/>
        <w:rPr>
          <w:lang w:val="en-GB"/>
        </w:rPr>
      </w:pPr>
      <w:r w:rsidRPr="00E30162">
        <w:rPr>
          <w:lang w:val="en-GB"/>
        </w:rPr>
        <w:t>A</w:t>
      </w:r>
      <w:r w:rsidR="00E10830" w:rsidRPr="00E30162">
        <w:rPr>
          <w:lang w:val="en-GB"/>
        </w:rPr>
        <w:t>verage marine plankton contain roughly 19% lipid</w:t>
      </w:r>
      <w:r w:rsidR="0089787F" w:rsidRPr="00E30162">
        <w:rPr>
          <w:lang w:val="en-GB"/>
        </w:rPr>
        <w:t>s</w:t>
      </w:r>
      <w:r w:rsidR="00E10830" w:rsidRPr="00E30162">
        <w:rPr>
          <w:lang w:val="en-GB"/>
        </w:rPr>
        <w:t xml:space="preserve"> (</w:t>
      </w:r>
      <w:r w:rsidR="00B92E9B" w:rsidRPr="00E30162">
        <w:rPr>
          <w:lang w:val="en-GB"/>
        </w:rPr>
        <w:t>Emerson and Hedges, 2008</w:t>
      </w:r>
      <w:r w:rsidR="00E10830" w:rsidRPr="00E30162">
        <w:rPr>
          <w:lang w:val="en-GB"/>
        </w:rPr>
        <w:t>).</w:t>
      </w:r>
      <w:r w:rsidR="00E23B27" w:rsidRPr="00E30162">
        <w:rPr>
          <w:lang w:val="en-GB"/>
        </w:rPr>
        <w:t xml:space="preserve"> </w:t>
      </w:r>
      <w:r w:rsidR="001213E3" w:rsidRPr="00E30162">
        <w:rPr>
          <w:lang w:val="en-GB"/>
        </w:rPr>
        <w:t>Using calculation</w:t>
      </w:r>
      <w:r w:rsidR="0089787F" w:rsidRPr="00E30162">
        <w:rPr>
          <w:lang w:val="en-GB"/>
        </w:rPr>
        <w:t>s</w:t>
      </w:r>
      <w:r w:rsidR="001213E3" w:rsidRPr="00E30162">
        <w:rPr>
          <w:lang w:val="en-GB"/>
        </w:rPr>
        <w:t xml:space="preserve"> of Marić et al. (2013)</w:t>
      </w:r>
      <w:r w:rsidR="00BE144E" w:rsidRPr="00E30162">
        <w:rPr>
          <w:lang w:val="en-GB"/>
        </w:rPr>
        <w:t xml:space="preserve"> we recalculated </w:t>
      </w:r>
      <w:r w:rsidR="00386183" w:rsidRPr="00E30162">
        <w:rPr>
          <w:lang w:val="en-GB"/>
        </w:rPr>
        <w:t xml:space="preserve">the </w:t>
      </w:r>
      <w:r w:rsidR="00BE144E" w:rsidRPr="00E30162">
        <w:rPr>
          <w:lang w:val="en-GB"/>
        </w:rPr>
        <w:t xml:space="preserve">quantity of </w:t>
      </w:r>
      <w:r w:rsidR="0088751A" w:rsidRPr="00E30162">
        <w:rPr>
          <w:lang w:val="en-GB"/>
        </w:rPr>
        <w:t>Iatroscan</w:t>
      </w:r>
      <w:r w:rsidR="00386183" w:rsidRPr="00E30162">
        <w:rPr>
          <w:lang w:val="en-GB"/>
        </w:rPr>
        <w:t>-</w:t>
      </w:r>
      <w:r w:rsidR="0088751A" w:rsidRPr="00E30162">
        <w:rPr>
          <w:lang w:val="en-GB"/>
        </w:rPr>
        <w:t xml:space="preserve">detected </w:t>
      </w:r>
      <w:r w:rsidR="00A91D79" w:rsidRPr="00E30162">
        <w:rPr>
          <w:lang w:val="en-GB"/>
        </w:rPr>
        <w:t>lipids from</w:t>
      </w:r>
      <w:r w:rsidR="00BE144E" w:rsidRPr="00E30162">
        <w:rPr>
          <w:lang w:val="en-GB"/>
        </w:rPr>
        <w:t xml:space="preserve"> phytoplankton, as</w:t>
      </w:r>
      <w:r w:rsidR="00BE144E" w:rsidRPr="00E63E1C">
        <w:rPr>
          <w:lang w:val="en-GB"/>
        </w:rPr>
        <w:t xml:space="preserve"> a main lipid producer </w:t>
      </w:r>
      <w:r w:rsidR="00386183">
        <w:rPr>
          <w:lang w:val="en-GB"/>
        </w:rPr>
        <w:t>in the</w:t>
      </w:r>
      <w:r w:rsidR="00386183" w:rsidRPr="00E63E1C">
        <w:rPr>
          <w:lang w:val="en-GB"/>
        </w:rPr>
        <w:t xml:space="preserve"> </w:t>
      </w:r>
      <w:r w:rsidR="00385A9F" w:rsidRPr="00E63E1C">
        <w:rPr>
          <w:lang w:val="en-GB"/>
        </w:rPr>
        <w:t>e</w:t>
      </w:r>
      <w:r w:rsidR="00BE144E" w:rsidRPr="00E63E1C">
        <w:rPr>
          <w:lang w:val="en-GB"/>
        </w:rPr>
        <w:t>pipelagic</w:t>
      </w:r>
      <w:r w:rsidR="00385A9F" w:rsidRPr="00E63E1C">
        <w:rPr>
          <w:lang w:val="en-GB"/>
        </w:rPr>
        <w:t xml:space="preserve"> layer</w:t>
      </w:r>
      <w:r w:rsidR="00BE144E" w:rsidRPr="00E63E1C">
        <w:rPr>
          <w:lang w:val="en-GB"/>
        </w:rPr>
        <w:t xml:space="preserve">: </w:t>
      </w:r>
    </w:p>
    <w:p w:rsidR="00193F56" w:rsidRPr="00E63E1C" w:rsidRDefault="00193F56" w:rsidP="00CD12B2">
      <w:pPr>
        <w:spacing w:after="120" w:line="360" w:lineRule="auto"/>
        <w:jc w:val="both"/>
        <w:rPr>
          <w:lang w:val="en-GB"/>
        </w:rPr>
      </w:pPr>
      <w:r w:rsidRPr="00E63E1C">
        <w:rPr>
          <w:lang w:val="en-GB"/>
        </w:rPr>
        <w:tab/>
      </w:r>
      <w:r w:rsidR="00562128" w:rsidRPr="00E63E1C">
        <w:rPr>
          <w:lang w:val="en-GB"/>
        </w:rPr>
        <w:t>Lipid</w:t>
      </w:r>
      <w:r w:rsidR="00BE144E" w:rsidRPr="00E63E1C">
        <w:rPr>
          <w:vertAlign w:val="subscript"/>
          <w:lang w:val="en-GB"/>
        </w:rPr>
        <w:t>phyto</w:t>
      </w:r>
      <w:r w:rsidR="00BE144E" w:rsidRPr="00E63E1C">
        <w:rPr>
          <w:bCs/>
          <w:lang w:val="en-GB"/>
        </w:rPr>
        <w:t xml:space="preserve"> (</w:t>
      </w:r>
      <w:r w:rsidR="00BE144E" w:rsidRPr="00E63E1C">
        <w:rPr>
          <w:lang w:val="en-GB"/>
        </w:rPr>
        <w:sym w:font="Symbol" w:char="F06D"/>
      </w:r>
      <w:r w:rsidR="00BE144E" w:rsidRPr="00E63E1C">
        <w:rPr>
          <w:lang w:val="en-GB"/>
        </w:rPr>
        <w:t>gC l</w:t>
      </w:r>
      <w:r w:rsidR="00BE144E" w:rsidRPr="00E63E1C">
        <w:rPr>
          <w:vertAlign w:val="superscript"/>
          <w:lang w:val="en-GB"/>
        </w:rPr>
        <w:t>-1</w:t>
      </w:r>
      <w:r w:rsidR="00BE144E" w:rsidRPr="00E63E1C">
        <w:rPr>
          <w:lang w:val="en-GB"/>
        </w:rPr>
        <w:t>) = C</w:t>
      </w:r>
      <w:r w:rsidR="00BE144E" w:rsidRPr="00E63E1C">
        <w:rPr>
          <w:vertAlign w:val="subscript"/>
          <w:lang w:val="en-GB"/>
        </w:rPr>
        <w:t>phyto</w:t>
      </w:r>
      <w:r w:rsidR="00BE144E" w:rsidRPr="00E63E1C">
        <w:rPr>
          <w:lang w:val="en-GB"/>
        </w:rPr>
        <w:t xml:space="preserve"> (</w:t>
      </w:r>
      <w:r w:rsidR="00BE144E" w:rsidRPr="00E63E1C">
        <w:rPr>
          <w:lang w:val="en-GB"/>
        </w:rPr>
        <w:sym w:font="Symbol" w:char="F06D"/>
      </w:r>
      <w:r w:rsidR="00BE144E" w:rsidRPr="00E63E1C">
        <w:rPr>
          <w:lang w:val="en-GB"/>
        </w:rPr>
        <w:t>gC l</w:t>
      </w:r>
      <w:r w:rsidR="00BE144E" w:rsidRPr="00E63E1C">
        <w:rPr>
          <w:vertAlign w:val="superscript"/>
          <w:lang w:val="en-GB"/>
        </w:rPr>
        <w:t>-1</w:t>
      </w:r>
      <w:r w:rsidR="00BE144E" w:rsidRPr="00E63E1C">
        <w:rPr>
          <w:lang w:val="en-GB"/>
        </w:rPr>
        <w:t>) × 0.19</w:t>
      </w:r>
      <w:r w:rsidR="00562128" w:rsidRPr="00E63E1C">
        <w:rPr>
          <w:lang w:val="en-GB"/>
        </w:rPr>
        <w:t xml:space="preserve">, </w:t>
      </w:r>
    </w:p>
    <w:p w:rsidR="00193F56" w:rsidRPr="00E63E1C" w:rsidRDefault="002951D9" w:rsidP="00CD12B2">
      <w:pPr>
        <w:spacing w:after="120" w:line="360" w:lineRule="auto"/>
        <w:jc w:val="both"/>
        <w:rPr>
          <w:lang w:val="en-GB"/>
        </w:rPr>
      </w:pPr>
      <w:r w:rsidRPr="00E63E1C">
        <w:rPr>
          <w:lang w:val="en-GB"/>
        </w:rPr>
        <w:t xml:space="preserve">and </w:t>
      </w:r>
    </w:p>
    <w:p w:rsidR="005156AA" w:rsidRPr="00E63E1C" w:rsidRDefault="00562128" w:rsidP="00193F56">
      <w:pPr>
        <w:spacing w:after="120" w:line="360" w:lineRule="auto"/>
        <w:ind w:firstLine="708"/>
        <w:jc w:val="both"/>
        <w:rPr>
          <w:lang w:val="en-GB"/>
        </w:rPr>
      </w:pPr>
      <w:r w:rsidRPr="00E63E1C">
        <w:rPr>
          <w:lang w:val="en-GB"/>
        </w:rPr>
        <w:t>Lipid</w:t>
      </w:r>
      <w:r w:rsidR="002951D9" w:rsidRPr="00E63E1C">
        <w:rPr>
          <w:vertAlign w:val="subscript"/>
          <w:lang w:val="en-GB"/>
        </w:rPr>
        <w:t>phyto</w:t>
      </w:r>
      <w:r w:rsidR="002951D9" w:rsidRPr="00E63E1C">
        <w:rPr>
          <w:bCs/>
          <w:lang w:val="en-GB"/>
        </w:rPr>
        <w:t xml:space="preserve"> (%) = </w:t>
      </w:r>
      <w:r w:rsidRPr="00E63E1C">
        <w:rPr>
          <w:bCs/>
          <w:lang w:val="en-GB"/>
        </w:rPr>
        <w:t>(</w:t>
      </w:r>
      <w:r w:rsidRPr="00E63E1C">
        <w:rPr>
          <w:lang w:val="en-GB"/>
        </w:rPr>
        <w:t>Lipid</w:t>
      </w:r>
      <w:r w:rsidR="002951D9" w:rsidRPr="00E63E1C">
        <w:rPr>
          <w:vertAlign w:val="subscript"/>
          <w:lang w:val="en-GB"/>
        </w:rPr>
        <w:t>phyto</w:t>
      </w:r>
      <w:r w:rsidR="002951D9" w:rsidRPr="00E63E1C">
        <w:rPr>
          <w:bCs/>
          <w:lang w:val="en-GB"/>
        </w:rPr>
        <w:t xml:space="preserve"> (</w:t>
      </w:r>
      <w:r w:rsidR="002951D9" w:rsidRPr="00E63E1C">
        <w:rPr>
          <w:lang w:val="en-GB"/>
        </w:rPr>
        <w:sym w:font="Symbol" w:char="F06D"/>
      </w:r>
      <w:r w:rsidR="002951D9" w:rsidRPr="00E63E1C">
        <w:rPr>
          <w:lang w:val="en-GB"/>
        </w:rPr>
        <w:t>gC l</w:t>
      </w:r>
      <w:r w:rsidR="002951D9" w:rsidRPr="00E63E1C">
        <w:rPr>
          <w:vertAlign w:val="superscript"/>
          <w:lang w:val="en-GB"/>
        </w:rPr>
        <w:t>-1</w:t>
      </w:r>
      <w:r w:rsidR="002951D9" w:rsidRPr="00E63E1C">
        <w:rPr>
          <w:lang w:val="en-GB"/>
        </w:rPr>
        <w:t>)</w:t>
      </w:r>
      <w:r w:rsidR="00B63D25" w:rsidRPr="00E63E1C">
        <w:rPr>
          <w:lang w:val="en-GB"/>
        </w:rPr>
        <w:t xml:space="preserve"> x </w:t>
      </w:r>
      <w:r w:rsidR="002951D9" w:rsidRPr="00E63E1C">
        <w:rPr>
          <w:lang w:val="en-GB"/>
        </w:rPr>
        <w:t>100</w:t>
      </w:r>
      <w:r w:rsidRPr="00E63E1C">
        <w:rPr>
          <w:lang w:val="en-GB"/>
        </w:rPr>
        <w:t>)</w:t>
      </w:r>
      <w:r w:rsidR="002951D9" w:rsidRPr="00E63E1C">
        <w:rPr>
          <w:lang w:val="en-GB"/>
        </w:rPr>
        <w:t>/C</w:t>
      </w:r>
      <w:r w:rsidR="002951D9" w:rsidRPr="00E63E1C">
        <w:rPr>
          <w:vertAlign w:val="subscript"/>
          <w:lang w:val="en-GB"/>
        </w:rPr>
        <w:t>total lipid</w:t>
      </w:r>
      <w:r w:rsidRPr="00E63E1C">
        <w:rPr>
          <w:vertAlign w:val="subscript"/>
          <w:lang w:val="en-GB"/>
        </w:rPr>
        <w:t xml:space="preserve"> </w:t>
      </w:r>
      <w:r w:rsidRPr="00E63E1C">
        <w:rPr>
          <w:bCs/>
          <w:lang w:val="en-GB"/>
        </w:rPr>
        <w:t>(</w:t>
      </w:r>
      <w:r w:rsidRPr="00E63E1C">
        <w:rPr>
          <w:lang w:val="en-GB"/>
        </w:rPr>
        <w:sym w:font="Symbol" w:char="F06D"/>
      </w:r>
      <w:r w:rsidRPr="00E63E1C">
        <w:rPr>
          <w:lang w:val="en-GB"/>
        </w:rPr>
        <w:t>gC l</w:t>
      </w:r>
      <w:r w:rsidRPr="00E63E1C">
        <w:rPr>
          <w:vertAlign w:val="superscript"/>
          <w:lang w:val="en-GB"/>
        </w:rPr>
        <w:t>-1</w:t>
      </w:r>
      <w:r w:rsidRPr="00E63E1C">
        <w:rPr>
          <w:lang w:val="en-GB"/>
        </w:rPr>
        <w:t>)</w:t>
      </w:r>
      <w:r w:rsidR="002951D9" w:rsidRPr="00E63E1C">
        <w:rPr>
          <w:lang w:val="en-GB"/>
        </w:rPr>
        <w:t xml:space="preserve">. </w:t>
      </w:r>
    </w:p>
    <w:p w:rsidR="00BE144E" w:rsidRPr="00E63E1C" w:rsidRDefault="00B63D25" w:rsidP="00385A9F">
      <w:pPr>
        <w:spacing w:after="120" w:line="360" w:lineRule="auto"/>
        <w:ind w:firstLine="708"/>
        <w:jc w:val="both"/>
        <w:rPr>
          <w:lang w:val="en-GB"/>
        </w:rPr>
      </w:pPr>
      <w:r w:rsidRPr="00E63E1C">
        <w:rPr>
          <w:lang w:val="en-GB"/>
        </w:rPr>
        <w:t xml:space="preserve">We </w:t>
      </w:r>
      <w:r w:rsidR="00A91D79" w:rsidRPr="00E63E1C">
        <w:rPr>
          <w:lang w:val="en-GB"/>
        </w:rPr>
        <w:t xml:space="preserve">estimated </w:t>
      </w:r>
      <w:r w:rsidRPr="00E63E1C">
        <w:rPr>
          <w:lang w:val="en-GB"/>
        </w:rPr>
        <w:t xml:space="preserve">that on average </w:t>
      </w:r>
      <w:r w:rsidR="00CA6161" w:rsidRPr="00E63E1C">
        <w:rPr>
          <w:lang w:val="en-GB"/>
        </w:rPr>
        <w:t>66</w:t>
      </w:r>
      <w:r w:rsidRPr="00E63E1C">
        <w:rPr>
          <w:lang w:val="en-GB"/>
        </w:rPr>
        <w:t xml:space="preserve">% of measured lipids in </w:t>
      </w:r>
      <w:r w:rsidR="005156AA" w:rsidRPr="00E63E1C">
        <w:rPr>
          <w:lang w:val="en-GB"/>
        </w:rPr>
        <w:t xml:space="preserve">the </w:t>
      </w:r>
      <w:r w:rsidR="006A11D5" w:rsidRPr="00E63E1C">
        <w:rPr>
          <w:lang w:val="en-GB"/>
        </w:rPr>
        <w:t>e</w:t>
      </w:r>
      <w:r w:rsidRPr="00E63E1C">
        <w:rPr>
          <w:lang w:val="en-GB"/>
        </w:rPr>
        <w:t>pipelagic originate</w:t>
      </w:r>
      <w:r w:rsidR="00754C23" w:rsidRPr="00E63E1C">
        <w:rPr>
          <w:lang w:val="en-GB"/>
        </w:rPr>
        <w:t>d</w:t>
      </w:r>
      <w:r w:rsidRPr="00E63E1C">
        <w:rPr>
          <w:lang w:val="en-GB"/>
        </w:rPr>
        <w:t xml:space="preserve"> from living phytoplankton.</w:t>
      </w:r>
      <w:r w:rsidR="00342498" w:rsidRPr="00E63E1C">
        <w:rPr>
          <w:lang w:val="en-GB"/>
        </w:rPr>
        <w:t xml:space="preserve"> </w:t>
      </w:r>
      <w:r w:rsidR="006A11D5" w:rsidRPr="00E63E1C">
        <w:rPr>
          <w:lang w:val="en-GB"/>
        </w:rPr>
        <w:t>This suggests</w:t>
      </w:r>
      <w:r w:rsidR="00342498" w:rsidRPr="00E63E1C">
        <w:rPr>
          <w:lang w:val="en-GB"/>
        </w:rPr>
        <w:t xml:space="preserve"> that </w:t>
      </w:r>
      <w:r w:rsidR="00386183">
        <w:rPr>
          <w:lang w:val="en-GB"/>
        </w:rPr>
        <w:t xml:space="preserve">a </w:t>
      </w:r>
      <w:r w:rsidR="00342498" w:rsidRPr="00E63E1C">
        <w:rPr>
          <w:lang w:val="en-GB"/>
        </w:rPr>
        <w:t xml:space="preserve">large portion of </w:t>
      </w:r>
      <w:r w:rsidR="00386183">
        <w:rPr>
          <w:lang w:val="en-GB"/>
        </w:rPr>
        <w:t xml:space="preserve">the </w:t>
      </w:r>
      <w:r w:rsidR="006A11D5" w:rsidRPr="00E63E1C">
        <w:rPr>
          <w:lang w:val="en-GB"/>
        </w:rPr>
        <w:t>e</w:t>
      </w:r>
      <w:r w:rsidR="00342498" w:rsidRPr="00E63E1C">
        <w:rPr>
          <w:lang w:val="en-GB"/>
        </w:rPr>
        <w:t xml:space="preserve">pipelagic lipids </w:t>
      </w:r>
      <w:r w:rsidR="00950BF7">
        <w:rPr>
          <w:lang w:val="en-GB"/>
        </w:rPr>
        <w:t>are</w:t>
      </w:r>
      <w:r w:rsidR="00950BF7" w:rsidRPr="00E63E1C">
        <w:rPr>
          <w:lang w:val="en-GB"/>
        </w:rPr>
        <w:t xml:space="preserve"> </w:t>
      </w:r>
      <w:r w:rsidR="006F0321" w:rsidRPr="00E63E1C">
        <w:rPr>
          <w:lang w:val="en-GB"/>
        </w:rPr>
        <w:t>in</w:t>
      </w:r>
      <w:r w:rsidR="00342498" w:rsidRPr="00E63E1C">
        <w:rPr>
          <w:lang w:val="en-GB"/>
        </w:rPr>
        <w:t xml:space="preserve"> non-living organic</w:t>
      </w:r>
      <w:r w:rsidR="005156AA" w:rsidRPr="00E63E1C">
        <w:rPr>
          <w:lang w:val="en-GB"/>
        </w:rPr>
        <w:t xml:space="preserve"> mat</w:t>
      </w:r>
      <w:r w:rsidR="000F2BC8" w:rsidRPr="00E63E1C">
        <w:rPr>
          <w:lang w:val="en-GB"/>
        </w:rPr>
        <w:t>ter</w:t>
      </w:r>
      <w:r w:rsidR="00342498" w:rsidRPr="00E63E1C">
        <w:rPr>
          <w:lang w:val="en-GB"/>
        </w:rPr>
        <w:t>.</w:t>
      </w:r>
      <w:r w:rsidR="00DE004F" w:rsidRPr="00E63E1C">
        <w:rPr>
          <w:lang w:val="en-GB"/>
        </w:rPr>
        <w:t xml:space="preserve"> </w:t>
      </w:r>
    </w:p>
    <w:p w:rsidR="00D956EE" w:rsidRPr="00E63E1C" w:rsidRDefault="000B0D60" w:rsidP="00A81994">
      <w:pPr>
        <w:spacing w:after="120" w:line="360" w:lineRule="auto"/>
        <w:ind w:firstLine="720"/>
        <w:jc w:val="both"/>
        <w:rPr>
          <w:lang w:val="en-GB"/>
        </w:rPr>
      </w:pPr>
      <w:r w:rsidRPr="00E63E1C">
        <w:rPr>
          <w:lang w:val="en-GB"/>
        </w:rPr>
        <w:t>Depth</w:t>
      </w:r>
      <w:r w:rsidR="0049051E">
        <w:rPr>
          <w:lang w:val="en-GB"/>
        </w:rPr>
        <w:t>-</w:t>
      </w:r>
      <w:r w:rsidRPr="00E63E1C">
        <w:rPr>
          <w:lang w:val="en-GB"/>
        </w:rPr>
        <w:t xml:space="preserve">related total lipid </w:t>
      </w:r>
      <w:r w:rsidR="00386183">
        <w:rPr>
          <w:lang w:val="en-GB"/>
        </w:rPr>
        <w:t>concentration</w:t>
      </w:r>
      <w:r w:rsidR="00386183" w:rsidRPr="00E63E1C">
        <w:rPr>
          <w:lang w:val="en-GB"/>
        </w:rPr>
        <w:t xml:space="preserve"> </w:t>
      </w:r>
      <w:r w:rsidRPr="00E63E1C">
        <w:rPr>
          <w:lang w:val="en-GB"/>
        </w:rPr>
        <w:t>follow</w:t>
      </w:r>
      <w:r w:rsidR="0049051E">
        <w:rPr>
          <w:lang w:val="en-GB"/>
        </w:rPr>
        <w:t>s</w:t>
      </w:r>
      <w:r w:rsidRPr="00E63E1C">
        <w:rPr>
          <w:lang w:val="en-GB"/>
        </w:rPr>
        <w:t xml:space="preserve"> the </w:t>
      </w:r>
      <w:r w:rsidR="00D20901" w:rsidRPr="00E63E1C">
        <w:rPr>
          <w:lang w:val="en-GB"/>
        </w:rPr>
        <w:t>well-known</w:t>
      </w:r>
      <w:r w:rsidRPr="00E63E1C">
        <w:rPr>
          <w:lang w:val="en-GB"/>
        </w:rPr>
        <w:t xml:space="preserve"> plankton distribution, being the highest at the surface productive layer and decreasing with depth</w:t>
      </w:r>
      <w:r w:rsidR="0049051E">
        <w:rPr>
          <w:lang w:val="en-GB"/>
        </w:rPr>
        <w:t xml:space="preserve">, which shows </w:t>
      </w:r>
      <w:r w:rsidRPr="00E63E1C">
        <w:rPr>
          <w:lang w:val="en-GB"/>
        </w:rPr>
        <w:t xml:space="preserve">major production at surface and </w:t>
      </w:r>
      <w:r w:rsidR="0049051E">
        <w:rPr>
          <w:lang w:val="en-GB"/>
        </w:rPr>
        <w:t xml:space="preserve">a </w:t>
      </w:r>
      <w:r w:rsidRPr="00E63E1C">
        <w:rPr>
          <w:lang w:val="en-GB"/>
        </w:rPr>
        <w:t xml:space="preserve">decrease both as a consequence of decreased contribution of living </w:t>
      </w:r>
      <w:r w:rsidRPr="00E63E1C">
        <w:rPr>
          <w:lang w:val="en-GB"/>
        </w:rPr>
        <w:lastRenderedPageBreak/>
        <w:t xml:space="preserve">plankton with depth together with lipid </w:t>
      </w:r>
      <w:r w:rsidR="00D20901" w:rsidRPr="00E63E1C">
        <w:rPr>
          <w:lang w:val="en-GB"/>
        </w:rPr>
        <w:t>transformation</w:t>
      </w:r>
      <w:r w:rsidRPr="00E63E1C">
        <w:rPr>
          <w:lang w:val="en-GB"/>
        </w:rPr>
        <w:t xml:space="preserve"> and degradation processes</w:t>
      </w:r>
      <w:r w:rsidR="0049051E">
        <w:rPr>
          <w:lang w:val="en-GB"/>
        </w:rPr>
        <w:t xml:space="preserve"> as depth increases</w:t>
      </w:r>
      <w:r w:rsidRPr="00E63E1C">
        <w:rPr>
          <w:lang w:val="en-GB"/>
        </w:rPr>
        <w:t xml:space="preserve">. </w:t>
      </w:r>
      <w:r w:rsidR="00E75ACD" w:rsidRPr="00E63E1C">
        <w:rPr>
          <w:lang w:val="en-GB"/>
        </w:rPr>
        <w:t>However</w:t>
      </w:r>
      <w:r w:rsidR="00A81994" w:rsidRPr="00E63E1C">
        <w:rPr>
          <w:lang w:val="en-GB"/>
        </w:rPr>
        <w:t xml:space="preserve">, increased </w:t>
      </w:r>
      <w:r w:rsidR="00A25563" w:rsidRPr="00E63E1C">
        <w:rPr>
          <w:lang w:val="en-GB"/>
        </w:rPr>
        <w:t>contribution of total lipids to POC between epipelagic and bathypelagic zones indicates</w:t>
      </w:r>
      <w:r w:rsidR="00A81994" w:rsidRPr="00E63E1C">
        <w:rPr>
          <w:lang w:val="en-GB"/>
        </w:rPr>
        <w:t xml:space="preserve"> depth related total lipid selective preservation. </w:t>
      </w:r>
      <w:r w:rsidR="0049051E">
        <w:rPr>
          <w:lang w:val="en-GB"/>
        </w:rPr>
        <w:t>The</w:t>
      </w:r>
      <w:r w:rsidR="0049051E" w:rsidRPr="00E63E1C">
        <w:rPr>
          <w:lang w:val="en-GB"/>
        </w:rPr>
        <w:t xml:space="preserve"> </w:t>
      </w:r>
      <w:r w:rsidR="00634DE5" w:rsidRPr="00E63E1C">
        <w:rPr>
          <w:lang w:val="en-GB"/>
        </w:rPr>
        <w:t xml:space="preserve">depth related distribution is preserved for all </w:t>
      </w:r>
      <w:r w:rsidR="005C4147" w:rsidRPr="00E63E1C">
        <w:rPr>
          <w:lang w:val="en-GB"/>
        </w:rPr>
        <w:t>observed</w:t>
      </w:r>
      <w:r w:rsidR="00634DE5" w:rsidRPr="00E63E1C">
        <w:rPr>
          <w:lang w:val="en-GB"/>
        </w:rPr>
        <w:t xml:space="preserve"> lipids </w:t>
      </w:r>
      <w:r w:rsidR="005156AA" w:rsidRPr="00E63E1C">
        <w:rPr>
          <w:lang w:val="en-GB"/>
        </w:rPr>
        <w:t xml:space="preserve">and indicates </w:t>
      </w:r>
      <w:r w:rsidR="00634DE5" w:rsidRPr="00E63E1C">
        <w:rPr>
          <w:lang w:val="en-GB"/>
        </w:rPr>
        <w:t xml:space="preserve">major production at </w:t>
      </w:r>
      <w:r w:rsidR="00386183">
        <w:rPr>
          <w:lang w:val="en-GB"/>
        </w:rPr>
        <w:t xml:space="preserve">the </w:t>
      </w:r>
      <w:r w:rsidR="00634DE5" w:rsidRPr="00E63E1C">
        <w:rPr>
          <w:lang w:val="en-GB"/>
        </w:rPr>
        <w:t>surface (TG and oddTG) but also significant lipid alteration (indicated b</w:t>
      </w:r>
      <w:r w:rsidR="000B6942" w:rsidRPr="00E63E1C">
        <w:rPr>
          <w:lang w:val="en-GB"/>
        </w:rPr>
        <w:t>y</w:t>
      </w:r>
      <w:r w:rsidR="00634DE5" w:rsidRPr="00E63E1C">
        <w:rPr>
          <w:lang w:val="en-GB"/>
        </w:rPr>
        <w:t xml:space="preserve"> DG, MG and FFA) </w:t>
      </w:r>
      <w:r w:rsidR="00386183">
        <w:rPr>
          <w:lang w:val="en-GB"/>
        </w:rPr>
        <w:t>in</w:t>
      </w:r>
      <w:r w:rsidR="00386183" w:rsidRPr="00E63E1C">
        <w:rPr>
          <w:lang w:val="en-GB"/>
        </w:rPr>
        <w:t xml:space="preserve"> </w:t>
      </w:r>
      <w:r w:rsidR="00634DE5" w:rsidRPr="00E63E1C">
        <w:rPr>
          <w:lang w:val="en-GB"/>
        </w:rPr>
        <w:t>the surface productive layer</w:t>
      </w:r>
      <w:r w:rsidR="0049051E">
        <w:rPr>
          <w:lang w:val="en-GB"/>
        </w:rPr>
        <w:t>; an observation that illustrated</w:t>
      </w:r>
      <w:r w:rsidR="00A25563">
        <w:rPr>
          <w:lang w:val="en-GB"/>
        </w:rPr>
        <w:t xml:space="preserve"> </w:t>
      </w:r>
      <w:r w:rsidR="006237C2" w:rsidRPr="00E63E1C">
        <w:rPr>
          <w:lang w:val="en-GB"/>
        </w:rPr>
        <w:t xml:space="preserve">high lipid degradation </w:t>
      </w:r>
      <w:r w:rsidR="00386183">
        <w:rPr>
          <w:lang w:val="en-GB"/>
        </w:rPr>
        <w:t>in</w:t>
      </w:r>
      <w:r w:rsidR="00386183" w:rsidRPr="00E63E1C">
        <w:rPr>
          <w:lang w:val="en-GB"/>
        </w:rPr>
        <w:t xml:space="preserve"> </w:t>
      </w:r>
      <w:r w:rsidR="006237C2" w:rsidRPr="00E63E1C">
        <w:rPr>
          <w:lang w:val="en-GB"/>
        </w:rPr>
        <w:t xml:space="preserve">the </w:t>
      </w:r>
      <w:r w:rsidR="006C5A05" w:rsidRPr="00E63E1C">
        <w:rPr>
          <w:lang w:val="en-GB"/>
        </w:rPr>
        <w:t>e</w:t>
      </w:r>
      <w:r w:rsidR="006237C2" w:rsidRPr="00E63E1C">
        <w:rPr>
          <w:lang w:val="en-GB"/>
        </w:rPr>
        <w:t>pipelagic</w:t>
      </w:r>
      <w:r w:rsidR="006C5A05" w:rsidRPr="00E63E1C">
        <w:rPr>
          <w:lang w:val="en-GB"/>
        </w:rPr>
        <w:t xml:space="preserve"> zone</w:t>
      </w:r>
      <w:r w:rsidR="006237C2" w:rsidRPr="00E63E1C">
        <w:rPr>
          <w:lang w:val="en-GB"/>
        </w:rPr>
        <w:t>. This is also confirmed by the highest L</w:t>
      </w:r>
      <w:r w:rsidR="0089787F" w:rsidRPr="00E63E1C">
        <w:rPr>
          <w:lang w:val="en-GB"/>
        </w:rPr>
        <w:t>i</w:t>
      </w:r>
      <w:r w:rsidR="006237C2" w:rsidRPr="00E63E1C">
        <w:rPr>
          <w:lang w:val="en-GB"/>
        </w:rPr>
        <w:t>polysis index observed there</w:t>
      </w:r>
      <w:r w:rsidR="005156AA" w:rsidRPr="00E63E1C">
        <w:rPr>
          <w:lang w:val="en-GB"/>
        </w:rPr>
        <w:t xml:space="preserve"> (</w:t>
      </w:r>
      <w:r w:rsidR="00CD63AC" w:rsidRPr="00E63E1C">
        <w:rPr>
          <w:lang w:val="en-GB"/>
        </w:rPr>
        <w:t>Fig. 2</w:t>
      </w:r>
      <w:r w:rsidR="005156AA" w:rsidRPr="00E63E1C">
        <w:rPr>
          <w:lang w:val="en-GB"/>
        </w:rPr>
        <w:t>d)</w:t>
      </w:r>
      <w:r w:rsidR="00634DE5" w:rsidRPr="00E63E1C">
        <w:rPr>
          <w:lang w:val="en-GB"/>
        </w:rPr>
        <w:t>.</w:t>
      </w:r>
      <w:r w:rsidR="00D66624" w:rsidRPr="00E63E1C">
        <w:rPr>
          <w:lang w:val="en-GB"/>
        </w:rPr>
        <w:t xml:space="preserve"> </w:t>
      </w:r>
      <w:r w:rsidR="0049051E">
        <w:rPr>
          <w:lang w:val="en-GB"/>
        </w:rPr>
        <w:t>Regardless</w:t>
      </w:r>
      <w:r w:rsidR="00D956EE" w:rsidRPr="00E63E1C">
        <w:rPr>
          <w:lang w:val="en-GB"/>
        </w:rPr>
        <w:t xml:space="preserve">, the highest concentration decrease of all </w:t>
      </w:r>
      <w:r w:rsidR="000D0510" w:rsidRPr="00E63E1C">
        <w:rPr>
          <w:lang w:val="en-GB"/>
        </w:rPr>
        <w:t xml:space="preserve">lipid </w:t>
      </w:r>
      <w:r w:rsidR="00D956EE" w:rsidRPr="00E63E1C">
        <w:rPr>
          <w:lang w:val="en-GB"/>
        </w:rPr>
        <w:t xml:space="preserve">classes </w:t>
      </w:r>
      <w:r w:rsidR="000D0510" w:rsidRPr="00E63E1C">
        <w:rPr>
          <w:lang w:val="en-GB"/>
        </w:rPr>
        <w:t>and POC occurred</w:t>
      </w:r>
      <w:r w:rsidR="00D956EE" w:rsidRPr="00E63E1C">
        <w:rPr>
          <w:lang w:val="en-GB"/>
        </w:rPr>
        <w:t xml:space="preserve"> between 50 m (1% of surface irradiance) </w:t>
      </w:r>
      <w:r w:rsidR="000D0510" w:rsidRPr="00E63E1C">
        <w:rPr>
          <w:lang w:val="en-GB"/>
        </w:rPr>
        <w:t xml:space="preserve">and 100 m depth indicating the most intensive OM degradation processes took place just below photic zone. </w:t>
      </w:r>
      <w:r w:rsidR="00386183">
        <w:rPr>
          <w:lang w:val="en-GB"/>
        </w:rPr>
        <w:t>The m</w:t>
      </w:r>
      <w:r w:rsidR="002041F1" w:rsidRPr="00E63E1C">
        <w:rPr>
          <w:lang w:val="en-GB"/>
        </w:rPr>
        <w:t xml:space="preserve">esopelagic layer </w:t>
      </w:r>
      <w:r w:rsidR="00386183">
        <w:rPr>
          <w:lang w:val="en-GB"/>
        </w:rPr>
        <w:t>or</w:t>
      </w:r>
      <w:r w:rsidR="005F21CE" w:rsidRPr="00E63E1C">
        <w:rPr>
          <w:lang w:val="en-GB"/>
        </w:rPr>
        <w:t xml:space="preserve"> “twilight zone” </w:t>
      </w:r>
      <w:r w:rsidR="002041F1" w:rsidRPr="00E63E1C">
        <w:rPr>
          <w:lang w:val="en-GB"/>
        </w:rPr>
        <w:t>(</w:t>
      </w:r>
      <w:r w:rsidR="00386183">
        <w:rPr>
          <w:lang w:val="en-GB"/>
        </w:rPr>
        <w:t>1</w:t>
      </w:r>
      <w:r w:rsidR="00386183" w:rsidRPr="00E63E1C">
        <w:rPr>
          <w:lang w:val="en-GB"/>
        </w:rPr>
        <w:t>00</w:t>
      </w:r>
      <w:r w:rsidR="002041F1" w:rsidRPr="00E63E1C">
        <w:rPr>
          <w:lang w:val="en-GB"/>
        </w:rPr>
        <w:sym w:font="Symbol" w:char="F02D"/>
      </w:r>
      <w:r w:rsidR="002041F1" w:rsidRPr="00E63E1C">
        <w:rPr>
          <w:lang w:val="en-GB"/>
        </w:rPr>
        <w:t>1000 m) is characterized by the most dynamic biological and physical processes (Lee et al., 2004)</w:t>
      </w:r>
      <w:r w:rsidR="00A81994" w:rsidRPr="00E63E1C">
        <w:rPr>
          <w:lang w:val="en-GB"/>
        </w:rPr>
        <w:t xml:space="preserve"> where rapid biological consumption and remineralization of carbon reduce the efficiency of sequestration (Buesseler et al., 2007). It is shown that</w:t>
      </w:r>
      <w:r w:rsidR="005F21CE" w:rsidRPr="00E63E1C">
        <w:rPr>
          <w:lang w:val="en-GB"/>
        </w:rPr>
        <w:t xml:space="preserve"> processes in the “twilight zone” are site specific </w:t>
      </w:r>
      <w:r w:rsidR="00A81994" w:rsidRPr="00E63E1C">
        <w:rPr>
          <w:lang w:val="en-GB"/>
        </w:rPr>
        <w:t>and depends on pelagic food web structure, the proportion of f</w:t>
      </w:r>
      <w:r w:rsidR="00386183">
        <w:rPr>
          <w:lang w:val="en-GB"/>
        </w:rPr>
        <w:t>a</w:t>
      </w:r>
      <w:r w:rsidR="00A81994" w:rsidRPr="00E63E1C">
        <w:rPr>
          <w:lang w:val="en-GB"/>
        </w:rPr>
        <w:t xml:space="preserve">ecal pellets versus phytoplankton aggregates, the fraction of export associated with ballast minerals and their sinking rates, water temperature, and C demand of the mesopelagic </w:t>
      </w:r>
      <w:r w:rsidR="00386183">
        <w:rPr>
          <w:lang w:val="en-GB"/>
        </w:rPr>
        <w:t>heterotrophic</w:t>
      </w:r>
      <w:r w:rsidR="00A81994" w:rsidRPr="00E63E1C">
        <w:rPr>
          <w:lang w:val="en-GB"/>
        </w:rPr>
        <w:t xml:space="preserve"> communities </w:t>
      </w:r>
      <w:r w:rsidR="005F21CE" w:rsidRPr="00E63E1C">
        <w:rPr>
          <w:lang w:val="en-GB"/>
        </w:rPr>
        <w:t xml:space="preserve">(Buesseler et al., </w:t>
      </w:r>
      <w:r w:rsidR="009E7F33" w:rsidRPr="00E63E1C">
        <w:rPr>
          <w:lang w:val="en-GB"/>
        </w:rPr>
        <w:t>2007).</w:t>
      </w:r>
    </w:p>
    <w:p w:rsidR="00172EE9" w:rsidRPr="00E63E1C" w:rsidRDefault="00172EE9" w:rsidP="00CD12B2">
      <w:pPr>
        <w:spacing w:after="120" w:line="360" w:lineRule="auto"/>
        <w:ind w:firstLine="720"/>
        <w:jc w:val="both"/>
        <w:rPr>
          <w:lang w:val="en-GB"/>
        </w:rPr>
      </w:pPr>
      <w:r w:rsidRPr="00E63E1C">
        <w:rPr>
          <w:lang w:val="en-GB"/>
        </w:rPr>
        <w:t xml:space="preserve">Plankton </w:t>
      </w:r>
      <w:r w:rsidR="004B2CF9" w:rsidRPr="00E63E1C">
        <w:rPr>
          <w:lang w:val="en-GB"/>
        </w:rPr>
        <w:t>energy-</w:t>
      </w:r>
      <w:r w:rsidRPr="00E63E1C">
        <w:rPr>
          <w:lang w:val="en-GB"/>
        </w:rPr>
        <w:t>storage compounds</w:t>
      </w:r>
      <w:r w:rsidR="00437355" w:rsidRPr="00E63E1C">
        <w:rPr>
          <w:lang w:val="en-GB"/>
        </w:rPr>
        <w:t>,</w:t>
      </w:r>
      <w:r w:rsidRPr="00E63E1C">
        <w:rPr>
          <w:lang w:val="en-GB"/>
        </w:rPr>
        <w:t xml:space="preserve"> TG are found in particulate matter as a part of living cells or are released through exudation, lysis </w:t>
      </w:r>
      <w:r w:rsidR="004B2CF9" w:rsidRPr="00E63E1C">
        <w:rPr>
          <w:lang w:val="en-GB"/>
        </w:rPr>
        <w:t xml:space="preserve">and </w:t>
      </w:r>
      <w:r w:rsidRPr="00E63E1C">
        <w:rPr>
          <w:lang w:val="en-GB"/>
        </w:rPr>
        <w:t xml:space="preserve">grazing. Our results show that TG </w:t>
      </w:r>
      <w:r w:rsidR="004B2CF9" w:rsidRPr="00E63E1C">
        <w:rPr>
          <w:lang w:val="en-GB"/>
        </w:rPr>
        <w:t>compounds comprise a</w:t>
      </w:r>
      <w:r w:rsidRPr="00E63E1C">
        <w:rPr>
          <w:lang w:val="en-GB"/>
        </w:rPr>
        <w:t xml:space="preserve"> diverse </w:t>
      </w:r>
      <w:r w:rsidR="004B2CF9" w:rsidRPr="00E63E1C">
        <w:rPr>
          <w:lang w:val="en-GB"/>
        </w:rPr>
        <w:t xml:space="preserve">class with a </w:t>
      </w:r>
      <w:r w:rsidRPr="00E63E1C">
        <w:rPr>
          <w:lang w:val="en-GB"/>
        </w:rPr>
        <w:t xml:space="preserve">variety </w:t>
      </w:r>
      <w:r w:rsidR="00947296" w:rsidRPr="00E63E1C">
        <w:rPr>
          <w:lang w:val="en-GB"/>
        </w:rPr>
        <w:t xml:space="preserve">of </w:t>
      </w:r>
      <w:r w:rsidR="00342498" w:rsidRPr="00E63E1C">
        <w:rPr>
          <w:lang w:val="en-GB"/>
        </w:rPr>
        <w:t>fatty acid</w:t>
      </w:r>
      <w:r w:rsidR="004B2CF9" w:rsidRPr="00E63E1C">
        <w:rPr>
          <w:lang w:val="en-GB"/>
        </w:rPr>
        <w:t xml:space="preserve"> compositions</w:t>
      </w:r>
      <w:r w:rsidRPr="00E63E1C">
        <w:rPr>
          <w:lang w:val="en-GB"/>
        </w:rPr>
        <w:t xml:space="preserve">, especially at </w:t>
      </w:r>
      <w:r w:rsidR="00385A9F" w:rsidRPr="00E63E1C">
        <w:rPr>
          <w:lang w:val="en-GB"/>
        </w:rPr>
        <w:t>e</w:t>
      </w:r>
      <w:r w:rsidRPr="00E63E1C">
        <w:rPr>
          <w:lang w:val="en-GB"/>
        </w:rPr>
        <w:t xml:space="preserve">pipelagic </w:t>
      </w:r>
      <w:r w:rsidR="00385A9F" w:rsidRPr="00E63E1C">
        <w:rPr>
          <w:lang w:val="en-GB"/>
        </w:rPr>
        <w:t xml:space="preserve">depths </w:t>
      </w:r>
      <w:r w:rsidRPr="00E63E1C">
        <w:rPr>
          <w:lang w:val="en-GB"/>
        </w:rPr>
        <w:t>(</w:t>
      </w:r>
      <w:r w:rsidRPr="00A25563">
        <w:rPr>
          <w:lang w:val="en-GB"/>
        </w:rPr>
        <w:t>on average 81 molecular formulae</w:t>
      </w:r>
      <w:r w:rsidR="00A03CA9" w:rsidRPr="00A25563">
        <w:rPr>
          <w:lang w:val="en-GB"/>
        </w:rPr>
        <w:t xml:space="preserve"> per depth</w:t>
      </w:r>
      <w:r w:rsidR="004B2CF9" w:rsidRPr="00A25563">
        <w:rPr>
          <w:lang w:val="en-GB"/>
        </w:rPr>
        <w:t xml:space="preserve"> </w:t>
      </w:r>
      <w:r w:rsidR="00170E7F" w:rsidRPr="00A25563">
        <w:rPr>
          <w:lang w:val="en-GB"/>
        </w:rPr>
        <w:t>measurement</w:t>
      </w:r>
      <w:r w:rsidRPr="00A25563">
        <w:rPr>
          <w:lang w:val="en-GB"/>
        </w:rPr>
        <w:t xml:space="preserve">). </w:t>
      </w:r>
      <w:r w:rsidR="00851745" w:rsidRPr="00A25563">
        <w:rPr>
          <w:lang w:val="en-GB"/>
        </w:rPr>
        <w:t>Tri</w:t>
      </w:r>
      <w:r w:rsidR="00AE2D1B" w:rsidRPr="00A25563">
        <w:rPr>
          <w:lang w:val="en-GB"/>
        </w:rPr>
        <w:t>acylglycerol</w:t>
      </w:r>
      <w:r w:rsidR="00851745" w:rsidRPr="00A25563">
        <w:rPr>
          <w:lang w:val="en-GB"/>
        </w:rPr>
        <w:t xml:space="preserve">s cycling through the ocean depths </w:t>
      </w:r>
      <w:r w:rsidR="00386183" w:rsidRPr="00A25563">
        <w:rPr>
          <w:lang w:val="en-GB"/>
        </w:rPr>
        <w:t xml:space="preserve">cause </w:t>
      </w:r>
      <w:r w:rsidRPr="00A25563">
        <w:rPr>
          <w:lang w:val="en-GB"/>
        </w:rPr>
        <w:t xml:space="preserve">substantial concentration decrease at </w:t>
      </w:r>
      <w:r w:rsidR="00063A43" w:rsidRPr="00A25563">
        <w:rPr>
          <w:lang w:val="en-GB"/>
        </w:rPr>
        <w:t>m</w:t>
      </w:r>
      <w:r w:rsidRPr="00A25563">
        <w:rPr>
          <w:lang w:val="en-GB"/>
        </w:rPr>
        <w:t xml:space="preserve">esopelagic </w:t>
      </w:r>
      <w:r w:rsidR="00063A43" w:rsidRPr="00A25563">
        <w:rPr>
          <w:lang w:val="en-GB"/>
        </w:rPr>
        <w:t xml:space="preserve">depths </w:t>
      </w:r>
      <w:r w:rsidRPr="00A25563">
        <w:rPr>
          <w:lang w:val="en-GB"/>
        </w:rPr>
        <w:t>(Fig</w:t>
      </w:r>
      <w:r w:rsidR="00A03CA9" w:rsidRPr="00A25563">
        <w:rPr>
          <w:lang w:val="en-GB"/>
        </w:rPr>
        <w:t>s</w:t>
      </w:r>
      <w:r w:rsidRPr="00A25563">
        <w:rPr>
          <w:lang w:val="en-GB"/>
        </w:rPr>
        <w:t xml:space="preserve">. </w:t>
      </w:r>
      <w:r w:rsidR="00A03CA9" w:rsidRPr="00A25563">
        <w:rPr>
          <w:lang w:val="en-GB"/>
        </w:rPr>
        <w:t xml:space="preserve">1a, </w:t>
      </w:r>
      <w:r w:rsidRPr="00A25563">
        <w:rPr>
          <w:lang w:val="en-GB"/>
        </w:rPr>
        <w:t xml:space="preserve">2a and </w:t>
      </w:r>
      <w:r w:rsidR="00170E7F" w:rsidRPr="00A25563">
        <w:rPr>
          <w:lang w:val="en-GB"/>
        </w:rPr>
        <w:t>b</w:t>
      </w:r>
      <w:r w:rsidRPr="00A25563">
        <w:rPr>
          <w:lang w:val="en-GB"/>
        </w:rPr>
        <w:t xml:space="preserve">) after </w:t>
      </w:r>
      <w:r w:rsidR="00A27333" w:rsidRPr="00A25563">
        <w:rPr>
          <w:lang w:val="en-GB"/>
        </w:rPr>
        <w:t>which</w:t>
      </w:r>
      <w:r w:rsidRPr="00A25563">
        <w:rPr>
          <w:lang w:val="en-GB"/>
        </w:rPr>
        <w:t xml:space="preserve"> t</w:t>
      </w:r>
      <w:r w:rsidR="00A27333" w:rsidRPr="00A25563">
        <w:rPr>
          <w:lang w:val="en-GB"/>
        </w:rPr>
        <w:t>h</w:t>
      </w:r>
      <w:r w:rsidRPr="00A25563">
        <w:rPr>
          <w:lang w:val="en-GB"/>
        </w:rPr>
        <w:t>e TG concentration remains relative</w:t>
      </w:r>
      <w:r w:rsidR="00732BFE" w:rsidRPr="00A25563">
        <w:rPr>
          <w:lang w:val="en-GB"/>
        </w:rPr>
        <w:t>ly</w:t>
      </w:r>
      <w:r w:rsidR="0049051E" w:rsidRPr="00A25563">
        <w:rPr>
          <w:lang w:val="en-GB"/>
        </w:rPr>
        <w:t xml:space="preserve"> constant</w:t>
      </w:r>
      <w:r w:rsidRPr="00A25563">
        <w:rPr>
          <w:lang w:val="en-GB"/>
        </w:rPr>
        <w:t xml:space="preserve"> until</w:t>
      </w:r>
      <w:r w:rsidR="004B2CF9" w:rsidRPr="00A25563">
        <w:rPr>
          <w:lang w:val="en-GB"/>
        </w:rPr>
        <w:t xml:space="preserve"> the</w:t>
      </w:r>
      <w:r w:rsidRPr="00A25563">
        <w:rPr>
          <w:lang w:val="en-GB"/>
        </w:rPr>
        <w:t xml:space="preserve"> deep ocean. </w:t>
      </w:r>
      <w:r w:rsidR="004B2CF9" w:rsidRPr="00A25563">
        <w:rPr>
          <w:lang w:val="en-GB"/>
        </w:rPr>
        <w:t>Tri</w:t>
      </w:r>
      <w:r w:rsidR="00AE2D1B" w:rsidRPr="00A25563">
        <w:rPr>
          <w:lang w:val="en-GB"/>
        </w:rPr>
        <w:t>acylglycerol</w:t>
      </w:r>
      <w:r w:rsidRPr="00A25563">
        <w:rPr>
          <w:lang w:val="en-GB"/>
        </w:rPr>
        <w:t xml:space="preserve"> </w:t>
      </w:r>
      <w:r w:rsidR="000A0B2F" w:rsidRPr="00A25563">
        <w:rPr>
          <w:lang w:val="en-GB"/>
        </w:rPr>
        <w:t xml:space="preserve">molecular </w:t>
      </w:r>
      <w:r w:rsidR="001F03DD" w:rsidRPr="00A25563">
        <w:rPr>
          <w:lang w:val="en-GB"/>
        </w:rPr>
        <w:t xml:space="preserve">transformation </w:t>
      </w:r>
      <w:r w:rsidR="004B2CF9" w:rsidRPr="00A25563">
        <w:rPr>
          <w:lang w:val="en-GB"/>
        </w:rPr>
        <w:t xml:space="preserve">throughout the </w:t>
      </w:r>
      <w:r w:rsidRPr="00A25563">
        <w:rPr>
          <w:lang w:val="en-GB"/>
        </w:rPr>
        <w:t xml:space="preserve">ocean depth </w:t>
      </w:r>
      <w:r w:rsidR="004B2CF9" w:rsidRPr="00A25563">
        <w:rPr>
          <w:lang w:val="en-GB"/>
        </w:rPr>
        <w:t xml:space="preserve">profile is </w:t>
      </w:r>
      <w:r w:rsidRPr="00A25563">
        <w:rPr>
          <w:lang w:val="en-GB"/>
        </w:rPr>
        <w:t xml:space="preserve">reflected </w:t>
      </w:r>
      <w:r w:rsidR="00FB3EBF" w:rsidRPr="00A25563">
        <w:rPr>
          <w:lang w:val="en-GB"/>
        </w:rPr>
        <w:t xml:space="preserve">by the </w:t>
      </w:r>
      <w:r w:rsidRPr="00A25563">
        <w:rPr>
          <w:lang w:val="en-GB"/>
        </w:rPr>
        <w:t xml:space="preserve">decrease </w:t>
      </w:r>
      <w:r w:rsidR="00947296" w:rsidRPr="00A25563">
        <w:rPr>
          <w:lang w:val="en-GB"/>
        </w:rPr>
        <w:t xml:space="preserve">in </w:t>
      </w:r>
      <w:r w:rsidR="00FB3EBF" w:rsidRPr="00A25563">
        <w:rPr>
          <w:lang w:val="en-GB"/>
        </w:rPr>
        <w:t xml:space="preserve">the number of TG compounds, average acyl carbon number </w:t>
      </w:r>
      <w:r w:rsidRPr="00A25563">
        <w:rPr>
          <w:lang w:val="en-GB"/>
        </w:rPr>
        <w:t xml:space="preserve">(15.8 at </w:t>
      </w:r>
      <w:r w:rsidR="00385A9F" w:rsidRPr="00A25563">
        <w:rPr>
          <w:lang w:val="en-GB"/>
        </w:rPr>
        <w:t>e</w:t>
      </w:r>
      <w:r w:rsidRPr="00A25563">
        <w:rPr>
          <w:lang w:val="en-GB"/>
        </w:rPr>
        <w:t>p</w:t>
      </w:r>
      <w:r w:rsidR="00FB3EBF" w:rsidRPr="00A25563">
        <w:rPr>
          <w:lang w:val="en-GB"/>
        </w:rPr>
        <w:t>i</w:t>
      </w:r>
      <w:r w:rsidRPr="00A25563">
        <w:rPr>
          <w:lang w:val="en-GB"/>
        </w:rPr>
        <w:t>pelagic</w:t>
      </w:r>
      <w:r w:rsidRPr="00E63E1C">
        <w:rPr>
          <w:lang w:val="en-GB"/>
        </w:rPr>
        <w:t xml:space="preserve"> to 14.2 at </w:t>
      </w:r>
      <w:r w:rsidR="006A11D5" w:rsidRPr="00E63E1C">
        <w:rPr>
          <w:lang w:val="en-GB"/>
        </w:rPr>
        <w:t>a</w:t>
      </w:r>
      <w:r w:rsidR="00A35741" w:rsidRPr="00E63E1C">
        <w:rPr>
          <w:lang w:val="en-GB"/>
        </w:rPr>
        <w:t>bys</w:t>
      </w:r>
      <w:r w:rsidR="00851745" w:rsidRPr="00E63E1C">
        <w:rPr>
          <w:lang w:val="en-GB"/>
        </w:rPr>
        <w:t>s</w:t>
      </w:r>
      <w:r w:rsidR="00A35741" w:rsidRPr="00E63E1C">
        <w:rPr>
          <w:lang w:val="en-GB"/>
        </w:rPr>
        <w:t>o</w:t>
      </w:r>
      <w:r w:rsidRPr="00E63E1C">
        <w:rPr>
          <w:lang w:val="en-GB"/>
        </w:rPr>
        <w:t>pela</w:t>
      </w:r>
      <w:r w:rsidR="00FB3EBF" w:rsidRPr="00E63E1C">
        <w:rPr>
          <w:lang w:val="en-GB"/>
        </w:rPr>
        <w:t>g</w:t>
      </w:r>
      <w:r w:rsidRPr="00E63E1C">
        <w:rPr>
          <w:lang w:val="en-GB"/>
        </w:rPr>
        <w:t>ic</w:t>
      </w:r>
      <w:r w:rsidR="006A11D5" w:rsidRPr="00E63E1C">
        <w:rPr>
          <w:lang w:val="en-GB"/>
        </w:rPr>
        <w:t xml:space="preserve"> zones</w:t>
      </w:r>
      <w:r w:rsidRPr="00E63E1C">
        <w:rPr>
          <w:lang w:val="en-GB"/>
        </w:rPr>
        <w:t xml:space="preserve">) (and consequently molecular mass; 788 Da at </w:t>
      </w:r>
      <w:r w:rsidR="00385A9F" w:rsidRPr="00E63E1C">
        <w:rPr>
          <w:lang w:val="en-GB"/>
        </w:rPr>
        <w:t>e</w:t>
      </w:r>
      <w:r w:rsidRPr="00E63E1C">
        <w:rPr>
          <w:lang w:val="en-GB"/>
        </w:rPr>
        <w:t>p</w:t>
      </w:r>
      <w:r w:rsidR="00FB3EBF" w:rsidRPr="00E63E1C">
        <w:rPr>
          <w:lang w:val="en-GB"/>
        </w:rPr>
        <w:t>i</w:t>
      </w:r>
      <w:r w:rsidRPr="00E63E1C">
        <w:rPr>
          <w:lang w:val="en-GB"/>
        </w:rPr>
        <w:t xml:space="preserve">pelagic to 731 Da at </w:t>
      </w:r>
      <w:r w:rsidR="00385A9F" w:rsidRPr="00E63E1C">
        <w:rPr>
          <w:lang w:val="en-GB"/>
        </w:rPr>
        <w:t>a</w:t>
      </w:r>
      <w:r w:rsidR="00A35741" w:rsidRPr="00E63E1C">
        <w:rPr>
          <w:lang w:val="en-GB"/>
        </w:rPr>
        <w:t>bys</w:t>
      </w:r>
      <w:r w:rsidR="00851745" w:rsidRPr="00E63E1C">
        <w:rPr>
          <w:lang w:val="en-GB"/>
        </w:rPr>
        <w:t>s</w:t>
      </w:r>
      <w:r w:rsidR="00A35741" w:rsidRPr="00E63E1C">
        <w:rPr>
          <w:lang w:val="en-GB"/>
        </w:rPr>
        <w:t>o</w:t>
      </w:r>
      <w:r w:rsidRPr="00E63E1C">
        <w:rPr>
          <w:lang w:val="en-GB"/>
        </w:rPr>
        <w:t>pela</w:t>
      </w:r>
      <w:r w:rsidR="00FB3EBF" w:rsidRPr="00E63E1C">
        <w:rPr>
          <w:lang w:val="en-GB"/>
        </w:rPr>
        <w:t>g</w:t>
      </w:r>
      <w:r w:rsidRPr="00E63E1C">
        <w:rPr>
          <w:lang w:val="en-GB"/>
        </w:rPr>
        <w:t>ic</w:t>
      </w:r>
      <w:r w:rsidR="00385A9F" w:rsidRPr="00E63E1C">
        <w:rPr>
          <w:lang w:val="en-GB"/>
        </w:rPr>
        <w:t xml:space="preserve"> zones</w:t>
      </w:r>
      <w:r w:rsidRPr="00E63E1C">
        <w:rPr>
          <w:lang w:val="en-GB"/>
        </w:rPr>
        <w:t xml:space="preserve">) </w:t>
      </w:r>
      <w:r w:rsidR="00FB3EBF" w:rsidRPr="00E63E1C">
        <w:rPr>
          <w:lang w:val="en-GB"/>
        </w:rPr>
        <w:t>and</w:t>
      </w:r>
      <w:r w:rsidRPr="00E63E1C">
        <w:rPr>
          <w:lang w:val="en-GB"/>
        </w:rPr>
        <w:t xml:space="preserve"> average acyl chain unsaturation </w:t>
      </w:r>
      <w:r w:rsidR="00FB3EBF" w:rsidRPr="00E63E1C">
        <w:rPr>
          <w:lang w:val="en-GB"/>
        </w:rPr>
        <w:t>(</w:t>
      </w:r>
      <w:r w:rsidRPr="00E63E1C">
        <w:rPr>
          <w:lang w:val="en-GB"/>
        </w:rPr>
        <w:t>DBE</w:t>
      </w:r>
      <w:r w:rsidR="00FB3EBF" w:rsidRPr="00E63E1C">
        <w:rPr>
          <w:lang w:val="en-GB"/>
        </w:rPr>
        <w:t>=</w:t>
      </w:r>
      <w:r w:rsidRPr="00E63E1C">
        <w:rPr>
          <w:lang w:val="en-GB"/>
        </w:rPr>
        <w:t>4</w:t>
      </w:r>
      <w:r w:rsidR="00754C23" w:rsidRPr="00E63E1C">
        <w:rPr>
          <w:lang w:val="en-GB"/>
        </w:rPr>
        <w:sym w:font="Symbol" w:char="F02D"/>
      </w:r>
      <w:r w:rsidRPr="00E63E1C">
        <w:rPr>
          <w:lang w:val="en-GB"/>
        </w:rPr>
        <w:t xml:space="preserve">5 at </w:t>
      </w:r>
      <w:r w:rsidR="00385A9F" w:rsidRPr="00E63E1C">
        <w:rPr>
          <w:lang w:val="en-GB"/>
        </w:rPr>
        <w:t>e</w:t>
      </w:r>
      <w:r w:rsidRPr="00E63E1C">
        <w:rPr>
          <w:lang w:val="en-GB"/>
        </w:rPr>
        <w:t>pipela</w:t>
      </w:r>
      <w:r w:rsidR="00342498" w:rsidRPr="00E63E1C">
        <w:rPr>
          <w:lang w:val="en-GB"/>
        </w:rPr>
        <w:t>g</w:t>
      </w:r>
      <w:r w:rsidRPr="00E63E1C">
        <w:rPr>
          <w:lang w:val="en-GB"/>
        </w:rPr>
        <w:t xml:space="preserve">ic </w:t>
      </w:r>
      <w:r w:rsidR="00385A9F" w:rsidRPr="00E63E1C">
        <w:rPr>
          <w:lang w:val="en-GB"/>
        </w:rPr>
        <w:t xml:space="preserve">layer </w:t>
      </w:r>
      <w:r w:rsidR="00FB3EBF" w:rsidRPr="00E63E1C">
        <w:rPr>
          <w:lang w:val="en-GB"/>
        </w:rPr>
        <w:t xml:space="preserve">and </w:t>
      </w:r>
      <w:r w:rsidRPr="00E63E1C">
        <w:rPr>
          <w:lang w:val="en-GB"/>
        </w:rPr>
        <w:t>DBE</w:t>
      </w:r>
      <w:r w:rsidR="00FB3EBF" w:rsidRPr="00E63E1C">
        <w:rPr>
          <w:lang w:val="en-GB"/>
        </w:rPr>
        <w:t>=</w:t>
      </w:r>
      <w:r w:rsidR="00754C23" w:rsidRPr="00E63E1C">
        <w:rPr>
          <w:lang w:val="en-GB"/>
        </w:rPr>
        <w:t xml:space="preserve"> 1</w:t>
      </w:r>
      <w:r w:rsidR="00754C23" w:rsidRPr="00E63E1C">
        <w:rPr>
          <w:lang w:val="en-GB"/>
        </w:rPr>
        <w:sym w:font="Symbol" w:char="F02D"/>
      </w:r>
      <w:r w:rsidRPr="00E63E1C">
        <w:rPr>
          <w:lang w:val="en-GB"/>
        </w:rPr>
        <w:t xml:space="preserve">2 at depths below </w:t>
      </w:r>
      <w:r w:rsidR="00947296" w:rsidRPr="00E63E1C">
        <w:rPr>
          <w:lang w:val="en-GB"/>
        </w:rPr>
        <w:t>2</w:t>
      </w:r>
      <w:r w:rsidRPr="00E63E1C">
        <w:rPr>
          <w:lang w:val="en-GB"/>
        </w:rPr>
        <w:t>00 m</w:t>
      </w:r>
      <w:r w:rsidR="00FB3EBF" w:rsidRPr="00E63E1C">
        <w:rPr>
          <w:lang w:val="en-GB"/>
        </w:rPr>
        <w:t>)</w:t>
      </w:r>
      <w:r w:rsidRPr="00E63E1C">
        <w:rPr>
          <w:lang w:val="en-GB"/>
        </w:rPr>
        <w:t xml:space="preserve">. </w:t>
      </w:r>
      <w:r w:rsidR="00947296" w:rsidRPr="00E63E1C">
        <w:rPr>
          <w:lang w:val="en-GB"/>
        </w:rPr>
        <w:t xml:space="preserve">Obviously between 200 and 300 m depth major </w:t>
      </w:r>
      <w:r w:rsidR="00351C43" w:rsidRPr="00E63E1C">
        <w:rPr>
          <w:lang w:val="en-GB"/>
        </w:rPr>
        <w:t>TG</w:t>
      </w:r>
      <w:r w:rsidR="00947296" w:rsidRPr="00E63E1C">
        <w:rPr>
          <w:lang w:val="en-GB"/>
        </w:rPr>
        <w:t xml:space="preserve"> transformation occurred </w:t>
      </w:r>
      <w:r w:rsidR="00863E38" w:rsidRPr="00E63E1C">
        <w:rPr>
          <w:lang w:val="en-GB"/>
        </w:rPr>
        <w:t xml:space="preserve">with highly </w:t>
      </w:r>
      <w:r w:rsidR="000657BF" w:rsidRPr="00E63E1C">
        <w:rPr>
          <w:lang w:val="en-GB"/>
        </w:rPr>
        <w:t xml:space="preserve">altered </w:t>
      </w:r>
      <w:r w:rsidR="00863E38" w:rsidRPr="00E63E1C">
        <w:rPr>
          <w:lang w:val="en-GB"/>
        </w:rPr>
        <w:t xml:space="preserve">TG </w:t>
      </w:r>
      <w:r w:rsidR="00351C43" w:rsidRPr="00E63E1C">
        <w:rPr>
          <w:lang w:val="en-GB"/>
        </w:rPr>
        <w:t xml:space="preserve">molecules </w:t>
      </w:r>
      <w:r w:rsidR="00863E38" w:rsidRPr="00E63E1C">
        <w:rPr>
          <w:lang w:val="en-GB"/>
        </w:rPr>
        <w:t>found below 200 m</w:t>
      </w:r>
      <w:r w:rsidR="00351C43" w:rsidRPr="00E63E1C">
        <w:rPr>
          <w:lang w:val="en-GB"/>
        </w:rPr>
        <w:t>.</w:t>
      </w:r>
      <w:r w:rsidR="00863E38" w:rsidRPr="00E63E1C">
        <w:rPr>
          <w:lang w:val="en-GB"/>
        </w:rPr>
        <w:t xml:space="preserve"> </w:t>
      </w:r>
    </w:p>
    <w:p w:rsidR="00A27333" w:rsidRPr="00E63E1C" w:rsidRDefault="00D41DF9" w:rsidP="00E06E69">
      <w:pPr>
        <w:spacing w:after="120" w:line="360" w:lineRule="auto"/>
        <w:ind w:firstLine="720"/>
        <w:jc w:val="both"/>
        <w:rPr>
          <w:lang w:val="en-GB"/>
        </w:rPr>
      </w:pPr>
      <w:r w:rsidRPr="00E63E1C">
        <w:rPr>
          <w:lang w:val="en-GB"/>
        </w:rPr>
        <w:lastRenderedPageBreak/>
        <w:t>O</w:t>
      </w:r>
      <w:r w:rsidR="00A51F90" w:rsidRPr="00E63E1C">
        <w:rPr>
          <w:lang w:val="en-GB"/>
        </w:rPr>
        <w:t xml:space="preserve">ur results suggest that </w:t>
      </w:r>
      <w:r w:rsidR="004C1C65" w:rsidRPr="00E63E1C">
        <w:rPr>
          <w:lang w:val="en-GB"/>
        </w:rPr>
        <w:t xml:space="preserve">TG </w:t>
      </w:r>
      <w:r w:rsidR="00351C43" w:rsidRPr="00E63E1C">
        <w:rPr>
          <w:lang w:val="en-GB"/>
        </w:rPr>
        <w:t xml:space="preserve">with one unsaturation </w:t>
      </w:r>
      <w:r w:rsidR="00342498" w:rsidRPr="00E63E1C">
        <w:rPr>
          <w:lang w:val="en-GB"/>
        </w:rPr>
        <w:t xml:space="preserve">in </w:t>
      </w:r>
      <w:r w:rsidR="00437355" w:rsidRPr="00E63E1C">
        <w:rPr>
          <w:lang w:val="en-GB"/>
        </w:rPr>
        <w:t>acyl</w:t>
      </w:r>
      <w:r w:rsidR="00342498" w:rsidRPr="00E63E1C">
        <w:rPr>
          <w:lang w:val="en-GB"/>
        </w:rPr>
        <w:t xml:space="preserve"> chain </w:t>
      </w:r>
      <w:r w:rsidR="004C1C65" w:rsidRPr="00E63E1C">
        <w:rPr>
          <w:lang w:val="en-GB"/>
        </w:rPr>
        <w:t xml:space="preserve">survive </w:t>
      </w:r>
      <w:r w:rsidR="005A5854" w:rsidRPr="00E63E1C">
        <w:rPr>
          <w:lang w:val="en-GB"/>
        </w:rPr>
        <w:t>until</w:t>
      </w:r>
      <w:r w:rsidR="006268D7" w:rsidRPr="00E63E1C">
        <w:rPr>
          <w:lang w:val="en-GB"/>
        </w:rPr>
        <w:t xml:space="preserve"> </w:t>
      </w:r>
      <w:r w:rsidR="005A5854" w:rsidRPr="00E63E1C">
        <w:rPr>
          <w:lang w:val="en-GB"/>
        </w:rPr>
        <w:t>a</w:t>
      </w:r>
      <w:r w:rsidR="00351C43" w:rsidRPr="00E63E1C">
        <w:rPr>
          <w:lang w:val="en-GB"/>
        </w:rPr>
        <w:t>bys</w:t>
      </w:r>
      <w:r w:rsidR="00FD6DEB" w:rsidRPr="00E63E1C">
        <w:rPr>
          <w:lang w:val="en-GB"/>
        </w:rPr>
        <w:t>s</w:t>
      </w:r>
      <w:r w:rsidR="00351C43" w:rsidRPr="00E63E1C">
        <w:rPr>
          <w:lang w:val="en-GB"/>
        </w:rPr>
        <w:t>opelagic</w:t>
      </w:r>
      <w:r w:rsidR="004C1C65" w:rsidRPr="00E63E1C">
        <w:rPr>
          <w:lang w:val="en-GB"/>
        </w:rPr>
        <w:t xml:space="preserve"> </w:t>
      </w:r>
      <w:r w:rsidR="005A5854" w:rsidRPr="00E63E1C">
        <w:rPr>
          <w:lang w:val="en-GB"/>
        </w:rPr>
        <w:t>depths</w:t>
      </w:r>
      <w:r w:rsidR="000F2BC8" w:rsidRPr="00E63E1C">
        <w:rPr>
          <w:lang w:val="en-GB"/>
        </w:rPr>
        <w:t>, w</w:t>
      </w:r>
      <w:r w:rsidR="005F41B7" w:rsidRPr="00E63E1C">
        <w:rPr>
          <w:lang w:val="en-GB"/>
        </w:rPr>
        <w:t>ith</w:t>
      </w:r>
      <w:r w:rsidR="000F2BC8" w:rsidRPr="00E63E1C">
        <w:rPr>
          <w:lang w:val="en-GB"/>
        </w:rPr>
        <w:t xml:space="preserve"> </w:t>
      </w:r>
      <w:r w:rsidR="005B185B" w:rsidRPr="00E63E1C">
        <w:rPr>
          <w:lang w:val="en-GB"/>
        </w:rPr>
        <w:t xml:space="preserve">a </w:t>
      </w:r>
      <w:r w:rsidR="005F41B7" w:rsidRPr="00E63E1C">
        <w:rPr>
          <w:lang w:val="en-GB"/>
        </w:rPr>
        <w:t xml:space="preserve">possible </w:t>
      </w:r>
      <w:r w:rsidR="000F2BC8" w:rsidRPr="00E63E1C">
        <w:rPr>
          <w:lang w:val="en-GB"/>
        </w:rPr>
        <w:t xml:space="preserve">contribution </w:t>
      </w:r>
      <w:r w:rsidR="005F41B7" w:rsidRPr="00E63E1C">
        <w:rPr>
          <w:lang w:val="en-GB"/>
        </w:rPr>
        <w:t xml:space="preserve">from living organisms, </w:t>
      </w:r>
      <w:r w:rsidR="004C1C65" w:rsidRPr="00E63E1C">
        <w:rPr>
          <w:lang w:val="en-GB"/>
        </w:rPr>
        <w:t xml:space="preserve">where TG contributed on average 3.2% to total </w:t>
      </w:r>
      <w:r w:rsidR="00351C43" w:rsidRPr="00E63E1C">
        <w:rPr>
          <w:lang w:val="en-GB"/>
        </w:rPr>
        <w:t>FT-ICR MS signal</w:t>
      </w:r>
      <w:r w:rsidRPr="00E63E1C">
        <w:rPr>
          <w:lang w:val="en-GB"/>
        </w:rPr>
        <w:t xml:space="preserve">. </w:t>
      </w:r>
      <w:r w:rsidR="0089787F" w:rsidRPr="00E63E1C">
        <w:rPr>
          <w:lang w:val="en-GB"/>
        </w:rPr>
        <w:t>H</w:t>
      </w:r>
      <w:r w:rsidRPr="00E63E1C">
        <w:rPr>
          <w:lang w:val="en-GB"/>
        </w:rPr>
        <w:t>igh TG molecular diversity, on average 36 molecular formulae</w:t>
      </w:r>
      <w:r w:rsidR="0049051E">
        <w:rPr>
          <w:lang w:val="en-GB"/>
        </w:rPr>
        <w:t xml:space="preserve"> per sample</w:t>
      </w:r>
      <w:r w:rsidRPr="00E63E1C">
        <w:rPr>
          <w:lang w:val="en-GB"/>
        </w:rPr>
        <w:t xml:space="preserve">, is detected </w:t>
      </w:r>
      <w:r w:rsidR="0089787F" w:rsidRPr="00E63E1C">
        <w:rPr>
          <w:lang w:val="en-GB"/>
        </w:rPr>
        <w:t xml:space="preserve">even </w:t>
      </w:r>
      <w:r w:rsidRPr="00E63E1C">
        <w:rPr>
          <w:lang w:val="en-GB"/>
        </w:rPr>
        <w:t xml:space="preserve">in </w:t>
      </w:r>
      <w:r w:rsidR="00386183">
        <w:rPr>
          <w:lang w:val="en-GB"/>
        </w:rPr>
        <w:t xml:space="preserve">the </w:t>
      </w:r>
      <w:r w:rsidR="005A5854" w:rsidRPr="00E63E1C">
        <w:rPr>
          <w:lang w:val="en-GB"/>
        </w:rPr>
        <w:t>a</w:t>
      </w:r>
      <w:r w:rsidRPr="00E63E1C">
        <w:rPr>
          <w:lang w:val="en-GB"/>
        </w:rPr>
        <w:t>bys</w:t>
      </w:r>
      <w:r w:rsidR="00FD6DEB" w:rsidRPr="00E63E1C">
        <w:rPr>
          <w:lang w:val="en-GB"/>
        </w:rPr>
        <w:t>s</w:t>
      </w:r>
      <w:r w:rsidRPr="00E63E1C">
        <w:rPr>
          <w:lang w:val="en-GB"/>
        </w:rPr>
        <w:t>opelagic</w:t>
      </w:r>
      <w:r w:rsidR="005A5854" w:rsidRPr="00E63E1C">
        <w:rPr>
          <w:lang w:val="en-GB"/>
        </w:rPr>
        <w:t xml:space="preserve"> zone</w:t>
      </w:r>
      <w:r w:rsidRPr="00E63E1C">
        <w:rPr>
          <w:lang w:val="en-GB"/>
        </w:rPr>
        <w:t>. This suggests that TG</w:t>
      </w:r>
      <w:r w:rsidR="002C048F">
        <w:rPr>
          <w:lang w:val="en-GB"/>
        </w:rPr>
        <w:t>s</w:t>
      </w:r>
      <w:r w:rsidRPr="00E63E1C">
        <w:rPr>
          <w:lang w:val="en-GB"/>
        </w:rPr>
        <w:t xml:space="preserve"> are important components of the particle ﬂux in the oceans. This is in line with data from Wakeham (1985) and Goutx et al. (2000). Although Afi et al. (1996) suggested that TG are labile compounds preferentially </w:t>
      </w:r>
      <w:r w:rsidR="00FA4834" w:rsidRPr="00E63E1C">
        <w:rPr>
          <w:lang w:val="en-GB"/>
        </w:rPr>
        <w:t>hydrolyse</w:t>
      </w:r>
      <w:r w:rsidR="0089787F" w:rsidRPr="00E63E1C">
        <w:rPr>
          <w:lang w:val="en-GB"/>
        </w:rPr>
        <w:t>d</w:t>
      </w:r>
      <w:r w:rsidR="00FA4834" w:rsidRPr="00E63E1C">
        <w:rPr>
          <w:lang w:val="en-GB"/>
        </w:rPr>
        <w:t xml:space="preserve"> through bacterial activity </w:t>
      </w:r>
      <w:r w:rsidRPr="00E63E1C">
        <w:rPr>
          <w:lang w:val="en-GB"/>
        </w:rPr>
        <w:t xml:space="preserve">when compared to other lipid classes and </w:t>
      </w:r>
      <w:r w:rsidR="00A31652" w:rsidRPr="00E63E1C">
        <w:rPr>
          <w:lang w:val="en-GB"/>
        </w:rPr>
        <w:t xml:space="preserve">Yoshimura et al. (2009) </w:t>
      </w:r>
      <w:r w:rsidR="00100206" w:rsidRPr="00E63E1C">
        <w:rPr>
          <w:lang w:val="en-GB"/>
        </w:rPr>
        <w:t xml:space="preserve">showed </w:t>
      </w:r>
      <w:r w:rsidR="00A31652" w:rsidRPr="00E63E1C">
        <w:rPr>
          <w:lang w:val="en-GB"/>
        </w:rPr>
        <w:t xml:space="preserve">in </w:t>
      </w:r>
      <w:r w:rsidR="00100206" w:rsidRPr="00E63E1C">
        <w:rPr>
          <w:lang w:val="en-GB"/>
        </w:rPr>
        <w:t xml:space="preserve">a </w:t>
      </w:r>
      <w:r w:rsidR="00A31652" w:rsidRPr="00E63E1C">
        <w:rPr>
          <w:lang w:val="en-GB"/>
        </w:rPr>
        <w:t xml:space="preserve">model experiment that TG </w:t>
      </w:r>
      <w:r w:rsidR="00A31652" w:rsidRPr="00E63E1C">
        <w:rPr>
          <w:rStyle w:val="st"/>
          <w:lang w:val="en-GB"/>
        </w:rPr>
        <w:t>rapidly decrease during early diagenesis</w:t>
      </w:r>
      <w:r w:rsidR="000F7D0A" w:rsidRPr="00E63E1C">
        <w:rPr>
          <w:rStyle w:val="st"/>
          <w:lang w:val="en-GB"/>
        </w:rPr>
        <w:t xml:space="preserve">, </w:t>
      </w:r>
      <w:r w:rsidR="00100206" w:rsidRPr="00E63E1C">
        <w:rPr>
          <w:rStyle w:val="st"/>
          <w:lang w:val="en-GB"/>
        </w:rPr>
        <w:t xml:space="preserve">our results suggest </w:t>
      </w:r>
      <w:r w:rsidR="00A31652" w:rsidRPr="00E63E1C">
        <w:rPr>
          <w:rStyle w:val="st"/>
          <w:lang w:val="en-GB"/>
        </w:rPr>
        <w:t xml:space="preserve">that TG fraction with high unsaturation is prone to degradation while </w:t>
      </w:r>
      <w:r w:rsidR="00D94760" w:rsidRPr="00E63E1C">
        <w:rPr>
          <w:rStyle w:val="st"/>
          <w:lang w:val="en-GB"/>
        </w:rPr>
        <w:t xml:space="preserve">the </w:t>
      </w:r>
      <w:r w:rsidR="00A31652" w:rsidRPr="00E63E1C">
        <w:rPr>
          <w:rStyle w:val="st"/>
          <w:lang w:val="en-GB"/>
        </w:rPr>
        <w:t xml:space="preserve">saturated TG are stable </w:t>
      </w:r>
      <w:r w:rsidR="00D94760" w:rsidRPr="00E63E1C">
        <w:rPr>
          <w:rStyle w:val="st"/>
          <w:lang w:val="en-GB"/>
        </w:rPr>
        <w:t xml:space="preserve">even </w:t>
      </w:r>
      <w:r w:rsidR="00754C23" w:rsidRPr="00E63E1C">
        <w:rPr>
          <w:rStyle w:val="st"/>
          <w:lang w:val="en-GB"/>
        </w:rPr>
        <w:t>at high</w:t>
      </w:r>
      <w:r w:rsidR="00AF219F" w:rsidRPr="00E63E1C">
        <w:rPr>
          <w:rStyle w:val="st"/>
          <w:lang w:val="en-GB"/>
        </w:rPr>
        <w:t xml:space="preserve"> depths</w:t>
      </w:r>
      <w:r w:rsidR="00D94760" w:rsidRPr="00E63E1C">
        <w:rPr>
          <w:rStyle w:val="st"/>
          <w:lang w:val="en-GB"/>
        </w:rPr>
        <w:t xml:space="preserve"> (Fig. </w:t>
      </w:r>
      <w:r w:rsidR="00893BB2" w:rsidRPr="00E63E1C">
        <w:rPr>
          <w:rStyle w:val="st"/>
          <w:lang w:val="en-GB"/>
        </w:rPr>
        <w:t>6</w:t>
      </w:r>
      <w:r w:rsidR="00D94760" w:rsidRPr="00E63E1C">
        <w:rPr>
          <w:rStyle w:val="st"/>
          <w:lang w:val="en-GB"/>
        </w:rPr>
        <w:t>a)</w:t>
      </w:r>
      <w:r w:rsidR="00AF219F" w:rsidRPr="00E63E1C">
        <w:rPr>
          <w:rStyle w:val="st"/>
          <w:lang w:val="en-GB"/>
        </w:rPr>
        <w:t xml:space="preserve"> </w:t>
      </w:r>
      <w:r w:rsidR="00A31652" w:rsidRPr="00E63E1C">
        <w:rPr>
          <w:rStyle w:val="st"/>
          <w:lang w:val="en-GB"/>
        </w:rPr>
        <w:t>and can contribute to carbon sequestration.</w:t>
      </w:r>
      <w:r w:rsidR="00D94760" w:rsidRPr="00E63E1C">
        <w:rPr>
          <w:lang w:val="en-GB"/>
        </w:rPr>
        <w:t xml:space="preserve"> </w:t>
      </w:r>
    </w:p>
    <w:p w:rsidR="00AF6035" w:rsidRPr="00A25563" w:rsidRDefault="00351C43" w:rsidP="00791ECD">
      <w:pPr>
        <w:spacing w:after="120" w:line="360" w:lineRule="auto"/>
        <w:ind w:firstLine="720"/>
        <w:jc w:val="both"/>
        <w:rPr>
          <w:lang w:val="en-GB"/>
        </w:rPr>
      </w:pPr>
      <w:r w:rsidRPr="00E63E1C">
        <w:rPr>
          <w:lang w:val="en-GB"/>
        </w:rPr>
        <w:t>The u</w:t>
      </w:r>
      <w:r w:rsidR="000F7D0A" w:rsidRPr="00E63E1C">
        <w:rPr>
          <w:lang w:val="en-GB"/>
        </w:rPr>
        <w:t>n</w:t>
      </w:r>
      <w:r w:rsidRPr="00E63E1C">
        <w:rPr>
          <w:lang w:val="en-GB"/>
        </w:rPr>
        <w:t>s</w:t>
      </w:r>
      <w:r w:rsidR="00730AAB" w:rsidRPr="00E63E1C">
        <w:rPr>
          <w:lang w:val="en-GB"/>
        </w:rPr>
        <w:t>aturation of oddTG is lower than for TG w</w:t>
      </w:r>
      <w:r w:rsidR="000F7D0A" w:rsidRPr="00E63E1C">
        <w:rPr>
          <w:lang w:val="en-GB"/>
        </w:rPr>
        <w:t>h</w:t>
      </w:r>
      <w:r w:rsidR="00730AAB" w:rsidRPr="00E63E1C">
        <w:rPr>
          <w:lang w:val="en-GB"/>
        </w:rPr>
        <w:t xml:space="preserve">ich is not surprising knowing that bacteria mainly synthesize saturated and monounsaturated FA (Harkewicz and Dennis, 2011). </w:t>
      </w:r>
      <w:r w:rsidR="00386183">
        <w:rPr>
          <w:lang w:val="en-GB"/>
        </w:rPr>
        <w:t>C</w:t>
      </w:r>
      <w:r w:rsidR="00730AAB" w:rsidRPr="00E63E1C">
        <w:rPr>
          <w:lang w:val="en-GB"/>
        </w:rPr>
        <w:t xml:space="preserve">hanges of oddTG </w:t>
      </w:r>
      <w:r w:rsidR="0089787F" w:rsidRPr="00E63E1C">
        <w:rPr>
          <w:lang w:val="en-GB"/>
        </w:rPr>
        <w:t>are</w:t>
      </w:r>
      <w:r w:rsidR="00730AAB" w:rsidRPr="00E63E1C">
        <w:rPr>
          <w:lang w:val="en-GB"/>
        </w:rPr>
        <w:t xml:space="preserve"> characterized </w:t>
      </w:r>
      <w:r w:rsidR="0089787F" w:rsidRPr="00E63E1C">
        <w:rPr>
          <w:lang w:val="en-GB"/>
        </w:rPr>
        <w:t>by a</w:t>
      </w:r>
      <w:r w:rsidR="00730AAB" w:rsidRPr="00E63E1C">
        <w:rPr>
          <w:lang w:val="en-GB"/>
        </w:rPr>
        <w:t xml:space="preserve"> modest decrease </w:t>
      </w:r>
      <w:r w:rsidR="00AA564B" w:rsidRPr="00E63E1C">
        <w:rPr>
          <w:lang w:val="en-GB"/>
        </w:rPr>
        <w:t>in the abundance (</w:t>
      </w:r>
      <w:r w:rsidR="00CD63AC" w:rsidRPr="00E63E1C">
        <w:rPr>
          <w:lang w:val="en-GB"/>
        </w:rPr>
        <w:t>Fig. 3</w:t>
      </w:r>
      <w:r w:rsidR="00AA564B" w:rsidRPr="00E63E1C">
        <w:rPr>
          <w:lang w:val="en-GB"/>
        </w:rPr>
        <w:t>a and c) and the number of compounds (</w:t>
      </w:r>
      <w:r w:rsidR="00CD63AC" w:rsidRPr="00E63E1C">
        <w:rPr>
          <w:lang w:val="en-GB"/>
        </w:rPr>
        <w:t>Fig. 4</w:t>
      </w:r>
      <w:r w:rsidR="00AA564B" w:rsidRPr="00E63E1C">
        <w:rPr>
          <w:lang w:val="en-GB"/>
        </w:rPr>
        <w:t xml:space="preserve">a) </w:t>
      </w:r>
      <w:r w:rsidR="00730AAB" w:rsidRPr="00E63E1C">
        <w:rPr>
          <w:lang w:val="en-GB"/>
        </w:rPr>
        <w:t xml:space="preserve">with depth, invariability in molecular mass </w:t>
      </w:r>
      <w:r w:rsidR="00AA564B" w:rsidRPr="00E63E1C">
        <w:rPr>
          <w:lang w:val="en-GB"/>
        </w:rPr>
        <w:t xml:space="preserve">and acyl carbon number </w:t>
      </w:r>
      <w:r w:rsidR="00730AAB" w:rsidRPr="00E63E1C">
        <w:rPr>
          <w:lang w:val="en-GB"/>
        </w:rPr>
        <w:t xml:space="preserve">over depths with </w:t>
      </w:r>
      <w:r w:rsidR="00AA564B" w:rsidRPr="00E63E1C">
        <w:rPr>
          <w:lang w:val="en-GB"/>
        </w:rPr>
        <w:t xml:space="preserve">an </w:t>
      </w:r>
      <w:r w:rsidR="00730AAB" w:rsidRPr="00E63E1C">
        <w:rPr>
          <w:lang w:val="en-GB"/>
        </w:rPr>
        <w:t>average M</w:t>
      </w:r>
      <w:r w:rsidR="00730AAB" w:rsidRPr="00E63E1C">
        <w:rPr>
          <w:vertAlign w:val="subscript"/>
          <w:lang w:val="en-GB"/>
        </w:rPr>
        <w:t>w</w:t>
      </w:r>
      <w:r w:rsidR="00730AAB" w:rsidRPr="00E63E1C">
        <w:rPr>
          <w:lang w:val="en-GB"/>
        </w:rPr>
        <w:t xml:space="preserve"> of 794 Da (</w:t>
      </w:r>
      <w:r w:rsidR="00CD63AC" w:rsidRPr="00E63E1C">
        <w:rPr>
          <w:lang w:val="en-GB"/>
        </w:rPr>
        <w:t>Fig. 5</w:t>
      </w:r>
      <w:r w:rsidR="00730AAB" w:rsidRPr="00E63E1C">
        <w:rPr>
          <w:lang w:val="en-GB"/>
        </w:rPr>
        <w:t xml:space="preserve">a) and </w:t>
      </w:r>
      <w:r w:rsidR="00AA564B" w:rsidRPr="00E63E1C">
        <w:rPr>
          <w:lang w:val="en-GB"/>
        </w:rPr>
        <w:t xml:space="preserve">an </w:t>
      </w:r>
      <w:r w:rsidR="00730AAB" w:rsidRPr="00E63E1C">
        <w:rPr>
          <w:lang w:val="en-GB"/>
        </w:rPr>
        <w:t xml:space="preserve">average </w:t>
      </w:r>
      <w:r w:rsidR="00AA564B" w:rsidRPr="00E63E1C">
        <w:rPr>
          <w:lang w:val="en-GB"/>
        </w:rPr>
        <w:t xml:space="preserve">acyl carbon </w:t>
      </w:r>
      <w:r w:rsidR="00730AAB" w:rsidRPr="00E63E1C">
        <w:rPr>
          <w:lang w:val="en-GB"/>
        </w:rPr>
        <w:t>number of 15.7 (</w:t>
      </w:r>
      <w:r w:rsidR="00CD63AC" w:rsidRPr="00E63E1C">
        <w:rPr>
          <w:lang w:val="en-GB"/>
        </w:rPr>
        <w:t xml:space="preserve">Fig. </w:t>
      </w:r>
      <w:r w:rsidR="00F8565F" w:rsidRPr="00E63E1C">
        <w:rPr>
          <w:lang w:val="en-GB"/>
        </w:rPr>
        <w:t>5b</w:t>
      </w:r>
      <w:r w:rsidR="00730AAB" w:rsidRPr="00E63E1C">
        <w:rPr>
          <w:lang w:val="en-GB"/>
        </w:rPr>
        <w:t xml:space="preserve">), </w:t>
      </w:r>
      <w:r w:rsidR="00AA564B" w:rsidRPr="00E63E1C">
        <w:rPr>
          <w:lang w:val="en-GB"/>
        </w:rPr>
        <w:t>and</w:t>
      </w:r>
      <w:r w:rsidR="00730AAB" w:rsidRPr="00E63E1C">
        <w:rPr>
          <w:lang w:val="en-GB"/>
        </w:rPr>
        <w:t xml:space="preserve"> substantial decrease </w:t>
      </w:r>
      <w:r w:rsidR="00AA564B" w:rsidRPr="00E63E1C">
        <w:rPr>
          <w:lang w:val="en-GB"/>
        </w:rPr>
        <w:t xml:space="preserve">in the </w:t>
      </w:r>
      <w:r w:rsidR="00730AAB" w:rsidRPr="00E63E1C">
        <w:rPr>
          <w:lang w:val="en-GB"/>
        </w:rPr>
        <w:t xml:space="preserve">unsaturation from </w:t>
      </w:r>
      <w:r w:rsidR="006C5A05" w:rsidRPr="00E63E1C">
        <w:rPr>
          <w:lang w:val="en-GB"/>
        </w:rPr>
        <w:t>e</w:t>
      </w:r>
      <w:r w:rsidR="00A35741" w:rsidRPr="00E63E1C">
        <w:rPr>
          <w:lang w:val="en-GB"/>
        </w:rPr>
        <w:t>pipelagic (average DBE</w:t>
      </w:r>
      <w:r w:rsidR="00AA564B" w:rsidRPr="00E63E1C">
        <w:rPr>
          <w:lang w:val="en-GB"/>
        </w:rPr>
        <w:t xml:space="preserve"> =</w:t>
      </w:r>
      <w:r w:rsidR="00A35741" w:rsidRPr="00E63E1C">
        <w:rPr>
          <w:lang w:val="en-GB"/>
        </w:rPr>
        <w:t xml:space="preserve"> 3.9) to </w:t>
      </w:r>
      <w:r w:rsidR="006C5A05" w:rsidRPr="00E63E1C">
        <w:rPr>
          <w:lang w:val="en-GB"/>
        </w:rPr>
        <w:t>a</w:t>
      </w:r>
      <w:r w:rsidR="00A35741" w:rsidRPr="00E63E1C">
        <w:rPr>
          <w:lang w:val="en-GB"/>
        </w:rPr>
        <w:t>by</w:t>
      </w:r>
      <w:r w:rsidR="00851745" w:rsidRPr="00E63E1C">
        <w:rPr>
          <w:lang w:val="en-GB"/>
        </w:rPr>
        <w:t>s</w:t>
      </w:r>
      <w:r w:rsidR="00A35741" w:rsidRPr="00E63E1C">
        <w:rPr>
          <w:lang w:val="en-GB"/>
        </w:rPr>
        <w:t>so</w:t>
      </w:r>
      <w:r w:rsidR="00730AAB" w:rsidRPr="00E63E1C">
        <w:rPr>
          <w:lang w:val="en-GB"/>
        </w:rPr>
        <w:t>pelagic (DBE</w:t>
      </w:r>
      <w:r w:rsidR="00AA564B" w:rsidRPr="00E63E1C">
        <w:rPr>
          <w:lang w:val="en-GB"/>
        </w:rPr>
        <w:t xml:space="preserve"> =</w:t>
      </w:r>
      <w:r w:rsidR="00730AAB" w:rsidRPr="00E63E1C">
        <w:rPr>
          <w:lang w:val="en-GB"/>
        </w:rPr>
        <w:t xml:space="preserve"> 1.4) </w:t>
      </w:r>
      <w:r w:rsidR="006C5A05" w:rsidRPr="00E63E1C">
        <w:rPr>
          <w:lang w:val="en-GB"/>
        </w:rPr>
        <w:t xml:space="preserve">depths </w:t>
      </w:r>
      <w:r w:rsidR="00730AAB" w:rsidRPr="00E63E1C">
        <w:rPr>
          <w:lang w:val="en-GB"/>
        </w:rPr>
        <w:t xml:space="preserve">(Fig. </w:t>
      </w:r>
      <w:r w:rsidR="00893BB2" w:rsidRPr="00E63E1C">
        <w:rPr>
          <w:lang w:val="en-GB"/>
        </w:rPr>
        <w:t>6</w:t>
      </w:r>
      <w:r w:rsidR="00730AAB" w:rsidRPr="00E63E1C">
        <w:rPr>
          <w:lang w:val="en-GB"/>
        </w:rPr>
        <w:t>a).</w:t>
      </w:r>
      <w:r w:rsidRPr="00E63E1C">
        <w:rPr>
          <w:lang w:val="en-GB"/>
        </w:rPr>
        <w:t xml:space="preserve"> </w:t>
      </w:r>
      <w:r w:rsidR="007965B7" w:rsidRPr="00E63E1C">
        <w:rPr>
          <w:lang w:val="en-US"/>
        </w:rPr>
        <w:t xml:space="preserve">However, we do not have </w:t>
      </w:r>
      <w:r w:rsidR="00787884" w:rsidRPr="00E63E1C">
        <w:rPr>
          <w:lang w:val="en-US"/>
        </w:rPr>
        <w:t xml:space="preserve">an </w:t>
      </w:r>
      <w:r w:rsidR="007965B7" w:rsidRPr="00E63E1C">
        <w:rPr>
          <w:lang w:val="en-US"/>
        </w:rPr>
        <w:t>explanation for such high unsaturation of oddTG at the epipelagic zone knowing that bacteria that produce polyunsaturated fatty acids are inhabit</w:t>
      </w:r>
      <w:r w:rsidR="005C2402" w:rsidRPr="00E63E1C">
        <w:rPr>
          <w:lang w:val="en-US"/>
        </w:rPr>
        <w:t>ing</w:t>
      </w:r>
      <w:r w:rsidR="007965B7" w:rsidRPr="00E63E1C">
        <w:rPr>
          <w:lang w:val="en-US"/>
        </w:rPr>
        <w:t xml:space="preserve"> relatively unusual environments including </w:t>
      </w:r>
      <w:r w:rsidR="00386183">
        <w:rPr>
          <w:lang w:val="en-US"/>
        </w:rPr>
        <w:t xml:space="preserve">the </w:t>
      </w:r>
      <w:r w:rsidR="007965B7" w:rsidRPr="00E63E1C">
        <w:rPr>
          <w:lang w:val="en-US"/>
        </w:rPr>
        <w:t>low-temperature deep sea and the intestines of sea fish (Okuyama et al., 2007</w:t>
      </w:r>
      <w:r w:rsidR="007965B7" w:rsidRPr="00A25563">
        <w:rPr>
          <w:lang w:val="en-US"/>
        </w:rPr>
        <w:t xml:space="preserve">). </w:t>
      </w:r>
      <w:r w:rsidR="0049051E" w:rsidRPr="00A25563">
        <w:rPr>
          <w:lang w:val="en-US"/>
        </w:rPr>
        <w:t>Our observations for</w:t>
      </w:r>
      <w:r w:rsidRPr="00A25563">
        <w:rPr>
          <w:lang w:val="en-GB"/>
        </w:rPr>
        <w:t xml:space="preserve"> odd</w:t>
      </w:r>
      <w:r w:rsidR="00AF6035" w:rsidRPr="00A25563">
        <w:rPr>
          <w:lang w:val="en-GB"/>
        </w:rPr>
        <w:t xml:space="preserve">TG </w:t>
      </w:r>
      <w:r w:rsidR="008B153D" w:rsidRPr="00A25563">
        <w:rPr>
          <w:lang w:val="en-GB"/>
        </w:rPr>
        <w:t>and</w:t>
      </w:r>
      <w:r w:rsidR="00730AAB" w:rsidRPr="00A25563">
        <w:rPr>
          <w:lang w:val="en-GB"/>
        </w:rPr>
        <w:t xml:space="preserve"> TG</w:t>
      </w:r>
      <w:r w:rsidR="0049051E" w:rsidRPr="00A25563">
        <w:rPr>
          <w:lang w:val="en-GB"/>
        </w:rPr>
        <w:t xml:space="preserve"> composition</w:t>
      </w:r>
      <w:r w:rsidR="00730AAB" w:rsidRPr="00A25563">
        <w:rPr>
          <w:lang w:val="en-GB"/>
        </w:rPr>
        <w:t xml:space="preserve"> imply </w:t>
      </w:r>
      <w:r w:rsidR="00A6404A" w:rsidRPr="00A25563">
        <w:rPr>
          <w:lang w:val="en-GB"/>
        </w:rPr>
        <w:t>that both</w:t>
      </w:r>
      <w:r w:rsidR="00730AAB" w:rsidRPr="00A25563">
        <w:rPr>
          <w:lang w:val="en-GB"/>
        </w:rPr>
        <w:t xml:space="preserve"> </w:t>
      </w:r>
      <w:r w:rsidR="0049051E" w:rsidRPr="00A25563">
        <w:rPr>
          <w:lang w:val="en-GB"/>
        </w:rPr>
        <w:t xml:space="preserve">lipid classes </w:t>
      </w:r>
      <w:r w:rsidR="00730AAB" w:rsidRPr="00A25563">
        <w:rPr>
          <w:lang w:val="en-GB"/>
        </w:rPr>
        <w:t xml:space="preserve">are subjected to </w:t>
      </w:r>
      <w:r w:rsidR="00A6404A" w:rsidRPr="00A25563">
        <w:rPr>
          <w:lang w:val="en-GB"/>
        </w:rPr>
        <w:t>similar</w:t>
      </w:r>
      <w:r w:rsidR="00730AAB" w:rsidRPr="00A25563">
        <w:rPr>
          <w:lang w:val="en-GB"/>
        </w:rPr>
        <w:t xml:space="preserve"> </w:t>
      </w:r>
      <w:r w:rsidR="00791ECD" w:rsidRPr="00A25563">
        <w:rPr>
          <w:lang w:val="en-US"/>
        </w:rPr>
        <w:t>chemical and</w:t>
      </w:r>
      <w:r w:rsidR="00791ECD" w:rsidRPr="00A25563">
        <w:rPr>
          <w:lang w:val="en-GB"/>
        </w:rPr>
        <w:t xml:space="preserve"> </w:t>
      </w:r>
      <w:r w:rsidR="00730AAB" w:rsidRPr="00A25563">
        <w:rPr>
          <w:lang w:val="en-GB"/>
        </w:rPr>
        <w:t xml:space="preserve">bacterial action </w:t>
      </w:r>
      <w:r w:rsidR="000F7D0A" w:rsidRPr="00A25563">
        <w:rPr>
          <w:lang w:val="en-GB"/>
        </w:rPr>
        <w:t xml:space="preserve">with </w:t>
      </w:r>
      <w:r w:rsidR="00730AAB" w:rsidRPr="00A25563">
        <w:rPr>
          <w:lang w:val="en-GB"/>
        </w:rPr>
        <w:t xml:space="preserve">enzymatic hydrolysis </w:t>
      </w:r>
      <w:r w:rsidR="000F7D0A" w:rsidRPr="00A25563">
        <w:rPr>
          <w:lang w:val="en-GB"/>
        </w:rPr>
        <w:t xml:space="preserve">being particularly important </w:t>
      </w:r>
      <w:r w:rsidR="00A6404A" w:rsidRPr="00A25563">
        <w:rPr>
          <w:lang w:val="en-GB"/>
        </w:rPr>
        <w:t>(Killops</w:t>
      </w:r>
      <w:r w:rsidR="000F7D0A" w:rsidRPr="00A25563">
        <w:rPr>
          <w:lang w:val="en-GB"/>
        </w:rPr>
        <w:t xml:space="preserve"> and Killops, 2005</w:t>
      </w:r>
      <w:r w:rsidR="00A6404A" w:rsidRPr="00A25563">
        <w:rPr>
          <w:lang w:val="en-GB"/>
        </w:rPr>
        <w:t>).</w:t>
      </w:r>
      <w:r w:rsidR="00D354AA" w:rsidRPr="00A25563">
        <w:rPr>
          <w:lang w:val="en-GB"/>
        </w:rPr>
        <w:t xml:space="preserve"> </w:t>
      </w:r>
      <w:r w:rsidR="00F60D16" w:rsidRPr="00A25563">
        <w:rPr>
          <w:lang w:val="en-GB"/>
        </w:rPr>
        <w:t>However</w:t>
      </w:r>
      <w:r w:rsidR="00F60D16" w:rsidRPr="00E63E1C">
        <w:rPr>
          <w:lang w:val="en-GB"/>
        </w:rPr>
        <w:t xml:space="preserve"> </w:t>
      </w:r>
      <w:r w:rsidR="00D354AA" w:rsidRPr="00E63E1C">
        <w:rPr>
          <w:lang w:val="en-GB"/>
        </w:rPr>
        <w:t>unlike TG</w:t>
      </w:r>
      <w:r w:rsidR="00F60D16" w:rsidRPr="00E63E1C">
        <w:rPr>
          <w:lang w:val="en-GB"/>
        </w:rPr>
        <w:t>,</w:t>
      </w:r>
      <w:r w:rsidR="00D354AA" w:rsidRPr="00E63E1C">
        <w:rPr>
          <w:lang w:val="en-GB"/>
        </w:rPr>
        <w:t xml:space="preserve"> </w:t>
      </w:r>
      <w:r w:rsidR="00F60D16" w:rsidRPr="00E63E1C">
        <w:rPr>
          <w:lang w:val="en-GB"/>
        </w:rPr>
        <w:t xml:space="preserve">the contribution of </w:t>
      </w:r>
      <w:r w:rsidR="00D354AA" w:rsidRPr="00E63E1C">
        <w:rPr>
          <w:lang w:val="en-GB"/>
        </w:rPr>
        <w:t xml:space="preserve">oddTG to </w:t>
      </w:r>
      <w:r w:rsidR="008B153D" w:rsidRPr="00E63E1C">
        <w:rPr>
          <w:lang w:val="en-GB"/>
        </w:rPr>
        <w:t xml:space="preserve">the </w:t>
      </w:r>
      <w:r w:rsidR="00D354AA" w:rsidRPr="00E63E1C">
        <w:rPr>
          <w:lang w:val="en-GB"/>
        </w:rPr>
        <w:t xml:space="preserve">total lipid </w:t>
      </w:r>
      <w:r w:rsidR="008B153D" w:rsidRPr="00E63E1C">
        <w:rPr>
          <w:lang w:val="en-GB"/>
        </w:rPr>
        <w:t xml:space="preserve">does not significantly change with </w:t>
      </w:r>
      <w:r w:rsidR="00D354AA" w:rsidRPr="00E63E1C">
        <w:rPr>
          <w:lang w:val="en-GB"/>
        </w:rPr>
        <w:t>depth</w:t>
      </w:r>
      <w:r w:rsidR="00A05A84" w:rsidRPr="00E63E1C">
        <w:rPr>
          <w:lang w:val="en-GB"/>
        </w:rPr>
        <w:t xml:space="preserve"> (</w:t>
      </w:r>
      <w:r w:rsidR="00D354AA" w:rsidRPr="00E63E1C">
        <w:rPr>
          <w:lang w:val="en-GB"/>
        </w:rPr>
        <w:t xml:space="preserve">although different oddTG </w:t>
      </w:r>
      <w:r w:rsidR="00A05A84" w:rsidRPr="00E63E1C">
        <w:rPr>
          <w:lang w:val="en-GB"/>
        </w:rPr>
        <w:t>were observed at</w:t>
      </w:r>
      <w:r w:rsidR="00D354AA" w:rsidRPr="00E63E1C">
        <w:rPr>
          <w:lang w:val="en-GB"/>
        </w:rPr>
        <w:t xml:space="preserve"> the surface </w:t>
      </w:r>
      <w:r w:rsidR="00A05A84" w:rsidRPr="00E63E1C">
        <w:rPr>
          <w:lang w:val="en-GB"/>
        </w:rPr>
        <w:t xml:space="preserve">than </w:t>
      </w:r>
      <w:r w:rsidR="00D354AA" w:rsidRPr="00E63E1C">
        <w:rPr>
          <w:lang w:val="en-GB"/>
        </w:rPr>
        <w:t xml:space="preserve">in the </w:t>
      </w:r>
      <w:r w:rsidR="005A5854" w:rsidRPr="00E63E1C">
        <w:rPr>
          <w:lang w:val="en-GB"/>
        </w:rPr>
        <w:t>a</w:t>
      </w:r>
      <w:r w:rsidR="00D354AA" w:rsidRPr="00E63E1C">
        <w:rPr>
          <w:lang w:val="en-GB"/>
        </w:rPr>
        <w:t>by</w:t>
      </w:r>
      <w:r w:rsidR="008B153D" w:rsidRPr="00E63E1C">
        <w:rPr>
          <w:lang w:val="en-GB"/>
        </w:rPr>
        <w:t>s</w:t>
      </w:r>
      <w:r w:rsidR="00D354AA" w:rsidRPr="00E63E1C">
        <w:rPr>
          <w:lang w:val="en-GB"/>
        </w:rPr>
        <w:t>sopelagic</w:t>
      </w:r>
      <w:r w:rsidR="005A5854" w:rsidRPr="00E63E1C">
        <w:rPr>
          <w:lang w:val="en-GB"/>
        </w:rPr>
        <w:t xml:space="preserve"> zone</w:t>
      </w:r>
      <w:r w:rsidR="00D354AA" w:rsidRPr="00E63E1C">
        <w:rPr>
          <w:lang w:val="en-GB"/>
        </w:rPr>
        <w:t xml:space="preserve">, with </w:t>
      </w:r>
      <w:r w:rsidR="00386183">
        <w:rPr>
          <w:lang w:val="en-GB"/>
        </w:rPr>
        <w:t xml:space="preserve">a </w:t>
      </w:r>
      <w:r w:rsidR="00D354AA" w:rsidRPr="00E63E1C">
        <w:rPr>
          <w:lang w:val="en-GB"/>
        </w:rPr>
        <w:t xml:space="preserve">high probability </w:t>
      </w:r>
      <w:r w:rsidR="00386183">
        <w:rPr>
          <w:lang w:val="en-GB"/>
        </w:rPr>
        <w:t>that</w:t>
      </w:r>
      <w:r w:rsidR="00386183" w:rsidRPr="00E63E1C">
        <w:rPr>
          <w:lang w:val="en-GB"/>
        </w:rPr>
        <w:t xml:space="preserve"> </w:t>
      </w:r>
      <w:r w:rsidR="00D354AA" w:rsidRPr="00E63E1C">
        <w:rPr>
          <w:lang w:val="en-GB"/>
        </w:rPr>
        <w:t xml:space="preserve">living bacteria </w:t>
      </w:r>
      <w:r w:rsidR="002976E1" w:rsidRPr="00E63E1C">
        <w:rPr>
          <w:lang w:val="en-GB"/>
        </w:rPr>
        <w:t xml:space="preserve">oddTG </w:t>
      </w:r>
      <w:r w:rsidR="00D354AA" w:rsidRPr="00E63E1C">
        <w:rPr>
          <w:lang w:val="en-GB"/>
        </w:rPr>
        <w:t xml:space="preserve">contributed </w:t>
      </w:r>
      <w:r w:rsidR="00D354AA" w:rsidRPr="00A25563">
        <w:rPr>
          <w:lang w:val="en-GB"/>
        </w:rPr>
        <w:t xml:space="preserve">to total lipids </w:t>
      </w:r>
      <w:r w:rsidR="00386183" w:rsidRPr="00A25563">
        <w:rPr>
          <w:lang w:val="en-GB"/>
        </w:rPr>
        <w:t xml:space="preserve">in the </w:t>
      </w:r>
      <w:r w:rsidR="005A5854" w:rsidRPr="00A25563">
        <w:rPr>
          <w:lang w:val="en-GB"/>
        </w:rPr>
        <w:t>a</w:t>
      </w:r>
      <w:r w:rsidR="00D354AA" w:rsidRPr="00A25563">
        <w:rPr>
          <w:lang w:val="en-GB"/>
        </w:rPr>
        <w:t>byssopelagic</w:t>
      </w:r>
      <w:r w:rsidR="005A5854" w:rsidRPr="00A25563">
        <w:rPr>
          <w:lang w:val="en-GB"/>
        </w:rPr>
        <w:t xml:space="preserve"> zone</w:t>
      </w:r>
      <w:r w:rsidR="00A05A84" w:rsidRPr="00A25563">
        <w:rPr>
          <w:lang w:val="en-GB"/>
        </w:rPr>
        <w:t>)</w:t>
      </w:r>
      <w:r w:rsidR="00D354AA" w:rsidRPr="00A25563">
        <w:rPr>
          <w:lang w:val="en-GB"/>
        </w:rPr>
        <w:t xml:space="preserve">. </w:t>
      </w:r>
    </w:p>
    <w:p w:rsidR="00E469A9" w:rsidRPr="00A25563" w:rsidRDefault="00F221F8" w:rsidP="00CD12B2">
      <w:pPr>
        <w:spacing w:after="120" w:line="360" w:lineRule="auto"/>
        <w:ind w:firstLine="720"/>
        <w:jc w:val="both"/>
        <w:rPr>
          <w:lang w:val="en-GB"/>
        </w:rPr>
      </w:pPr>
      <w:r w:rsidRPr="00A25563">
        <w:rPr>
          <w:lang w:val="en-GB"/>
        </w:rPr>
        <w:t xml:space="preserve">The diversity </w:t>
      </w:r>
      <w:r w:rsidR="00E469A9" w:rsidRPr="00A25563">
        <w:rPr>
          <w:lang w:val="en-GB"/>
        </w:rPr>
        <w:t xml:space="preserve">of DG significantly decreased </w:t>
      </w:r>
      <w:r w:rsidR="006268D7" w:rsidRPr="00A25563">
        <w:rPr>
          <w:lang w:val="en-GB"/>
        </w:rPr>
        <w:t xml:space="preserve">from the euphotic zone to the </w:t>
      </w:r>
      <w:r w:rsidR="006C5A05" w:rsidRPr="00A25563">
        <w:rPr>
          <w:lang w:val="en-GB"/>
        </w:rPr>
        <w:t>m</w:t>
      </w:r>
      <w:r w:rsidR="00E469A9" w:rsidRPr="00A25563">
        <w:rPr>
          <w:lang w:val="en-GB"/>
        </w:rPr>
        <w:t xml:space="preserve">esopelagic and </w:t>
      </w:r>
      <w:r w:rsidR="006268D7" w:rsidRPr="00A25563">
        <w:rPr>
          <w:lang w:val="en-GB"/>
        </w:rPr>
        <w:t>in</w:t>
      </w:r>
      <w:r w:rsidR="00E469A9" w:rsidRPr="00A25563">
        <w:rPr>
          <w:lang w:val="en-GB"/>
        </w:rPr>
        <w:t xml:space="preserve">to </w:t>
      </w:r>
      <w:r w:rsidR="006268D7" w:rsidRPr="00A25563">
        <w:rPr>
          <w:lang w:val="en-GB"/>
        </w:rPr>
        <w:t xml:space="preserve">the </w:t>
      </w:r>
      <w:r w:rsidR="006C5A05" w:rsidRPr="00A25563">
        <w:rPr>
          <w:lang w:val="en-GB"/>
        </w:rPr>
        <w:t>a</w:t>
      </w:r>
      <w:r w:rsidR="00E469A9" w:rsidRPr="00A25563">
        <w:rPr>
          <w:lang w:val="en-GB"/>
        </w:rPr>
        <w:t>byssopelagic</w:t>
      </w:r>
      <w:r w:rsidR="00255249" w:rsidRPr="00A25563">
        <w:rPr>
          <w:lang w:val="en-GB"/>
        </w:rPr>
        <w:t xml:space="preserve"> (</w:t>
      </w:r>
      <w:r w:rsidR="00CD63AC" w:rsidRPr="00A25563">
        <w:rPr>
          <w:lang w:val="en-GB"/>
        </w:rPr>
        <w:t>Fig. 4</w:t>
      </w:r>
      <w:r w:rsidR="00255249" w:rsidRPr="00A25563">
        <w:rPr>
          <w:lang w:val="en-GB"/>
        </w:rPr>
        <w:t>a)</w:t>
      </w:r>
      <w:r w:rsidR="006C5A05" w:rsidRPr="00A25563">
        <w:rPr>
          <w:lang w:val="en-GB"/>
        </w:rPr>
        <w:t xml:space="preserve"> depths</w:t>
      </w:r>
      <w:r w:rsidR="00E469A9" w:rsidRPr="00A25563">
        <w:rPr>
          <w:lang w:val="en-GB"/>
        </w:rPr>
        <w:t xml:space="preserve">. </w:t>
      </w:r>
      <w:r w:rsidR="0084051E" w:rsidRPr="00A25563">
        <w:rPr>
          <w:lang w:val="en-GB"/>
        </w:rPr>
        <w:t xml:space="preserve">The relative abundance of </w:t>
      </w:r>
      <w:r w:rsidR="00E469A9" w:rsidRPr="00A25563">
        <w:rPr>
          <w:lang w:val="en-GB"/>
        </w:rPr>
        <w:t>DG decrease</w:t>
      </w:r>
      <w:r w:rsidR="0084051E" w:rsidRPr="00A25563">
        <w:rPr>
          <w:lang w:val="en-GB"/>
        </w:rPr>
        <w:t>s</w:t>
      </w:r>
      <w:r w:rsidR="00E469A9" w:rsidRPr="00A25563">
        <w:rPr>
          <w:lang w:val="en-GB"/>
        </w:rPr>
        <w:t xml:space="preserve"> about 8</w:t>
      </w:r>
      <w:r w:rsidR="0084051E" w:rsidRPr="00A25563">
        <w:rPr>
          <w:lang w:val="en-GB"/>
        </w:rPr>
        <w:t>-fold</w:t>
      </w:r>
      <w:r w:rsidR="00255249" w:rsidRPr="00A25563">
        <w:rPr>
          <w:lang w:val="en-GB"/>
        </w:rPr>
        <w:t xml:space="preserve"> </w:t>
      </w:r>
      <w:r w:rsidR="0084051E" w:rsidRPr="00A25563">
        <w:rPr>
          <w:lang w:val="en-GB"/>
        </w:rPr>
        <w:t>(</w:t>
      </w:r>
      <w:r w:rsidR="00CD63AC" w:rsidRPr="00A25563">
        <w:rPr>
          <w:lang w:val="en-GB"/>
        </w:rPr>
        <w:t>Fig. 3</w:t>
      </w:r>
      <w:r w:rsidR="00255249" w:rsidRPr="00A25563">
        <w:rPr>
          <w:lang w:val="en-GB"/>
        </w:rPr>
        <w:t xml:space="preserve">c). </w:t>
      </w:r>
      <w:r w:rsidR="00C731FA" w:rsidRPr="00A25563">
        <w:rPr>
          <w:lang w:val="en-GB"/>
        </w:rPr>
        <w:t xml:space="preserve">In addition, a </w:t>
      </w:r>
      <w:r w:rsidR="00E469A9" w:rsidRPr="00A25563">
        <w:rPr>
          <w:lang w:val="en-GB"/>
        </w:rPr>
        <w:t xml:space="preserve">modest decrease in </w:t>
      </w:r>
      <w:r w:rsidR="00C731FA" w:rsidRPr="00A25563">
        <w:rPr>
          <w:lang w:val="en-GB"/>
        </w:rPr>
        <w:t>acyl carbon number</w:t>
      </w:r>
      <w:r w:rsidR="00E469A9" w:rsidRPr="00A25563">
        <w:rPr>
          <w:lang w:val="en-GB"/>
        </w:rPr>
        <w:t xml:space="preserve"> (18.2 in </w:t>
      </w:r>
      <w:r w:rsidR="00953109" w:rsidRPr="00A25563">
        <w:rPr>
          <w:lang w:val="en-GB"/>
        </w:rPr>
        <w:t>e</w:t>
      </w:r>
      <w:r w:rsidR="00E469A9" w:rsidRPr="00A25563">
        <w:rPr>
          <w:lang w:val="en-GB"/>
        </w:rPr>
        <w:t xml:space="preserve">pipelagic </w:t>
      </w:r>
      <w:r w:rsidR="001041E4" w:rsidRPr="00A25563">
        <w:rPr>
          <w:lang w:val="en-GB"/>
        </w:rPr>
        <w:t xml:space="preserve">and </w:t>
      </w:r>
      <w:r w:rsidR="00E469A9" w:rsidRPr="00A25563">
        <w:rPr>
          <w:lang w:val="en-GB"/>
        </w:rPr>
        <w:t xml:space="preserve">16.9 in </w:t>
      </w:r>
      <w:r w:rsidR="00953109" w:rsidRPr="00A25563">
        <w:rPr>
          <w:lang w:val="en-GB"/>
        </w:rPr>
        <w:t>a</w:t>
      </w:r>
      <w:r w:rsidR="00E469A9" w:rsidRPr="00A25563">
        <w:rPr>
          <w:lang w:val="en-GB"/>
        </w:rPr>
        <w:t>by</w:t>
      </w:r>
      <w:r w:rsidR="00851745" w:rsidRPr="00A25563">
        <w:rPr>
          <w:lang w:val="en-GB"/>
        </w:rPr>
        <w:t>s</w:t>
      </w:r>
      <w:r w:rsidR="00E469A9" w:rsidRPr="00A25563">
        <w:rPr>
          <w:lang w:val="en-GB"/>
        </w:rPr>
        <w:t>sopelagic</w:t>
      </w:r>
      <w:r w:rsidR="00953109" w:rsidRPr="00A25563">
        <w:rPr>
          <w:lang w:val="en-GB"/>
        </w:rPr>
        <w:t xml:space="preserve"> zones</w:t>
      </w:r>
      <w:r w:rsidR="00E469A9" w:rsidRPr="00A25563">
        <w:rPr>
          <w:lang w:val="en-GB"/>
        </w:rPr>
        <w:t xml:space="preserve">) and </w:t>
      </w:r>
      <w:r w:rsidR="00C731FA" w:rsidRPr="00A25563">
        <w:rPr>
          <w:lang w:val="en-GB"/>
        </w:rPr>
        <w:t xml:space="preserve">a </w:t>
      </w:r>
      <w:r w:rsidR="00E469A9" w:rsidRPr="00A25563">
        <w:rPr>
          <w:lang w:val="en-GB"/>
        </w:rPr>
        <w:t xml:space="preserve">substantial decrease in </w:t>
      </w:r>
      <w:r w:rsidR="00C731FA" w:rsidRPr="00A25563">
        <w:rPr>
          <w:lang w:val="en-GB"/>
        </w:rPr>
        <w:t>the acyl DBE</w:t>
      </w:r>
      <w:r w:rsidR="00E469A9" w:rsidRPr="00A25563">
        <w:rPr>
          <w:lang w:val="en-GB"/>
        </w:rPr>
        <w:t xml:space="preserve"> </w:t>
      </w:r>
      <w:r w:rsidR="00C731FA" w:rsidRPr="00A25563">
        <w:rPr>
          <w:lang w:val="en-GB"/>
        </w:rPr>
        <w:t xml:space="preserve">(an </w:t>
      </w:r>
      <w:r w:rsidR="00E469A9" w:rsidRPr="00A25563">
        <w:rPr>
          <w:lang w:val="en-GB"/>
        </w:rPr>
        <w:t xml:space="preserve">average </w:t>
      </w:r>
      <w:r w:rsidR="00C731FA" w:rsidRPr="00A25563">
        <w:rPr>
          <w:lang w:val="en-GB"/>
        </w:rPr>
        <w:t xml:space="preserve">of </w:t>
      </w:r>
      <w:r w:rsidR="00E469A9" w:rsidRPr="00A25563">
        <w:rPr>
          <w:lang w:val="en-GB"/>
        </w:rPr>
        <w:t xml:space="preserve">3.6 at </w:t>
      </w:r>
      <w:r w:rsidR="00953109" w:rsidRPr="00A25563">
        <w:rPr>
          <w:lang w:val="en-GB"/>
        </w:rPr>
        <w:t>e</w:t>
      </w:r>
      <w:r w:rsidR="00E469A9" w:rsidRPr="00A25563">
        <w:rPr>
          <w:lang w:val="en-GB"/>
        </w:rPr>
        <w:t xml:space="preserve">pipelagic </w:t>
      </w:r>
      <w:r w:rsidR="00C731FA" w:rsidRPr="00A25563">
        <w:rPr>
          <w:lang w:val="en-GB"/>
        </w:rPr>
        <w:lastRenderedPageBreak/>
        <w:t xml:space="preserve">and </w:t>
      </w:r>
      <w:r w:rsidR="00E469A9" w:rsidRPr="00A25563">
        <w:rPr>
          <w:lang w:val="en-GB"/>
        </w:rPr>
        <w:t xml:space="preserve">0.6 in </w:t>
      </w:r>
      <w:r w:rsidR="00953109" w:rsidRPr="00A25563">
        <w:rPr>
          <w:lang w:val="en-GB"/>
        </w:rPr>
        <w:t>a</w:t>
      </w:r>
      <w:r w:rsidR="00E469A9" w:rsidRPr="00A25563">
        <w:rPr>
          <w:lang w:val="en-GB"/>
        </w:rPr>
        <w:t>bys</w:t>
      </w:r>
      <w:r w:rsidR="00851745" w:rsidRPr="00A25563">
        <w:rPr>
          <w:lang w:val="en-GB"/>
        </w:rPr>
        <w:t>s</w:t>
      </w:r>
      <w:r w:rsidR="00E469A9" w:rsidRPr="00A25563">
        <w:rPr>
          <w:lang w:val="en-GB"/>
        </w:rPr>
        <w:t>opelagic</w:t>
      </w:r>
      <w:r w:rsidR="00953109" w:rsidRPr="00A25563">
        <w:rPr>
          <w:lang w:val="en-GB"/>
        </w:rPr>
        <w:t xml:space="preserve"> zones</w:t>
      </w:r>
      <w:r w:rsidR="00C731FA" w:rsidRPr="00A25563">
        <w:rPr>
          <w:lang w:val="en-GB"/>
        </w:rPr>
        <w:t>) were also observed for DG</w:t>
      </w:r>
      <w:r w:rsidR="00E469A9" w:rsidRPr="00A25563">
        <w:rPr>
          <w:lang w:val="en-GB"/>
        </w:rPr>
        <w:t xml:space="preserve">. </w:t>
      </w:r>
      <w:r w:rsidR="004E222F" w:rsidRPr="00A25563">
        <w:rPr>
          <w:lang w:val="en-GB"/>
        </w:rPr>
        <w:t>F</w:t>
      </w:r>
      <w:r w:rsidR="00E469A9" w:rsidRPr="00A25563">
        <w:rPr>
          <w:lang w:val="en-GB"/>
        </w:rPr>
        <w:t xml:space="preserve">our MG </w:t>
      </w:r>
      <w:r w:rsidR="002976E1" w:rsidRPr="00A25563">
        <w:rPr>
          <w:lang w:val="en-GB"/>
        </w:rPr>
        <w:t xml:space="preserve">molecules </w:t>
      </w:r>
      <w:r w:rsidR="00A66D72" w:rsidRPr="00A25563">
        <w:rPr>
          <w:lang w:val="en-GB"/>
        </w:rPr>
        <w:t xml:space="preserve">were </w:t>
      </w:r>
      <w:r w:rsidR="00E469A9" w:rsidRPr="00A25563">
        <w:rPr>
          <w:lang w:val="en-GB"/>
        </w:rPr>
        <w:t>detected in the whole water column suggest</w:t>
      </w:r>
      <w:r w:rsidR="004E222F" w:rsidRPr="00A25563">
        <w:rPr>
          <w:lang w:val="en-GB"/>
        </w:rPr>
        <w:t>ing</w:t>
      </w:r>
      <w:r w:rsidR="00E469A9" w:rsidRPr="00A25563">
        <w:rPr>
          <w:lang w:val="en-GB"/>
        </w:rPr>
        <w:t xml:space="preserve"> their </w:t>
      </w:r>
      <w:r w:rsidR="002976E1" w:rsidRPr="00A25563">
        <w:rPr>
          <w:lang w:val="en-GB"/>
        </w:rPr>
        <w:t xml:space="preserve">high </w:t>
      </w:r>
      <w:r w:rsidR="00E469A9" w:rsidRPr="00A25563">
        <w:rPr>
          <w:lang w:val="en-GB"/>
        </w:rPr>
        <w:t xml:space="preserve">susceptibility to degradation. </w:t>
      </w:r>
      <w:r w:rsidR="00386183" w:rsidRPr="00A25563">
        <w:rPr>
          <w:lang w:val="en-GB"/>
        </w:rPr>
        <w:t xml:space="preserve">The </w:t>
      </w:r>
      <w:r w:rsidR="00E469A9" w:rsidRPr="00A25563">
        <w:rPr>
          <w:lang w:val="en-GB"/>
        </w:rPr>
        <w:t xml:space="preserve">nature of </w:t>
      </w:r>
      <w:r w:rsidR="00386183" w:rsidRPr="00A25563">
        <w:rPr>
          <w:lang w:val="en-GB"/>
        </w:rPr>
        <w:t xml:space="preserve">the </w:t>
      </w:r>
      <w:r w:rsidR="004E222F" w:rsidRPr="00A25563">
        <w:rPr>
          <w:lang w:val="en-GB"/>
        </w:rPr>
        <w:t xml:space="preserve">observed </w:t>
      </w:r>
      <w:r w:rsidR="00E469A9" w:rsidRPr="00A25563">
        <w:rPr>
          <w:lang w:val="en-GB"/>
        </w:rPr>
        <w:t>MG indicates that only saturated MG are stable i.e. not prone to further degradation</w:t>
      </w:r>
      <w:r w:rsidR="00791ECD" w:rsidRPr="00A25563">
        <w:rPr>
          <w:lang w:val="en-GB"/>
        </w:rPr>
        <w:t xml:space="preserve"> in the Northeast Atlantic</w:t>
      </w:r>
      <w:r w:rsidR="00E469A9" w:rsidRPr="00A25563">
        <w:rPr>
          <w:lang w:val="en-GB"/>
        </w:rPr>
        <w:t>.</w:t>
      </w:r>
    </w:p>
    <w:p w:rsidR="006E7E67" w:rsidRPr="00E63E1C" w:rsidRDefault="00BA6A8C" w:rsidP="002E1DA3">
      <w:pPr>
        <w:spacing w:after="120" w:line="360" w:lineRule="auto"/>
        <w:ind w:firstLine="720"/>
        <w:jc w:val="both"/>
        <w:rPr>
          <w:lang w:val="en-GB"/>
        </w:rPr>
      </w:pPr>
      <w:r w:rsidRPr="00A25563">
        <w:rPr>
          <w:lang w:val="en-GB"/>
        </w:rPr>
        <w:t>Depth</w:t>
      </w:r>
      <w:r w:rsidR="0049051E" w:rsidRPr="00A25563">
        <w:rPr>
          <w:lang w:val="en-GB"/>
        </w:rPr>
        <w:t>-</w:t>
      </w:r>
      <w:r w:rsidRPr="00A25563">
        <w:rPr>
          <w:lang w:val="en-GB"/>
        </w:rPr>
        <w:t>related r</w:t>
      </w:r>
      <w:r w:rsidR="00D20901" w:rsidRPr="00A25563">
        <w:rPr>
          <w:lang w:val="en-GB"/>
        </w:rPr>
        <w:t xml:space="preserve">elative </w:t>
      </w:r>
      <w:r w:rsidR="00C837C6" w:rsidRPr="00A25563">
        <w:rPr>
          <w:lang w:val="en-GB"/>
        </w:rPr>
        <w:t xml:space="preserve">abundance </w:t>
      </w:r>
      <w:r w:rsidR="00D20901" w:rsidRPr="00A25563">
        <w:rPr>
          <w:lang w:val="en-GB"/>
        </w:rPr>
        <w:t>changes</w:t>
      </w:r>
      <w:r w:rsidR="004E222F" w:rsidRPr="00A25563">
        <w:rPr>
          <w:lang w:val="en-GB"/>
        </w:rPr>
        <w:t xml:space="preserve"> of reported lipid classes</w:t>
      </w:r>
      <w:r w:rsidR="0014073B" w:rsidRPr="00A25563">
        <w:rPr>
          <w:lang w:val="en-GB"/>
        </w:rPr>
        <w:t xml:space="preserve"> (Fig. </w:t>
      </w:r>
      <w:r w:rsidR="00DD2E6E" w:rsidRPr="00A25563">
        <w:rPr>
          <w:lang w:val="en-GB"/>
        </w:rPr>
        <w:t>3</w:t>
      </w:r>
      <w:r w:rsidR="0014073B" w:rsidRPr="00A25563">
        <w:rPr>
          <w:lang w:val="en-GB"/>
        </w:rPr>
        <w:t>e</w:t>
      </w:r>
      <w:r w:rsidR="00D20901" w:rsidRPr="00A25563">
        <w:rPr>
          <w:lang w:val="en-GB"/>
        </w:rPr>
        <w:t xml:space="preserve">) show </w:t>
      </w:r>
      <w:r w:rsidRPr="00A25563">
        <w:rPr>
          <w:lang w:val="en-GB"/>
        </w:rPr>
        <w:t xml:space="preserve">the highest </w:t>
      </w:r>
      <w:r w:rsidR="004E222F" w:rsidRPr="00A25563">
        <w:rPr>
          <w:lang w:val="en-GB"/>
        </w:rPr>
        <w:t xml:space="preserve">reduction in relative </w:t>
      </w:r>
      <w:r w:rsidR="00C837C6" w:rsidRPr="00A25563">
        <w:rPr>
          <w:lang w:val="en-GB"/>
        </w:rPr>
        <w:t>abundance</w:t>
      </w:r>
      <w:r w:rsidR="004E222F" w:rsidRPr="00A25563">
        <w:rPr>
          <w:lang w:val="en-GB"/>
        </w:rPr>
        <w:t xml:space="preserve"> for</w:t>
      </w:r>
      <w:r w:rsidRPr="00A25563">
        <w:rPr>
          <w:lang w:val="en-GB"/>
        </w:rPr>
        <w:t xml:space="preserve"> UFA </w:t>
      </w:r>
      <w:r w:rsidR="004E222F" w:rsidRPr="00A25563">
        <w:rPr>
          <w:lang w:val="en-GB"/>
        </w:rPr>
        <w:t xml:space="preserve">in </w:t>
      </w:r>
      <w:r w:rsidRPr="00A25563">
        <w:rPr>
          <w:lang w:val="en-GB"/>
        </w:rPr>
        <w:t>the water column</w:t>
      </w:r>
      <w:r w:rsidR="002976E1" w:rsidRPr="00A25563">
        <w:rPr>
          <w:lang w:val="en-GB"/>
        </w:rPr>
        <w:t xml:space="preserve"> in comparison to other </w:t>
      </w:r>
      <w:r w:rsidR="005C4147" w:rsidRPr="00A25563">
        <w:rPr>
          <w:lang w:val="en-GB"/>
        </w:rPr>
        <w:t>observed</w:t>
      </w:r>
      <w:r w:rsidR="002976E1" w:rsidRPr="00A25563">
        <w:rPr>
          <w:lang w:val="en-GB"/>
        </w:rPr>
        <w:t xml:space="preserve"> lipids</w:t>
      </w:r>
      <w:r w:rsidRPr="00A25563">
        <w:rPr>
          <w:lang w:val="en-GB"/>
        </w:rPr>
        <w:t>. This is not surpri</w:t>
      </w:r>
      <w:r w:rsidRPr="00E63E1C">
        <w:rPr>
          <w:lang w:val="en-GB"/>
        </w:rPr>
        <w:t xml:space="preserve">sing </w:t>
      </w:r>
      <w:r w:rsidR="0025661F" w:rsidRPr="00E63E1C">
        <w:rPr>
          <w:lang w:val="en-GB"/>
        </w:rPr>
        <w:t>as</w:t>
      </w:r>
      <w:r w:rsidRPr="00E63E1C">
        <w:rPr>
          <w:lang w:val="en-GB"/>
        </w:rPr>
        <w:t xml:space="preserve"> unsaturated organic</w:t>
      </w:r>
      <w:r w:rsidR="00193F56" w:rsidRPr="00E63E1C">
        <w:rPr>
          <w:lang w:val="en-GB"/>
        </w:rPr>
        <w:t xml:space="preserve"> </w:t>
      </w:r>
      <w:r w:rsidR="00FA4834" w:rsidRPr="00E63E1C">
        <w:rPr>
          <w:lang w:val="en-GB"/>
        </w:rPr>
        <w:t xml:space="preserve">substances </w:t>
      </w:r>
      <w:r w:rsidRPr="00E63E1C">
        <w:rPr>
          <w:lang w:val="en-GB"/>
        </w:rPr>
        <w:t xml:space="preserve">are the most reactive compounds </w:t>
      </w:r>
      <w:r w:rsidR="00FD32B5" w:rsidRPr="00E63E1C">
        <w:rPr>
          <w:lang w:val="en-GB"/>
        </w:rPr>
        <w:t xml:space="preserve">that undergo </w:t>
      </w:r>
      <w:r w:rsidRPr="00E63E1C">
        <w:rPr>
          <w:lang w:val="en-GB"/>
        </w:rPr>
        <w:t>abiotic (photodegradation) or biotic (enzymatic) degradation.</w:t>
      </w:r>
      <w:r w:rsidR="006C39F7" w:rsidRPr="00E63E1C">
        <w:rPr>
          <w:lang w:val="en-GB"/>
        </w:rPr>
        <w:t xml:space="preserve"> </w:t>
      </w:r>
      <w:r w:rsidR="004D4585" w:rsidRPr="00E63E1C">
        <w:rPr>
          <w:lang w:val="en-GB"/>
        </w:rPr>
        <w:t>Selective and efficient removal of polyunsaturated fatty acids with depth was observed in other studies (Wakeham et al., 1997; Loh et al., 2008)</w:t>
      </w:r>
      <w:r w:rsidR="002E1DA3" w:rsidRPr="00E63E1C">
        <w:rPr>
          <w:lang w:val="en-GB"/>
        </w:rPr>
        <w:t xml:space="preserve">. </w:t>
      </w:r>
      <w:r w:rsidR="00740440" w:rsidRPr="00E63E1C">
        <w:rPr>
          <w:lang w:val="en-GB"/>
        </w:rPr>
        <w:t>Only 1</w:t>
      </w:r>
      <w:r w:rsidR="00754C23" w:rsidRPr="00E63E1C">
        <w:rPr>
          <w:lang w:val="en-GB"/>
        </w:rPr>
        <w:sym w:font="Symbol" w:char="F02D"/>
      </w:r>
      <w:r w:rsidR="00740440" w:rsidRPr="00E63E1C">
        <w:rPr>
          <w:lang w:val="en-GB"/>
        </w:rPr>
        <w:t>8 different UFAs were observed for the whole water column (</w:t>
      </w:r>
      <w:r w:rsidR="00CD63AC" w:rsidRPr="00E63E1C">
        <w:rPr>
          <w:lang w:val="en-GB"/>
        </w:rPr>
        <w:t>Fig. 4</w:t>
      </w:r>
      <w:r w:rsidR="00740440" w:rsidRPr="00E63E1C">
        <w:rPr>
          <w:lang w:val="en-GB"/>
        </w:rPr>
        <w:t xml:space="preserve">b) and the degree of unsaturation </w:t>
      </w:r>
      <w:r w:rsidR="00851745" w:rsidRPr="00E63E1C">
        <w:rPr>
          <w:lang w:val="en-GB"/>
        </w:rPr>
        <w:t xml:space="preserve">substantially </w:t>
      </w:r>
      <w:r w:rsidR="00740440" w:rsidRPr="00E63E1C">
        <w:rPr>
          <w:lang w:val="en-GB"/>
        </w:rPr>
        <w:t xml:space="preserve">decreased from </w:t>
      </w:r>
      <w:r w:rsidR="00A2684E" w:rsidRPr="00E63E1C">
        <w:rPr>
          <w:lang w:val="en-GB"/>
        </w:rPr>
        <w:t>e</w:t>
      </w:r>
      <w:r w:rsidR="00740440" w:rsidRPr="00E63E1C">
        <w:rPr>
          <w:lang w:val="en-GB"/>
        </w:rPr>
        <w:t>pipelagic</w:t>
      </w:r>
      <w:r w:rsidR="00851745" w:rsidRPr="00E63E1C">
        <w:rPr>
          <w:lang w:val="en-GB"/>
        </w:rPr>
        <w:t xml:space="preserve"> to </w:t>
      </w:r>
      <w:r w:rsidR="00A2684E" w:rsidRPr="00E63E1C">
        <w:rPr>
          <w:lang w:val="en-GB"/>
        </w:rPr>
        <w:t>b</w:t>
      </w:r>
      <w:r w:rsidR="00851745" w:rsidRPr="00E63E1C">
        <w:rPr>
          <w:lang w:val="en-GB"/>
        </w:rPr>
        <w:t>athypelagic</w:t>
      </w:r>
      <w:r w:rsidR="00A2684E" w:rsidRPr="00E63E1C">
        <w:rPr>
          <w:lang w:val="en-GB"/>
        </w:rPr>
        <w:t xml:space="preserve"> depths</w:t>
      </w:r>
      <w:r w:rsidR="00851745" w:rsidRPr="00E63E1C">
        <w:rPr>
          <w:lang w:val="en-GB"/>
        </w:rPr>
        <w:t xml:space="preserve">, while no UFA were detected in </w:t>
      </w:r>
      <w:r w:rsidR="00386183">
        <w:rPr>
          <w:lang w:val="en-GB"/>
        </w:rPr>
        <w:t xml:space="preserve">the </w:t>
      </w:r>
      <w:r w:rsidR="00A2684E" w:rsidRPr="00E63E1C">
        <w:rPr>
          <w:lang w:val="en-GB"/>
        </w:rPr>
        <w:t>a</w:t>
      </w:r>
      <w:r w:rsidR="00851745" w:rsidRPr="00E63E1C">
        <w:rPr>
          <w:lang w:val="en-GB"/>
        </w:rPr>
        <w:t xml:space="preserve">byssopelagic </w:t>
      </w:r>
      <w:r w:rsidR="00A2684E" w:rsidRPr="00E63E1C">
        <w:rPr>
          <w:lang w:val="en-GB"/>
        </w:rPr>
        <w:t xml:space="preserve">zone </w:t>
      </w:r>
      <w:r w:rsidR="00851745" w:rsidRPr="00E63E1C">
        <w:rPr>
          <w:lang w:val="en-GB"/>
        </w:rPr>
        <w:t xml:space="preserve">(Fig. </w:t>
      </w:r>
      <w:r w:rsidR="00893BB2" w:rsidRPr="00E63E1C">
        <w:rPr>
          <w:lang w:val="en-GB"/>
        </w:rPr>
        <w:t>6</w:t>
      </w:r>
      <w:r w:rsidR="00851745" w:rsidRPr="00E63E1C">
        <w:rPr>
          <w:lang w:val="en-GB"/>
        </w:rPr>
        <w:t>b</w:t>
      </w:r>
      <w:r w:rsidR="00740440" w:rsidRPr="00E63E1C">
        <w:rPr>
          <w:lang w:val="en-GB"/>
        </w:rPr>
        <w:t xml:space="preserve">). </w:t>
      </w:r>
      <w:r w:rsidR="001550B3" w:rsidRPr="00E63E1C">
        <w:rPr>
          <w:lang w:val="en-GB"/>
        </w:rPr>
        <w:t xml:space="preserve">UFA at </w:t>
      </w:r>
      <w:r w:rsidR="00386183">
        <w:rPr>
          <w:lang w:val="en-GB"/>
        </w:rPr>
        <w:t>greater</w:t>
      </w:r>
      <w:r w:rsidR="00386183" w:rsidRPr="00E63E1C">
        <w:rPr>
          <w:lang w:val="en-GB"/>
        </w:rPr>
        <w:t xml:space="preserve"> </w:t>
      </w:r>
      <w:r w:rsidR="001550B3" w:rsidRPr="00E63E1C">
        <w:rPr>
          <w:lang w:val="en-GB"/>
        </w:rPr>
        <w:t>depths might be of bacterial origin</w:t>
      </w:r>
      <w:r w:rsidR="00386183">
        <w:rPr>
          <w:lang w:val="en-GB"/>
        </w:rPr>
        <w:t xml:space="preserve"> and we suggest that</w:t>
      </w:r>
      <w:r w:rsidR="001550B3" w:rsidRPr="00E63E1C">
        <w:rPr>
          <w:lang w:val="en-GB"/>
        </w:rPr>
        <w:t xml:space="preserve"> </w:t>
      </w:r>
      <w:r w:rsidR="005628F9" w:rsidRPr="00E63E1C">
        <w:rPr>
          <w:lang w:val="en-GB"/>
        </w:rPr>
        <w:t>b</w:t>
      </w:r>
      <w:r w:rsidR="001550B3" w:rsidRPr="00E63E1C">
        <w:rPr>
          <w:lang w:val="en-GB"/>
        </w:rPr>
        <w:t xml:space="preserve">acteria are able to produce polyunsaturated fatty acids helping the regulation of the membrane fluidity triggered by temperature and pressure and providing protection from oxidative stress (de Carvalho, and Caramujo, 2012). </w:t>
      </w:r>
    </w:p>
    <w:p w:rsidR="002E1DA3" w:rsidRPr="00E63E1C" w:rsidRDefault="005628F9" w:rsidP="002E1DA3">
      <w:pPr>
        <w:spacing w:after="120" w:line="360" w:lineRule="auto"/>
        <w:ind w:firstLine="720"/>
        <w:jc w:val="both"/>
        <w:rPr>
          <w:lang w:val="en-GB"/>
        </w:rPr>
      </w:pPr>
      <w:r w:rsidRPr="00E63E1C">
        <w:rPr>
          <w:lang w:val="en-GB"/>
        </w:rPr>
        <w:t xml:space="preserve">We found that at </w:t>
      </w:r>
      <w:r w:rsidR="00736679" w:rsidRPr="00E63E1C">
        <w:rPr>
          <w:lang w:val="en-GB"/>
        </w:rPr>
        <w:t>e</w:t>
      </w:r>
      <w:r w:rsidRPr="00E63E1C">
        <w:rPr>
          <w:lang w:val="en-GB"/>
        </w:rPr>
        <w:t>pipela</w:t>
      </w:r>
      <w:r w:rsidR="00E469A9" w:rsidRPr="00E63E1C">
        <w:rPr>
          <w:lang w:val="en-GB"/>
        </w:rPr>
        <w:t>g</w:t>
      </w:r>
      <w:r w:rsidRPr="00E63E1C">
        <w:rPr>
          <w:lang w:val="en-GB"/>
        </w:rPr>
        <w:t xml:space="preserve">ic </w:t>
      </w:r>
      <w:r w:rsidR="0083701A" w:rsidRPr="00E63E1C">
        <w:rPr>
          <w:lang w:val="en-GB"/>
        </w:rPr>
        <w:t>depths</w:t>
      </w:r>
      <w:r w:rsidR="00736679" w:rsidRPr="00E63E1C">
        <w:rPr>
          <w:lang w:val="en-GB"/>
        </w:rPr>
        <w:t xml:space="preserve"> </w:t>
      </w:r>
      <w:r w:rsidR="00B10716" w:rsidRPr="00E63E1C">
        <w:rPr>
          <w:lang w:val="en-GB"/>
        </w:rPr>
        <w:t xml:space="preserve">three </w:t>
      </w:r>
      <w:r w:rsidRPr="00E63E1C">
        <w:rPr>
          <w:lang w:val="en-GB"/>
        </w:rPr>
        <w:t xml:space="preserve">UFA dominated </w:t>
      </w:r>
      <w:r w:rsidR="0083701A" w:rsidRPr="00E63E1C">
        <w:rPr>
          <w:lang w:val="en-GB"/>
        </w:rPr>
        <w:t xml:space="preserve">the </w:t>
      </w:r>
      <w:r w:rsidR="00B10716" w:rsidRPr="00E63E1C">
        <w:rPr>
          <w:lang w:val="en-GB"/>
        </w:rPr>
        <w:t>U</w:t>
      </w:r>
      <w:r w:rsidRPr="00E63E1C">
        <w:rPr>
          <w:lang w:val="en-GB"/>
        </w:rPr>
        <w:t xml:space="preserve">FA pool (Table 1). </w:t>
      </w:r>
      <w:r w:rsidR="004E222F" w:rsidRPr="00E63E1C">
        <w:rPr>
          <w:lang w:val="en-GB"/>
        </w:rPr>
        <w:t>Among the observed u</w:t>
      </w:r>
      <w:r w:rsidRPr="00E63E1C">
        <w:rPr>
          <w:lang w:val="en-GB"/>
        </w:rPr>
        <w:t>nsaturated C</w:t>
      </w:r>
      <w:r w:rsidRPr="00E63E1C">
        <w:rPr>
          <w:vertAlign w:val="subscript"/>
          <w:lang w:val="en-GB"/>
        </w:rPr>
        <w:t>16</w:t>
      </w:r>
      <w:r w:rsidRPr="00E63E1C">
        <w:rPr>
          <w:lang w:val="en-GB"/>
        </w:rPr>
        <w:t xml:space="preserve"> fatty acids, </w:t>
      </w:r>
      <w:r w:rsidR="003F2D7F" w:rsidRPr="00E63E1C">
        <w:rPr>
          <w:lang w:val="en-GB"/>
        </w:rPr>
        <w:t xml:space="preserve">16:4 and </w:t>
      </w:r>
      <w:r w:rsidR="004E222F" w:rsidRPr="00E63E1C">
        <w:rPr>
          <w:lang w:val="en-GB"/>
        </w:rPr>
        <w:t xml:space="preserve">16:2 </w:t>
      </w:r>
      <w:r w:rsidR="001242EC" w:rsidRPr="00E63E1C">
        <w:rPr>
          <w:lang w:val="en-GB"/>
        </w:rPr>
        <w:t>show the highest</w:t>
      </w:r>
      <w:r w:rsidR="004E222F" w:rsidRPr="00E63E1C">
        <w:rPr>
          <w:lang w:val="en-GB"/>
        </w:rPr>
        <w:t xml:space="preserve"> abundan</w:t>
      </w:r>
      <w:r w:rsidR="001242EC" w:rsidRPr="00E63E1C">
        <w:rPr>
          <w:lang w:val="en-GB"/>
        </w:rPr>
        <w:t>ce</w:t>
      </w:r>
      <w:r w:rsidRPr="00E63E1C">
        <w:rPr>
          <w:lang w:val="en-GB"/>
        </w:rPr>
        <w:t xml:space="preserve"> </w:t>
      </w:r>
      <w:r w:rsidR="00FD32B5" w:rsidRPr="00E63E1C">
        <w:rPr>
          <w:lang w:val="en-GB"/>
        </w:rPr>
        <w:t xml:space="preserve">which serve </w:t>
      </w:r>
      <w:r w:rsidRPr="00E63E1C">
        <w:rPr>
          <w:lang w:val="en-GB"/>
        </w:rPr>
        <w:t>as</w:t>
      </w:r>
      <w:r w:rsidR="00C42290" w:rsidRPr="00E63E1C">
        <w:rPr>
          <w:lang w:val="en-GB"/>
        </w:rPr>
        <w:t xml:space="preserve"> </w:t>
      </w:r>
      <w:r w:rsidRPr="00E63E1C">
        <w:rPr>
          <w:lang w:val="en-GB"/>
        </w:rPr>
        <w:t>a</w:t>
      </w:r>
      <w:r w:rsidR="00C42290" w:rsidRPr="00E63E1C">
        <w:rPr>
          <w:lang w:val="en-GB"/>
        </w:rPr>
        <w:t xml:space="preserve"> </w:t>
      </w:r>
      <w:r w:rsidRPr="00E63E1C">
        <w:rPr>
          <w:lang w:val="en-GB"/>
        </w:rPr>
        <w:t>specific</w:t>
      </w:r>
      <w:r w:rsidR="00C42290" w:rsidRPr="00E63E1C">
        <w:rPr>
          <w:lang w:val="en-GB"/>
        </w:rPr>
        <w:t xml:space="preserve"> </w:t>
      </w:r>
      <w:r w:rsidRPr="00E63E1C">
        <w:rPr>
          <w:lang w:val="en-GB"/>
        </w:rPr>
        <w:t>marker</w:t>
      </w:r>
      <w:r w:rsidR="00C42290" w:rsidRPr="00E63E1C">
        <w:rPr>
          <w:lang w:val="en-GB"/>
        </w:rPr>
        <w:t xml:space="preserve"> </w:t>
      </w:r>
      <w:r w:rsidRPr="00E63E1C">
        <w:rPr>
          <w:lang w:val="en-GB"/>
        </w:rPr>
        <w:t>of</w:t>
      </w:r>
      <w:r w:rsidR="00C42290" w:rsidRPr="00E63E1C">
        <w:rPr>
          <w:lang w:val="en-GB"/>
        </w:rPr>
        <w:t xml:space="preserve"> </w:t>
      </w:r>
      <w:r w:rsidRPr="00E63E1C">
        <w:rPr>
          <w:lang w:val="en-GB"/>
        </w:rPr>
        <w:t>diatoms, togeth</w:t>
      </w:r>
      <w:r w:rsidR="003F2D7F" w:rsidRPr="00E63E1C">
        <w:rPr>
          <w:lang w:val="en-GB"/>
        </w:rPr>
        <w:t xml:space="preserve">er with </w:t>
      </w:r>
      <w:r w:rsidRPr="00E63E1C">
        <w:rPr>
          <w:lang w:val="en-GB"/>
        </w:rPr>
        <w:t>16:0 (Dalsgaard et al., 2003)</w:t>
      </w:r>
      <w:r w:rsidR="009476CB" w:rsidRPr="00E63E1C">
        <w:rPr>
          <w:lang w:val="en-GB"/>
        </w:rPr>
        <w:t>,</w:t>
      </w:r>
      <w:r w:rsidRPr="00E63E1C">
        <w:rPr>
          <w:lang w:val="en-GB"/>
        </w:rPr>
        <w:t xml:space="preserve"> which </w:t>
      </w:r>
      <w:r w:rsidR="002976E1" w:rsidRPr="00E63E1C">
        <w:rPr>
          <w:lang w:val="en-GB"/>
        </w:rPr>
        <w:t>was</w:t>
      </w:r>
      <w:r w:rsidRPr="00E63E1C">
        <w:rPr>
          <w:lang w:val="en-GB"/>
        </w:rPr>
        <w:t xml:space="preserve"> also found </w:t>
      </w:r>
      <w:r w:rsidR="002E7B27" w:rsidRPr="00E63E1C">
        <w:rPr>
          <w:lang w:val="en-GB"/>
        </w:rPr>
        <w:t>abundant</w:t>
      </w:r>
      <w:r w:rsidRPr="00E63E1C">
        <w:rPr>
          <w:lang w:val="en-GB"/>
        </w:rPr>
        <w:t xml:space="preserve"> in our samples. </w:t>
      </w:r>
      <w:r w:rsidR="00846520" w:rsidRPr="00E63E1C">
        <w:rPr>
          <w:lang w:val="en-GB"/>
        </w:rPr>
        <w:t xml:space="preserve">Also </w:t>
      </w:r>
      <w:r w:rsidR="004E222F" w:rsidRPr="00E63E1C">
        <w:rPr>
          <w:lang w:val="en-GB"/>
        </w:rPr>
        <w:t xml:space="preserve">the observed </w:t>
      </w:r>
      <w:r w:rsidRPr="00E63E1C">
        <w:rPr>
          <w:lang w:val="en-GB"/>
        </w:rPr>
        <w:t>long-chain,</w:t>
      </w:r>
      <w:r w:rsidR="00C42290" w:rsidRPr="00E63E1C">
        <w:rPr>
          <w:lang w:val="en-GB"/>
        </w:rPr>
        <w:t xml:space="preserve"> </w:t>
      </w:r>
      <w:r w:rsidRPr="00E63E1C">
        <w:rPr>
          <w:lang w:val="en-GB"/>
        </w:rPr>
        <w:t>highly-unsaturated</w:t>
      </w:r>
      <w:r w:rsidR="002976E1" w:rsidRPr="00E63E1C">
        <w:rPr>
          <w:lang w:val="en-GB"/>
        </w:rPr>
        <w:t xml:space="preserve"> FA</w:t>
      </w:r>
      <w:r w:rsidRPr="00E63E1C">
        <w:rPr>
          <w:lang w:val="en-GB"/>
        </w:rPr>
        <w:t xml:space="preserve"> </w:t>
      </w:r>
      <w:r w:rsidR="00F17F4B" w:rsidRPr="00E63E1C">
        <w:rPr>
          <w:lang w:val="en-GB"/>
        </w:rPr>
        <w:t>C</w:t>
      </w:r>
      <w:r w:rsidRPr="00E63E1C">
        <w:rPr>
          <w:lang w:val="en-GB"/>
        </w:rPr>
        <w:t>28:8</w:t>
      </w:r>
      <w:r w:rsidR="00846520" w:rsidRPr="00E63E1C">
        <w:rPr>
          <w:lang w:val="en-GB"/>
        </w:rPr>
        <w:t xml:space="preserve"> </w:t>
      </w:r>
      <w:r w:rsidRPr="00E63E1C">
        <w:rPr>
          <w:lang w:val="en-GB"/>
        </w:rPr>
        <w:t>have</w:t>
      </w:r>
      <w:r w:rsidR="00C42290" w:rsidRPr="00E63E1C">
        <w:rPr>
          <w:lang w:val="en-GB"/>
        </w:rPr>
        <w:t xml:space="preserve"> </w:t>
      </w:r>
      <w:r w:rsidRPr="00E63E1C">
        <w:rPr>
          <w:lang w:val="en-GB"/>
        </w:rPr>
        <w:t>been</w:t>
      </w:r>
      <w:r w:rsidR="00C42290" w:rsidRPr="00E63E1C">
        <w:rPr>
          <w:lang w:val="en-GB"/>
        </w:rPr>
        <w:t xml:space="preserve"> </w:t>
      </w:r>
      <w:r w:rsidR="007D1B05" w:rsidRPr="00E63E1C">
        <w:rPr>
          <w:lang w:val="en-GB"/>
        </w:rPr>
        <w:t>previous</w:t>
      </w:r>
      <w:r w:rsidR="004E222F" w:rsidRPr="00E63E1C">
        <w:rPr>
          <w:lang w:val="en-GB"/>
        </w:rPr>
        <w:t xml:space="preserve">ly </w:t>
      </w:r>
      <w:r w:rsidRPr="00E63E1C">
        <w:rPr>
          <w:lang w:val="en-GB"/>
        </w:rPr>
        <w:t>identified</w:t>
      </w:r>
      <w:r w:rsidR="00C42290" w:rsidRPr="00E63E1C">
        <w:rPr>
          <w:lang w:val="en-GB"/>
        </w:rPr>
        <w:t xml:space="preserve"> </w:t>
      </w:r>
      <w:r w:rsidRPr="00E63E1C">
        <w:rPr>
          <w:lang w:val="en-GB"/>
        </w:rPr>
        <w:t>in</w:t>
      </w:r>
      <w:r w:rsidR="00C42290" w:rsidRPr="00E63E1C">
        <w:rPr>
          <w:lang w:val="en-GB"/>
        </w:rPr>
        <w:t xml:space="preserve"> </w:t>
      </w:r>
      <w:r w:rsidRPr="00E63E1C">
        <w:rPr>
          <w:lang w:val="en-GB"/>
        </w:rPr>
        <w:t>several</w:t>
      </w:r>
      <w:r w:rsidR="00C42290" w:rsidRPr="00E63E1C">
        <w:rPr>
          <w:lang w:val="en-GB"/>
        </w:rPr>
        <w:t xml:space="preserve"> </w:t>
      </w:r>
      <w:r w:rsidRPr="00E63E1C">
        <w:rPr>
          <w:lang w:val="en-GB"/>
        </w:rPr>
        <w:t>species</w:t>
      </w:r>
      <w:r w:rsidR="00C42290" w:rsidRPr="00E63E1C">
        <w:rPr>
          <w:lang w:val="en-GB"/>
        </w:rPr>
        <w:t xml:space="preserve"> </w:t>
      </w:r>
      <w:r w:rsidRPr="00E63E1C">
        <w:rPr>
          <w:lang w:val="en-GB"/>
        </w:rPr>
        <w:t>of</w:t>
      </w:r>
      <w:r w:rsidR="00C42290" w:rsidRPr="00E63E1C">
        <w:rPr>
          <w:lang w:val="en-GB"/>
        </w:rPr>
        <w:t xml:space="preserve"> </w:t>
      </w:r>
      <w:r w:rsidRPr="00E63E1C">
        <w:rPr>
          <w:lang w:val="en-GB"/>
        </w:rPr>
        <w:t>dinoflagellates</w:t>
      </w:r>
      <w:r w:rsidR="00C42290" w:rsidRPr="00E63E1C">
        <w:rPr>
          <w:lang w:val="en-GB"/>
        </w:rPr>
        <w:t xml:space="preserve"> </w:t>
      </w:r>
      <w:r w:rsidRPr="00E63E1C">
        <w:rPr>
          <w:lang w:val="en-GB"/>
        </w:rPr>
        <w:t>(Van Pelt et al., 1999, Mansour et al., 1999).</w:t>
      </w:r>
      <w:r w:rsidR="00846520" w:rsidRPr="00E63E1C">
        <w:rPr>
          <w:lang w:val="en-GB"/>
        </w:rPr>
        <w:t xml:space="preserve"> </w:t>
      </w:r>
      <w:r w:rsidR="00386183">
        <w:rPr>
          <w:lang w:val="en-GB"/>
        </w:rPr>
        <w:t>The presence of t</w:t>
      </w:r>
      <w:r w:rsidR="00846520" w:rsidRPr="00E63E1C">
        <w:rPr>
          <w:lang w:val="en-GB"/>
        </w:rPr>
        <w:t>hese UFAs strongly suggest</w:t>
      </w:r>
      <w:r w:rsidR="00386183">
        <w:rPr>
          <w:lang w:val="en-GB"/>
        </w:rPr>
        <w:t>s</w:t>
      </w:r>
      <w:r w:rsidR="00846520" w:rsidRPr="00E63E1C">
        <w:rPr>
          <w:lang w:val="en-GB"/>
        </w:rPr>
        <w:t xml:space="preserve"> </w:t>
      </w:r>
      <w:r w:rsidR="00FD32B5" w:rsidRPr="00E63E1C">
        <w:rPr>
          <w:lang w:val="en-GB"/>
        </w:rPr>
        <w:t xml:space="preserve">that </w:t>
      </w:r>
      <w:r w:rsidR="00846520" w:rsidRPr="00E63E1C">
        <w:rPr>
          <w:lang w:val="en-GB"/>
        </w:rPr>
        <w:t xml:space="preserve">diatoms and dinoflagellates </w:t>
      </w:r>
      <w:r w:rsidR="00E144EA" w:rsidRPr="00E63E1C">
        <w:rPr>
          <w:lang w:val="en-GB"/>
        </w:rPr>
        <w:t>we</w:t>
      </w:r>
      <w:r w:rsidR="00FD32B5" w:rsidRPr="00E63E1C">
        <w:rPr>
          <w:lang w:val="en-GB"/>
        </w:rPr>
        <w:t xml:space="preserve">re </w:t>
      </w:r>
      <w:r w:rsidR="00846520" w:rsidRPr="00E63E1C">
        <w:rPr>
          <w:lang w:val="en-GB"/>
        </w:rPr>
        <w:t>important contributor</w:t>
      </w:r>
      <w:r w:rsidR="00FD32B5" w:rsidRPr="00E63E1C">
        <w:rPr>
          <w:lang w:val="en-GB"/>
        </w:rPr>
        <w:t>s</w:t>
      </w:r>
      <w:r w:rsidR="00846520" w:rsidRPr="00E63E1C">
        <w:rPr>
          <w:lang w:val="en-GB"/>
        </w:rPr>
        <w:t xml:space="preserve"> to </w:t>
      </w:r>
      <w:r w:rsidR="0025661F" w:rsidRPr="00E63E1C">
        <w:rPr>
          <w:lang w:val="en-GB"/>
        </w:rPr>
        <w:t xml:space="preserve">the </w:t>
      </w:r>
      <w:r w:rsidR="00846520" w:rsidRPr="00E63E1C">
        <w:rPr>
          <w:lang w:val="en-GB"/>
        </w:rPr>
        <w:t xml:space="preserve">total lipid pool in the </w:t>
      </w:r>
      <w:r w:rsidR="00736679" w:rsidRPr="00E63E1C">
        <w:rPr>
          <w:lang w:val="en-GB"/>
        </w:rPr>
        <w:t>e</w:t>
      </w:r>
      <w:r w:rsidR="00846520" w:rsidRPr="00E63E1C">
        <w:rPr>
          <w:lang w:val="en-GB"/>
        </w:rPr>
        <w:t xml:space="preserve">pipelagic </w:t>
      </w:r>
      <w:r w:rsidR="00FD32B5" w:rsidRPr="00E63E1C">
        <w:rPr>
          <w:lang w:val="en-GB"/>
        </w:rPr>
        <w:t xml:space="preserve">zone </w:t>
      </w:r>
      <w:r w:rsidR="00386183">
        <w:rPr>
          <w:lang w:val="en-GB"/>
        </w:rPr>
        <w:t>at PAP</w:t>
      </w:r>
      <w:r w:rsidR="00846520" w:rsidRPr="00E63E1C">
        <w:rPr>
          <w:lang w:val="en-GB"/>
        </w:rPr>
        <w:t>.</w:t>
      </w:r>
      <w:r w:rsidR="007442D4" w:rsidRPr="00E63E1C">
        <w:rPr>
          <w:lang w:val="en-GB"/>
        </w:rPr>
        <w:t xml:space="preserve"> </w:t>
      </w:r>
      <w:r w:rsidR="002E1DA3" w:rsidRPr="00E63E1C">
        <w:rPr>
          <w:lang w:val="en-GB"/>
        </w:rPr>
        <w:t xml:space="preserve">This is in line with the classic North Atlantic bloom scenario, in which diatoms bloom in spring and are then succeeded by dinoflagellates and other small phytoplankton in summer (Henson et al., 2012). </w:t>
      </w:r>
    </w:p>
    <w:p w:rsidR="005F0D68" w:rsidRPr="00E63E1C" w:rsidRDefault="00386183" w:rsidP="002E1DA3">
      <w:pPr>
        <w:spacing w:after="120" w:line="360" w:lineRule="auto"/>
        <w:ind w:firstLine="720"/>
        <w:jc w:val="both"/>
        <w:rPr>
          <w:lang w:val="en-GB"/>
        </w:rPr>
      </w:pPr>
      <w:r>
        <w:rPr>
          <w:lang w:val="en-GB"/>
        </w:rPr>
        <w:t>An observation of some significance is that the b</w:t>
      </w:r>
      <w:r w:rsidR="009C4F8E" w:rsidRPr="00E63E1C">
        <w:rPr>
          <w:lang w:val="en-GB"/>
        </w:rPr>
        <w:t>acterial marker</w:t>
      </w:r>
      <w:r w:rsidR="00CB1A30">
        <w:rPr>
          <w:lang w:val="en-GB"/>
        </w:rPr>
        <w:t>s</w:t>
      </w:r>
      <w:r w:rsidR="002E7B27" w:rsidRPr="00E63E1C">
        <w:rPr>
          <w:lang w:val="en-GB"/>
        </w:rPr>
        <w:t xml:space="preserve"> </w:t>
      </w:r>
      <w:r w:rsidR="00BA6A8C" w:rsidRPr="00E63E1C">
        <w:rPr>
          <w:lang w:val="en-GB"/>
        </w:rPr>
        <w:t>BrFA</w:t>
      </w:r>
      <w:r w:rsidR="007F1C13" w:rsidRPr="00E63E1C">
        <w:rPr>
          <w:lang w:val="en-GB"/>
        </w:rPr>
        <w:t>s</w:t>
      </w:r>
      <w:r w:rsidR="00423701" w:rsidRPr="00E63E1C">
        <w:rPr>
          <w:lang w:val="en-GB"/>
        </w:rPr>
        <w:t xml:space="preserve"> </w:t>
      </w:r>
      <w:r w:rsidR="00D32865" w:rsidRPr="00E63E1C">
        <w:rPr>
          <w:lang w:val="en-GB"/>
        </w:rPr>
        <w:t xml:space="preserve">are efficiently </w:t>
      </w:r>
      <w:r w:rsidR="00BA6A8C" w:rsidRPr="00E63E1C">
        <w:rPr>
          <w:lang w:val="en-GB"/>
        </w:rPr>
        <w:t>remov</w:t>
      </w:r>
      <w:r w:rsidR="00D32865" w:rsidRPr="00E63E1C">
        <w:rPr>
          <w:lang w:val="en-GB"/>
        </w:rPr>
        <w:t>ed</w:t>
      </w:r>
      <w:r w:rsidR="00BA6A8C" w:rsidRPr="00E63E1C">
        <w:rPr>
          <w:lang w:val="en-GB"/>
        </w:rPr>
        <w:t xml:space="preserve"> from the water column</w:t>
      </w:r>
      <w:r w:rsidR="00D32865" w:rsidRPr="00E63E1C">
        <w:rPr>
          <w:lang w:val="en-GB"/>
        </w:rPr>
        <w:t xml:space="preserve"> </w:t>
      </w:r>
      <w:r w:rsidR="009C4F8E" w:rsidRPr="00E63E1C">
        <w:rPr>
          <w:lang w:val="en-GB"/>
        </w:rPr>
        <w:t>(</w:t>
      </w:r>
      <w:r w:rsidR="00CD63AC" w:rsidRPr="00E63E1C">
        <w:rPr>
          <w:lang w:val="en-GB"/>
        </w:rPr>
        <w:t>Fig</w:t>
      </w:r>
      <w:r w:rsidR="0017643C">
        <w:rPr>
          <w:lang w:val="en-GB"/>
        </w:rPr>
        <w:t>s</w:t>
      </w:r>
      <w:r w:rsidR="00CD63AC" w:rsidRPr="00E63E1C">
        <w:rPr>
          <w:lang w:val="en-GB"/>
        </w:rPr>
        <w:t>. 3</w:t>
      </w:r>
      <w:r w:rsidR="00CB1A30">
        <w:rPr>
          <w:lang w:val="en-GB"/>
        </w:rPr>
        <w:t xml:space="preserve">d and </w:t>
      </w:r>
      <w:r w:rsidR="007A5EA8" w:rsidRPr="00E63E1C">
        <w:rPr>
          <w:lang w:val="en-GB"/>
        </w:rPr>
        <w:t>e</w:t>
      </w:r>
      <w:r w:rsidR="009C4F8E" w:rsidRPr="00E63E1C">
        <w:rPr>
          <w:lang w:val="en-GB"/>
        </w:rPr>
        <w:t>)</w:t>
      </w:r>
      <w:r w:rsidR="00BA6A8C" w:rsidRPr="00E63E1C">
        <w:rPr>
          <w:lang w:val="en-GB"/>
        </w:rPr>
        <w:t xml:space="preserve">. </w:t>
      </w:r>
      <w:r w:rsidR="0025661F" w:rsidRPr="00E63E1C">
        <w:rPr>
          <w:lang w:val="en-GB"/>
        </w:rPr>
        <w:t>M</w:t>
      </w:r>
      <w:r w:rsidR="008117D1" w:rsidRPr="00E63E1C">
        <w:rPr>
          <w:lang w:val="en-GB"/>
        </w:rPr>
        <w:t xml:space="preserve">onounsaturated </w:t>
      </w:r>
      <w:r w:rsidR="0047429C" w:rsidRPr="00E63E1C">
        <w:rPr>
          <w:lang w:val="en-GB"/>
        </w:rPr>
        <w:t>BrFA</w:t>
      </w:r>
      <w:r w:rsidR="00CB1A30">
        <w:rPr>
          <w:lang w:val="en-GB"/>
        </w:rPr>
        <w:t>s</w:t>
      </w:r>
      <w:r w:rsidR="0047429C" w:rsidRPr="00E63E1C">
        <w:rPr>
          <w:lang w:val="en-GB"/>
        </w:rPr>
        <w:t xml:space="preserve"> </w:t>
      </w:r>
      <w:r w:rsidR="004D0756" w:rsidRPr="00E63E1C">
        <w:rPr>
          <w:lang w:val="en-GB"/>
        </w:rPr>
        <w:t>C16:1 and C18:1</w:t>
      </w:r>
      <w:r w:rsidR="0047429C" w:rsidRPr="00E63E1C">
        <w:rPr>
          <w:lang w:val="en-GB"/>
        </w:rPr>
        <w:t xml:space="preserve">, </w:t>
      </w:r>
      <w:r w:rsidR="0025661F" w:rsidRPr="00E63E1C">
        <w:rPr>
          <w:lang w:val="en-GB"/>
        </w:rPr>
        <w:t>dominant throughout t</w:t>
      </w:r>
      <w:r w:rsidR="00CB1A30">
        <w:rPr>
          <w:lang w:val="en-GB"/>
        </w:rPr>
        <w:t>he whole water column (Table 1)</w:t>
      </w:r>
      <w:r w:rsidR="0025661F" w:rsidRPr="00E63E1C">
        <w:rPr>
          <w:lang w:val="en-GB"/>
        </w:rPr>
        <w:t xml:space="preserve"> </w:t>
      </w:r>
      <w:r w:rsidR="005F0D68" w:rsidRPr="00E63E1C">
        <w:rPr>
          <w:lang w:val="en-GB"/>
        </w:rPr>
        <w:t>are found to be the major fatty acids, together with C16:0, in many marine bacteria (Oliver and Colwell, 1973)</w:t>
      </w:r>
      <w:r w:rsidR="00E26262" w:rsidRPr="00E63E1C">
        <w:rPr>
          <w:lang w:val="en-GB"/>
        </w:rPr>
        <w:t xml:space="preserve">. </w:t>
      </w:r>
      <w:r w:rsidR="00F221F8" w:rsidRPr="00E63E1C">
        <w:rPr>
          <w:lang w:val="en-GB"/>
        </w:rPr>
        <w:t xml:space="preserve">The </w:t>
      </w:r>
      <w:r w:rsidR="00AC6C91" w:rsidRPr="00E63E1C">
        <w:rPr>
          <w:lang w:val="en-GB"/>
        </w:rPr>
        <w:t xml:space="preserve">low molecular </w:t>
      </w:r>
      <w:r w:rsidR="00F221F8" w:rsidRPr="00E63E1C">
        <w:rPr>
          <w:lang w:val="en-GB"/>
        </w:rPr>
        <w:t>d</w:t>
      </w:r>
      <w:r w:rsidR="00F17F4B" w:rsidRPr="00E63E1C">
        <w:rPr>
          <w:lang w:val="en-GB"/>
        </w:rPr>
        <w:t>i</w:t>
      </w:r>
      <w:r w:rsidR="00AC6C91" w:rsidRPr="00E63E1C">
        <w:rPr>
          <w:lang w:val="en-GB"/>
        </w:rPr>
        <w:t>versity</w:t>
      </w:r>
      <w:r w:rsidR="002976E1" w:rsidRPr="00E63E1C">
        <w:rPr>
          <w:lang w:val="en-GB"/>
        </w:rPr>
        <w:t xml:space="preserve"> of BrFA did not change </w:t>
      </w:r>
      <w:r w:rsidR="007F1C13" w:rsidRPr="00E63E1C">
        <w:rPr>
          <w:lang w:val="en-GB"/>
        </w:rPr>
        <w:t xml:space="preserve">significantly </w:t>
      </w:r>
      <w:r w:rsidR="002976E1" w:rsidRPr="00E63E1C">
        <w:rPr>
          <w:lang w:val="en-GB"/>
        </w:rPr>
        <w:t xml:space="preserve">over </w:t>
      </w:r>
      <w:r w:rsidR="00F13011" w:rsidRPr="00E63E1C">
        <w:rPr>
          <w:lang w:val="en-GB"/>
        </w:rPr>
        <w:t xml:space="preserve">the </w:t>
      </w:r>
      <w:r w:rsidR="002976E1" w:rsidRPr="00E63E1C">
        <w:rPr>
          <w:lang w:val="en-GB"/>
        </w:rPr>
        <w:t>whole water column</w:t>
      </w:r>
      <w:r w:rsidR="00846B69" w:rsidRPr="00E63E1C">
        <w:rPr>
          <w:lang w:val="en-GB"/>
        </w:rPr>
        <w:t xml:space="preserve"> (</w:t>
      </w:r>
      <w:r w:rsidR="00CD63AC" w:rsidRPr="00E63E1C">
        <w:rPr>
          <w:lang w:val="en-GB"/>
        </w:rPr>
        <w:t>Fig. 4</w:t>
      </w:r>
      <w:r w:rsidR="00AC6C91" w:rsidRPr="00E63E1C">
        <w:rPr>
          <w:lang w:val="en-GB"/>
        </w:rPr>
        <w:t>b)</w:t>
      </w:r>
      <w:r w:rsidR="002976E1" w:rsidRPr="00E63E1C">
        <w:rPr>
          <w:lang w:val="en-GB"/>
        </w:rPr>
        <w:t xml:space="preserve">, </w:t>
      </w:r>
      <w:r w:rsidR="00846B69" w:rsidRPr="00E63E1C">
        <w:rPr>
          <w:lang w:val="en-GB"/>
        </w:rPr>
        <w:t xml:space="preserve">as well as </w:t>
      </w:r>
      <w:r w:rsidR="00846B69" w:rsidRPr="00E63E1C">
        <w:rPr>
          <w:lang w:val="en-GB"/>
        </w:rPr>
        <w:lastRenderedPageBreak/>
        <w:t>unsaturation (</w:t>
      </w:r>
      <w:r w:rsidR="00AC6C91" w:rsidRPr="00E63E1C">
        <w:rPr>
          <w:lang w:val="en-GB"/>
        </w:rPr>
        <w:t xml:space="preserve">Fig. </w:t>
      </w:r>
      <w:r w:rsidR="00893BB2" w:rsidRPr="00E63E1C">
        <w:rPr>
          <w:lang w:val="en-GB"/>
        </w:rPr>
        <w:t>6</w:t>
      </w:r>
      <w:r w:rsidR="00AC6C91" w:rsidRPr="00E63E1C">
        <w:rPr>
          <w:lang w:val="en-GB"/>
        </w:rPr>
        <w:t>b</w:t>
      </w:r>
      <w:r w:rsidR="00846B69" w:rsidRPr="00E63E1C">
        <w:rPr>
          <w:lang w:val="en-GB"/>
        </w:rPr>
        <w:t>)</w:t>
      </w:r>
      <w:r w:rsidR="004B28AA" w:rsidRPr="00E63E1C">
        <w:rPr>
          <w:lang w:val="en-GB"/>
        </w:rPr>
        <w:t>. This would suggest that th</w:t>
      </w:r>
      <w:r w:rsidR="008C17E2" w:rsidRPr="00E63E1C">
        <w:rPr>
          <w:lang w:val="en-GB"/>
        </w:rPr>
        <w:t>e</w:t>
      </w:r>
      <w:r w:rsidR="004B28AA" w:rsidRPr="00E63E1C">
        <w:rPr>
          <w:lang w:val="en-GB"/>
        </w:rPr>
        <w:t xml:space="preserve">se BrFA are </w:t>
      </w:r>
      <w:r w:rsidR="007A5EA8" w:rsidRPr="00E63E1C">
        <w:rPr>
          <w:lang w:val="en-GB"/>
        </w:rPr>
        <w:t>regular</w:t>
      </w:r>
      <w:r w:rsidR="004B28AA" w:rsidRPr="00E63E1C">
        <w:rPr>
          <w:lang w:val="en-GB"/>
        </w:rPr>
        <w:t xml:space="preserve"> part of bacterial lipids or less prone to degradation.</w:t>
      </w:r>
    </w:p>
    <w:p w:rsidR="00524123" w:rsidRPr="00E63E1C" w:rsidRDefault="00952C86" w:rsidP="002E01B5">
      <w:pPr>
        <w:spacing w:after="120" w:line="360" w:lineRule="auto"/>
        <w:ind w:firstLine="720"/>
        <w:jc w:val="both"/>
        <w:rPr>
          <w:lang w:val="en-GB"/>
        </w:rPr>
      </w:pPr>
      <w:r w:rsidRPr="00E63E1C">
        <w:rPr>
          <w:lang w:val="en-GB"/>
        </w:rPr>
        <w:t>Un</w:t>
      </w:r>
      <w:r w:rsidR="005C4147" w:rsidRPr="00E63E1C">
        <w:rPr>
          <w:lang w:val="en-GB"/>
        </w:rPr>
        <w:t>like other observed</w:t>
      </w:r>
      <w:r w:rsidRPr="00E63E1C">
        <w:rPr>
          <w:lang w:val="en-GB"/>
        </w:rPr>
        <w:t xml:space="preserve"> lipids</w:t>
      </w:r>
      <w:r w:rsidR="008732B5" w:rsidRPr="00E63E1C">
        <w:rPr>
          <w:lang w:val="en-GB"/>
        </w:rPr>
        <w:t>,</w:t>
      </w:r>
      <w:r w:rsidRPr="00E63E1C">
        <w:rPr>
          <w:lang w:val="en-GB"/>
        </w:rPr>
        <w:t xml:space="preserve"> </w:t>
      </w:r>
      <w:r w:rsidR="00F221F8" w:rsidRPr="00E63E1C">
        <w:rPr>
          <w:lang w:val="en-GB"/>
        </w:rPr>
        <w:t xml:space="preserve">the </w:t>
      </w:r>
      <w:r w:rsidR="008732B5" w:rsidRPr="00E63E1C">
        <w:rPr>
          <w:lang w:val="en-GB"/>
        </w:rPr>
        <w:t xml:space="preserve">contribution </w:t>
      </w:r>
      <w:r w:rsidR="005A7CAF" w:rsidRPr="00E63E1C">
        <w:rPr>
          <w:lang w:val="en-GB"/>
        </w:rPr>
        <w:t xml:space="preserve">of SAFA </w:t>
      </w:r>
      <w:r w:rsidR="008732B5" w:rsidRPr="00E63E1C">
        <w:rPr>
          <w:lang w:val="en-GB"/>
        </w:rPr>
        <w:t xml:space="preserve">to total lipids increased with </w:t>
      </w:r>
      <w:r w:rsidR="00F13011" w:rsidRPr="00E63E1C">
        <w:rPr>
          <w:lang w:val="en-GB"/>
        </w:rPr>
        <w:t xml:space="preserve">ocean </w:t>
      </w:r>
      <w:r w:rsidR="008732B5" w:rsidRPr="00E63E1C">
        <w:rPr>
          <w:lang w:val="en-GB"/>
        </w:rPr>
        <w:t>depth</w:t>
      </w:r>
      <w:r w:rsidR="00D35131" w:rsidRPr="00E63E1C">
        <w:rPr>
          <w:lang w:val="en-GB"/>
        </w:rPr>
        <w:t xml:space="preserve"> (Fig. </w:t>
      </w:r>
      <w:r w:rsidR="00CD63AC" w:rsidRPr="00E63E1C">
        <w:rPr>
          <w:lang w:val="en-GB"/>
        </w:rPr>
        <w:t>3</w:t>
      </w:r>
      <w:r w:rsidR="00D35131" w:rsidRPr="00E63E1C">
        <w:rPr>
          <w:lang w:val="en-GB"/>
        </w:rPr>
        <w:t>f)</w:t>
      </w:r>
      <w:r w:rsidR="008732B5" w:rsidRPr="00E63E1C">
        <w:rPr>
          <w:lang w:val="en-GB"/>
        </w:rPr>
        <w:t>.</w:t>
      </w:r>
      <w:r w:rsidRPr="00E63E1C">
        <w:rPr>
          <w:lang w:val="en-GB"/>
        </w:rPr>
        <w:t xml:space="preserve"> Their cycling is characterized </w:t>
      </w:r>
      <w:r w:rsidR="00386183">
        <w:rPr>
          <w:lang w:val="en-GB"/>
        </w:rPr>
        <w:t>by</w:t>
      </w:r>
      <w:r w:rsidR="00386183" w:rsidRPr="00E63E1C">
        <w:rPr>
          <w:lang w:val="en-GB"/>
        </w:rPr>
        <w:t xml:space="preserve"> </w:t>
      </w:r>
      <w:r w:rsidRPr="00E63E1C">
        <w:rPr>
          <w:lang w:val="en-GB"/>
        </w:rPr>
        <w:t xml:space="preserve">increased number of different SAFA </w:t>
      </w:r>
      <w:r w:rsidR="00D35131" w:rsidRPr="00E63E1C">
        <w:rPr>
          <w:lang w:val="en-GB"/>
        </w:rPr>
        <w:t xml:space="preserve">molecules </w:t>
      </w:r>
      <w:r w:rsidRPr="00E63E1C">
        <w:rPr>
          <w:lang w:val="en-GB"/>
        </w:rPr>
        <w:t xml:space="preserve">together with longer chain length and molecular mass with increasing depth. </w:t>
      </w:r>
      <w:r w:rsidR="001B63BC" w:rsidRPr="00E63E1C">
        <w:rPr>
          <w:lang w:val="en-GB"/>
        </w:rPr>
        <w:t>This clearly shows</w:t>
      </w:r>
      <w:r w:rsidRPr="00E63E1C">
        <w:rPr>
          <w:lang w:val="en-GB"/>
        </w:rPr>
        <w:t xml:space="preserve"> </w:t>
      </w:r>
      <w:r w:rsidR="001B63BC" w:rsidRPr="00E63E1C">
        <w:rPr>
          <w:lang w:val="en-GB"/>
        </w:rPr>
        <w:t xml:space="preserve">that diagenesis of lipids </w:t>
      </w:r>
      <w:r w:rsidR="009B5100" w:rsidRPr="00E63E1C">
        <w:rPr>
          <w:lang w:val="en-GB"/>
        </w:rPr>
        <w:t>includes</w:t>
      </w:r>
      <w:r w:rsidR="001B63BC" w:rsidRPr="00E63E1C">
        <w:rPr>
          <w:lang w:val="en-GB"/>
        </w:rPr>
        <w:t xml:space="preserve"> </w:t>
      </w:r>
      <w:r w:rsidR="00F221F8" w:rsidRPr="00E63E1C">
        <w:rPr>
          <w:lang w:val="en-GB"/>
        </w:rPr>
        <w:t xml:space="preserve">synthesis </w:t>
      </w:r>
      <w:r w:rsidR="001B63BC" w:rsidRPr="00E63E1C">
        <w:rPr>
          <w:lang w:val="en-GB"/>
        </w:rPr>
        <w:t>of transformation</w:t>
      </w:r>
      <w:r w:rsidR="00F221F8" w:rsidRPr="00E63E1C">
        <w:rPr>
          <w:lang w:val="en-GB"/>
        </w:rPr>
        <w:t>-</w:t>
      </w:r>
      <w:r w:rsidR="001B63BC" w:rsidRPr="00E63E1C">
        <w:rPr>
          <w:lang w:val="en-GB"/>
        </w:rPr>
        <w:t xml:space="preserve">resistant SAFA of increasing molecular weight with depth. </w:t>
      </w:r>
      <w:r w:rsidR="007E34AD" w:rsidRPr="00E63E1C">
        <w:rPr>
          <w:lang w:val="en-GB"/>
        </w:rPr>
        <w:t xml:space="preserve">The </w:t>
      </w:r>
      <w:r w:rsidR="009A7BAC" w:rsidRPr="00E63E1C">
        <w:rPr>
          <w:lang w:val="en-GB"/>
        </w:rPr>
        <w:t>dominance of C14</w:t>
      </w:r>
      <w:r w:rsidR="005A7CAF" w:rsidRPr="00E63E1C">
        <w:rPr>
          <w:lang w:val="en-GB"/>
        </w:rPr>
        <w:t>:0</w:t>
      </w:r>
      <w:r w:rsidR="009A7BAC" w:rsidRPr="00E63E1C">
        <w:rPr>
          <w:lang w:val="en-GB"/>
        </w:rPr>
        <w:t>, C16</w:t>
      </w:r>
      <w:r w:rsidR="005A7CAF" w:rsidRPr="00E63E1C">
        <w:rPr>
          <w:lang w:val="en-GB"/>
        </w:rPr>
        <w:t>:0</w:t>
      </w:r>
      <w:r w:rsidR="009A7BAC" w:rsidRPr="00E63E1C">
        <w:rPr>
          <w:lang w:val="en-GB"/>
        </w:rPr>
        <w:t xml:space="preserve"> and C18</w:t>
      </w:r>
      <w:r w:rsidR="005A7CAF" w:rsidRPr="00E63E1C">
        <w:rPr>
          <w:lang w:val="en-GB"/>
        </w:rPr>
        <w:t>:0</w:t>
      </w:r>
      <w:r w:rsidR="009A7BAC" w:rsidRPr="00E63E1C">
        <w:rPr>
          <w:lang w:val="en-GB"/>
        </w:rPr>
        <w:t xml:space="preserve"> </w:t>
      </w:r>
      <w:r w:rsidR="007E34AD" w:rsidRPr="00E63E1C">
        <w:rPr>
          <w:lang w:val="en-GB"/>
        </w:rPr>
        <w:t xml:space="preserve">SAFA </w:t>
      </w:r>
      <w:r w:rsidR="009A7BAC" w:rsidRPr="00E63E1C">
        <w:rPr>
          <w:lang w:val="en-GB"/>
        </w:rPr>
        <w:t xml:space="preserve">in the water column (Table 1) </w:t>
      </w:r>
      <w:r w:rsidR="007E34AD" w:rsidRPr="00E63E1C">
        <w:rPr>
          <w:lang w:val="en-GB"/>
        </w:rPr>
        <w:t xml:space="preserve">suggest their </w:t>
      </w:r>
      <w:r w:rsidR="007E34AD" w:rsidRPr="00E63E1C">
        <w:rPr>
          <w:i/>
          <w:lang w:val="en-GB"/>
        </w:rPr>
        <w:t>in</w:t>
      </w:r>
      <w:r w:rsidR="00BA420A" w:rsidRPr="00E63E1C">
        <w:rPr>
          <w:i/>
          <w:lang w:val="en-GB"/>
        </w:rPr>
        <w:t xml:space="preserve"> </w:t>
      </w:r>
      <w:r w:rsidR="007E34AD" w:rsidRPr="00E63E1C">
        <w:rPr>
          <w:i/>
          <w:lang w:val="en-GB"/>
        </w:rPr>
        <w:t>situ</w:t>
      </w:r>
      <w:r w:rsidR="007E34AD" w:rsidRPr="00E63E1C">
        <w:rPr>
          <w:lang w:val="en-GB"/>
        </w:rPr>
        <w:t xml:space="preserve"> origin </w:t>
      </w:r>
      <w:r w:rsidR="00F221F8" w:rsidRPr="00E63E1C">
        <w:rPr>
          <w:lang w:val="en-GB"/>
        </w:rPr>
        <w:t xml:space="preserve">given </w:t>
      </w:r>
      <w:r w:rsidR="009A7BAC" w:rsidRPr="00E63E1C">
        <w:rPr>
          <w:lang w:val="en-GB"/>
        </w:rPr>
        <w:t xml:space="preserve">that </w:t>
      </w:r>
      <w:r w:rsidR="007E34AD" w:rsidRPr="00E63E1C">
        <w:rPr>
          <w:lang w:val="en-GB"/>
        </w:rPr>
        <w:t xml:space="preserve">markers for terrestrial </w:t>
      </w:r>
      <w:r w:rsidR="009A7BAC" w:rsidRPr="00E63E1C">
        <w:rPr>
          <w:lang w:val="en-GB"/>
        </w:rPr>
        <w:t>origin</w:t>
      </w:r>
      <w:r w:rsidR="00C42290" w:rsidRPr="00E63E1C">
        <w:rPr>
          <w:lang w:val="en-GB"/>
        </w:rPr>
        <w:t xml:space="preserve"> </w:t>
      </w:r>
      <w:r w:rsidR="007E34AD" w:rsidRPr="00E63E1C">
        <w:rPr>
          <w:lang w:val="en-GB"/>
        </w:rPr>
        <w:t xml:space="preserve">are long chain </w:t>
      </w:r>
      <w:r w:rsidR="00D35131" w:rsidRPr="00E63E1C">
        <w:rPr>
          <w:lang w:val="en-GB"/>
        </w:rPr>
        <w:t>C</w:t>
      </w:r>
      <w:r w:rsidR="007E34AD" w:rsidRPr="00E63E1C">
        <w:rPr>
          <w:lang w:val="en-GB"/>
        </w:rPr>
        <w:t>22:0</w:t>
      </w:r>
      <w:r w:rsidR="00D35131" w:rsidRPr="00E63E1C">
        <w:rPr>
          <w:lang w:val="en-GB"/>
        </w:rPr>
        <w:t xml:space="preserve"> to C</w:t>
      </w:r>
      <w:r w:rsidR="00881DDD" w:rsidRPr="00E63E1C">
        <w:rPr>
          <w:lang w:val="en-GB"/>
        </w:rPr>
        <w:t>32</w:t>
      </w:r>
      <w:r w:rsidR="007E34AD" w:rsidRPr="00E63E1C">
        <w:rPr>
          <w:lang w:val="en-GB"/>
        </w:rPr>
        <w:t>:0 SAFA (</w:t>
      </w:r>
      <w:r w:rsidR="00881DDD" w:rsidRPr="00E63E1C">
        <w:rPr>
          <w:lang w:val="en-GB"/>
        </w:rPr>
        <w:t xml:space="preserve">Meziane et al., 1997; </w:t>
      </w:r>
      <w:r w:rsidR="007E34AD" w:rsidRPr="00E63E1C">
        <w:rPr>
          <w:lang w:val="en-GB"/>
        </w:rPr>
        <w:t xml:space="preserve">Budge et al., 2001). </w:t>
      </w:r>
      <w:r w:rsidR="002E01B5" w:rsidRPr="00E63E1C">
        <w:rPr>
          <w:lang w:val="en-GB"/>
        </w:rPr>
        <w:t xml:space="preserve">Domination of SAFA in </w:t>
      </w:r>
      <w:r w:rsidR="00386183">
        <w:rPr>
          <w:lang w:val="en-GB"/>
        </w:rPr>
        <w:t xml:space="preserve">the </w:t>
      </w:r>
      <w:r w:rsidR="002E01B5" w:rsidRPr="00E63E1C">
        <w:rPr>
          <w:lang w:val="en-GB"/>
        </w:rPr>
        <w:t xml:space="preserve">fatty acid pool </w:t>
      </w:r>
      <w:r w:rsidR="00386183">
        <w:rPr>
          <w:lang w:val="en-GB"/>
        </w:rPr>
        <w:t>has</w:t>
      </w:r>
      <w:r w:rsidR="00386183" w:rsidRPr="00E63E1C">
        <w:rPr>
          <w:lang w:val="en-GB"/>
        </w:rPr>
        <w:t xml:space="preserve"> </w:t>
      </w:r>
      <w:r w:rsidR="002E01B5" w:rsidRPr="00E63E1C">
        <w:rPr>
          <w:lang w:val="en-GB"/>
        </w:rPr>
        <w:t xml:space="preserve">also </w:t>
      </w:r>
      <w:r w:rsidR="00386183">
        <w:rPr>
          <w:lang w:val="en-GB"/>
        </w:rPr>
        <w:t xml:space="preserve">been </w:t>
      </w:r>
      <w:r w:rsidR="002E01B5" w:rsidRPr="00E63E1C">
        <w:rPr>
          <w:lang w:val="en-GB"/>
        </w:rPr>
        <w:t>found in the Sargasso Sea and North Central Paciﬁc (Loh et al., 2008).</w:t>
      </w:r>
    </w:p>
    <w:p w:rsidR="002E01B5" w:rsidRPr="00E63E1C" w:rsidRDefault="002E01B5" w:rsidP="00CD12B2">
      <w:pPr>
        <w:spacing w:after="120" w:line="360" w:lineRule="auto"/>
        <w:ind w:firstLine="720"/>
        <w:jc w:val="both"/>
        <w:rPr>
          <w:lang w:val="en-GB"/>
        </w:rPr>
      </w:pPr>
    </w:p>
    <w:p w:rsidR="00524123" w:rsidRPr="00E63E1C" w:rsidRDefault="00524123" w:rsidP="002536E9">
      <w:pPr>
        <w:spacing w:after="120" w:line="360" w:lineRule="auto"/>
        <w:jc w:val="both"/>
        <w:rPr>
          <w:b/>
          <w:bCs/>
          <w:lang w:val="en-GB"/>
        </w:rPr>
      </w:pPr>
      <w:r w:rsidRPr="00E63E1C">
        <w:rPr>
          <w:b/>
          <w:bCs/>
          <w:lang w:val="en-GB"/>
        </w:rPr>
        <w:t>5. Conclusion</w:t>
      </w:r>
    </w:p>
    <w:p w:rsidR="00F221F8" w:rsidRPr="00E63E1C" w:rsidRDefault="00F956B8" w:rsidP="00BA420A">
      <w:pPr>
        <w:spacing w:after="120" w:line="360" w:lineRule="auto"/>
        <w:ind w:firstLine="720"/>
        <w:jc w:val="both"/>
        <w:rPr>
          <w:lang w:val="en-GB"/>
        </w:rPr>
      </w:pPr>
      <w:r w:rsidRPr="00E63E1C">
        <w:rPr>
          <w:lang w:val="en-GB"/>
        </w:rPr>
        <w:t xml:space="preserve">The cycling of organic carbon in the marine environment is a key process in the global carbon cycle. Although autotrophic production occurs in the </w:t>
      </w:r>
      <w:r w:rsidR="006268D7" w:rsidRPr="00E63E1C">
        <w:rPr>
          <w:lang w:val="en-GB"/>
        </w:rPr>
        <w:t xml:space="preserve">sunlit </w:t>
      </w:r>
      <w:r w:rsidRPr="00E63E1C">
        <w:rPr>
          <w:lang w:val="en-GB"/>
        </w:rPr>
        <w:t>surface waters, sinking provides the major pathway for transport</w:t>
      </w:r>
      <w:r w:rsidR="00EF32C1" w:rsidRPr="00E63E1C">
        <w:rPr>
          <w:lang w:val="en-GB"/>
        </w:rPr>
        <w:t>ation</w:t>
      </w:r>
      <w:r w:rsidRPr="00E63E1C">
        <w:rPr>
          <w:lang w:val="en-GB"/>
        </w:rPr>
        <w:t xml:space="preserve"> of particulate organic carbon from surface waters to the ocean depths and sediments.</w:t>
      </w:r>
      <w:r w:rsidR="0055547D" w:rsidRPr="00E63E1C">
        <w:rPr>
          <w:lang w:val="en-GB"/>
        </w:rPr>
        <w:t xml:space="preserve"> </w:t>
      </w:r>
      <w:r w:rsidR="004B0FE3" w:rsidRPr="00E63E1C">
        <w:rPr>
          <w:lang w:val="en-GB"/>
        </w:rPr>
        <w:t xml:space="preserve">Organic matter molecular level characterization </w:t>
      </w:r>
      <w:r w:rsidR="00F221F8" w:rsidRPr="00E63E1C">
        <w:rPr>
          <w:lang w:val="en-GB"/>
        </w:rPr>
        <w:t>of</w:t>
      </w:r>
      <w:r w:rsidR="004B0FE3" w:rsidRPr="00E63E1C">
        <w:rPr>
          <w:lang w:val="en-GB"/>
        </w:rPr>
        <w:t xml:space="preserve"> </w:t>
      </w:r>
      <w:r w:rsidR="00F221F8" w:rsidRPr="00E63E1C">
        <w:rPr>
          <w:lang w:val="en-GB"/>
        </w:rPr>
        <w:t>lipid</w:t>
      </w:r>
      <w:r w:rsidR="00386183">
        <w:rPr>
          <w:lang w:val="en-GB"/>
        </w:rPr>
        <w:t>s</w:t>
      </w:r>
      <w:r w:rsidR="004B0FE3" w:rsidRPr="00E63E1C">
        <w:rPr>
          <w:lang w:val="en-GB"/>
        </w:rPr>
        <w:t xml:space="preserve"> produced </w:t>
      </w:r>
      <w:r w:rsidR="00BA420A" w:rsidRPr="00E63E1C">
        <w:rPr>
          <w:lang w:val="en-GB"/>
        </w:rPr>
        <w:t>in</w:t>
      </w:r>
      <w:r w:rsidR="004B0FE3" w:rsidRPr="00E63E1C">
        <w:rPr>
          <w:lang w:val="en-GB"/>
        </w:rPr>
        <w:t xml:space="preserve"> the surface productive layer</w:t>
      </w:r>
      <w:r w:rsidR="0099368B" w:rsidRPr="00E63E1C">
        <w:rPr>
          <w:lang w:val="en-GB"/>
        </w:rPr>
        <w:t xml:space="preserve"> and </w:t>
      </w:r>
      <w:r w:rsidR="004B0FE3" w:rsidRPr="00E63E1C">
        <w:rPr>
          <w:lang w:val="en-GB"/>
        </w:rPr>
        <w:t>transport</w:t>
      </w:r>
      <w:r w:rsidR="0099368B" w:rsidRPr="00E63E1C">
        <w:rPr>
          <w:lang w:val="en-GB"/>
        </w:rPr>
        <w:t>ed</w:t>
      </w:r>
      <w:r w:rsidR="004B0FE3" w:rsidRPr="00E63E1C">
        <w:rPr>
          <w:lang w:val="en-GB"/>
        </w:rPr>
        <w:t xml:space="preserve"> to deep</w:t>
      </w:r>
      <w:r w:rsidR="00F221F8" w:rsidRPr="00E63E1C">
        <w:rPr>
          <w:lang w:val="en-GB"/>
        </w:rPr>
        <w:t xml:space="preserve"> </w:t>
      </w:r>
      <w:r w:rsidR="004B0FE3" w:rsidRPr="00E63E1C">
        <w:rPr>
          <w:lang w:val="en-GB"/>
        </w:rPr>
        <w:t>ocean</w:t>
      </w:r>
      <w:r w:rsidR="00F221F8" w:rsidRPr="00E63E1C">
        <w:rPr>
          <w:lang w:val="en-GB"/>
        </w:rPr>
        <w:t xml:space="preserve"> reflects</w:t>
      </w:r>
      <w:r w:rsidR="007F1C13" w:rsidRPr="00E63E1C">
        <w:rPr>
          <w:lang w:val="en-GB"/>
        </w:rPr>
        <w:t xml:space="preserve"> an</w:t>
      </w:r>
      <w:r w:rsidR="004B0FE3" w:rsidRPr="00E63E1C">
        <w:rPr>
          <w:lang w:val="en-GB"/>
        </w:rPr>
        <w:t xml:space="preserve"> important </w:t>
      </w:r>
      <w:r w:rsidR="00F221F8" w:rsidRPr="00E63E1C">
        <w:rPr>
          <w:lang w:val="en-GB"/>
        </w:rPr>
        <w:t xml:space="preserve">consideration </w:t>
      </w:r>
      <w:r w:rsidR="007A5EA8" w:rsidRPr="00E63E1C">
        <w:rPr>
          <w:lang w:val="en-GB"/>
        </w:rPr>
        <w:t xml:space="preserve">of </w:t>
      </w:r>
      <w:r w:rsidR="00F221F8" w:rsidRPr="00E63E1C">
        <w:rPr>
          <w:lang w:val="en-GB"/>
        </w:rPr>
        <w:t>oceanic carbon sequestration</w:t>
      </w:r>
      <w:r w:rsidR="0099368B" w:rsidRPr="00E63E1C">
        <w:rPr>
          <w:lang w:val="en-GB"/>
        </w:rPr>
        <w:t>.</w:t>
      </w:r>
      <w:r w:rsidR="00F221F8" w:rsidRPr="00E63E1C">
        <w:rPr>
          <w:lang w:val="en-GB"/>
        </w:rPr>
        <w:t xml:space="preserve"> </w:t>
      </w:r>
    </w:p>
    <w:p w:rsidR="004B0FE3" w:rsidRPr="00E63E1C" w:rsidRDefault="00D317EB" w:rsidP="00CD12B2">
      <w:pPr>
        <w:spacing w:after="120" w:line="360" w:lineRule="auto"/>
        <w:ind w:firstLine="720"/>
        <w:jc w:val="both"/>
        <w:rPr>
          <w:lang w:val="en-GB"/>
        </w:rPr>
      </w:pPr>
      <w:r w:rsidRPr="00E63E1C">
        <w:rPr>
          <w:lang w:val="en-GB"/>
        </w:rPr>
        <w:t xml:space="preserve">The use of FT-ICR MS </w:t>
      </w:r>
      <w:r w:rsidR="00F221F8" w:rsidRPr="00E63E1C">
        <w:rPr>
          <w:lang w:val="en-GB"/>
        </w:rPr>
        <w:t>provides</w:t>
      </w:r>
      <w:r w:rsidRPr="00E63E1C">
        <w:rPr>
          <w:lang w:val="en-GB"/>
        </w:rPr>
        <w:t xml:space="preserve"> molecular level characterization</w:t>
      </w:r>
      <w:r w:rsidR="00E3665B" w:rsidRPr="00E63E1C">
        <w:rPr>
          <w:lang w:val="en-GB"/>
        </w:rPr>
        <w:t xml:space="preserve"> of </w:t>
      </w:r>
      <w:r w:rsidR="00183AEE" w:rsidRPr="00E63E1C">
        <w:rPr>
          <w:lang w:val="en-GB"/>
        </w:rPr>
        <w:t xml:space="preserve">suspended </w:t>
      </w:r>
      <w:r w:rsidR="00E3665B" w:rsidRPr="00E63E1C">
        <w:rPr>
          <w:lang w:val="en-GB"/>
        </w:rPr>
        <w:t>particulate lipids collected in the Northeast Atlantic</w:t>
      </w:r>
      <w:r w:rsidRPr="00E63E1C">
        <w:rPr>
          <w:lang w:val="en-GB"/>
        </w:rPr>
        <w:t xml:space="preserve">. </w:t>
      </w:r>
      <w:r w:rsidR="00595553" w:rsidRPr="00E63E1C">
        <w:rPr>
          <w:lang w:val="en-GB"/>
        </w:rPr>
        <w:t>Here, we analyzed for the first time particulate lipid material by FT-ICR</w:t>
      </w:r>
      <w:r w:rsidR="007F1C13" w:rsidRPr="00E63E1C">
        <w:rPr>
          <w:lang w:val="en-GB"/>
        </w:rPr>
        <w:t xml:space="preserve"> </w:t>
      </w:r>
      <w:r w:rsidR="00595553" w:rsidRPr="00E63E1C">
        <w:rPr>
          <w:lang w:val="en-GB"/>
        </w:rPr>
        <w:t>MS to provide elemental composition of free fatty acids, tri-, di- and mono</w:t>
      </w:r>
      <w:r w:rsidR="00AE2D1B" w:rsidRPr="00E63E1C">
        <w:rPr>
          <w:lang w:val="en-GB"/>
        </w:rPr>
        <w:t>acylglycerol</w:t>
      </w:r>
      <w:r w:rsidR="00595553" w:rsidRPr="00E63E1C">
        <w:rPr>
          <w:lang w:val="en-GB"/>
        </w:rPr>
        <w:t xml:space="preserve">s that served as diagnostic markers for their transformation processes and </w:t>
      </w:r>
      <w:r w:rsidR="00EE70A4" w:rsidRPr="00E63E1C">
        <w:rPr>
          <w:lang w:val="en-GB"/>
        </w:rPr>
        <w:t xml:space="preserve">their </w:t>
      </w:r>
      <w:r w:rsidR="00595553" w:rsidRPr="00E63E1C">
        <w:rPr>
          <w:lang w:val="en-GB"/>
        </w:rPr>
        <w:t>preservation potential through</w:t>
      </w:r>
      <w:r w:rsidR="001366D2" w:rsidRPr="00E63E1C">
        <w:rPr>
          <w:lang w:val="en-GB"/>
        </w:rPr>
        <w:t xml:space="preserve"> the</w:t>
      </w:r>
      <w:r w:rsidR="00595553" w:rsidRPr="00E63E1C">
        <w:rPr>
          <w:lang w:val="en-GB"/>
        </w:rPr>
        <w:t xml:space="preserve"> water </w:t>
      </w:r>
      <w:r w:rsidR="00930C87">
        <w:rPr>
          <w:lang w:val="en-GB"/>
        </w:rPr>
        <w:t>column</w:t>
      </w:r>
      <w:r w:rsidR="00595553" w:rsidRPr="00E63E1C">
        <w:rPr>
          <w:lang w:val="en-GB"/>
        </w:rPr>
        <w:t>.</w:t>
      </w:r>
      <w:r w:rsidR="004B0FE3" w:rsidRPr="00E63E1C">
        <w:rPr>
          <w:lang w:val="en-GB"/>
        </w:rPr>
        <w:t xml:space="preserve"> The vertical distribution of </w:t>
      </w:r>
      <w:r w:rsidR="005C4147" w:rsidRPr="00E63E1C">
        <w:rPr>
          <w:lang w:val="en-GB"/>
        </w:rPr>
        <w:t>observed</w:t>
      </w:r>
      <w:r w:rsidR="004B0FE3" w:rsidRPr="00E63E1C">
        <w:rPr>
          <w:lang w:val="en-GB"/>
        </w:rPr>
        <w:t xml:space="preserve"> lipids reﬂects their production in the surface waters </w:t>
      </w:r>
      <w:r w:rsidR="00930C87">
        <w:rPr>
          <w:lang w:val="en-GB"/>
        </w:rPr>
        <w:t>and their</w:t>
      </w:r>
      <w:r w:rsidR="004B0FE3" w:rsidRPr="00E63E1C">
        <w:rPr>
          <w:lang w:val="en-GB"/>
        </w:rPr>
        <w:t xml:space="preserve"> degradation </w:t>
      </w:r>
      <w:r w:rsidR="00930C87">
        <w:rPr>
          <w:lang w:val="en-GB"/>
        </w:rPr>
        <w:t>as the particles sink</w:t>
      </w:r>
      <w:r w:rsidR="004B0FE3" w:rsidRPr="00E63E1C">
        <w:rPr>
          <w:lang w:val="en-GB"/>
        </w:rPr>
        <w:t>. The most</w:t>
      </w:r>
      <w:r w:rsidR="004B28AA" w:rsidRPr="00E63E1C">
        <w:rPr>
          <w:lang w:val="en-GB"/>
        </w:rPr>
        <w:t xml:space="preserve"> reactive layer is between 200-</w:t>
      </w:r>
      <w:r w:rsidR="004B0FE3" w:rsidRPr="00E63E1C">
        <w:rPr>
          <w:lang w:val="en-GB"/>
        </w:rPr>
        <w:t xml:space="preserve">300 m depth where the majority of </w:t>
      </w:r>
      <w:r w:rsidR="005C4147" w:rsidRPr="00E63E1C">
        <w:rPr>
          <w:lang w:val="en-GB"/>
        </w:rPr>
        <w:t>observed</w:t>
      </w:r>
      <w:r w:rsidR="004B0FE3" w:rsidRPr="00E63E1C">
        <w:rPr>
          <w:lang w:val="en-GB"/>
        </w:rPr>
        <w:t xml:space="preserve"> lipids are substantially degraded and/or altered.</w:t>
      </w:r>
      <w:r w:rsidR="00F221F8" w:rsidRPr="00E63E1C">
        <w:rPr>
          <w:lang w:val="en-GB"/>
        </w:rPr>
        <w:t xml:space="preserve"> </w:t>
      </w:r>
      <w:r w:rsidR="004B0FE3" w:rsidRPr="00E63E1C">
        <w:rPr>
          <w:lang w:val="en-GB"/>
        </w:rPr>
        <w:t xml:space="preserve">There is richness of different lipid molecular </w:t>
      </w:r>
      <w:r w:rsidR="004B0FE3" w:rsidRPr="007F201E">
        <w:rPr>
          <w:lang w:val="en-GB"/>
        </w:rPr>
        <w:t>formulae, and especially of TG, oddTG and DG in the surface productive layer (</w:t>
      </w:r>
      <w:r w:rsidR="00736679" w:rsidRPr="007F201E">
        <w:rPr>
          <w:lang w:val="en-GB"/>
        </w:rPr>
        <w:t>e</w:t>
      </w:r>
      <w:r w:rsidR="004B0FE3" w:rsidRPr="007F201E">
        <w:rPr>
          <w:lang w:val="en-GB"/>
        </w:rPr>
        <w:t>pipelagic</w:t>
      </w:r>
      <w:r w:rsidR="00736679" w:rsidRPr="007F201E">
        <w:rPr>
          <w:lang w:val="en-GB"/>
        </w:rPr>
        <w:t xml:space="preserve"> zone</w:t>
      </w:r>
      <w:r w:rsidR="004B0FE3" w:rsidRPr="007F201E">
        <w:rPr>
          <w:lang w:val="en-GB"/>
        </w:rPr>
        <w:t xml:space="preserve">), while </w:t>
      </w:r>
      <w:r w:rsidR="005C4147" w:rsidRPr="007F201E">
        <w:rPr>
          <w:lang w:val="en-GB"/>
        </w:rPr>
        <w:t>observed</w:t>
      </w:r>
      <w:r w:rsidR="004B0FE3" w:rsidRPr="007F201E">
        <w:rPr>
          <w:lang w:val="en-GB"/>
        </w:rPr>
        <w:t xml:space="preserve"> lipid molecular variability is reduced</w:t>
      </w:r>
      <w:r w:rsidR="00BC1653" w:rsidRPr="007F201E">
        <w:rPr>
          <w:lang w:val="en-GB"/>
        </w:rPr>
        <w:t>, except for SAFA,</w:t>
      </w:r>
      <w:r w:rsidR="00201093" w:rsidRPr="007F201E">
        <w:rPr>
          <w:lang w:val="en-GB"/>
        </w:rPr>
        <w:t xml:space="preserve"> until a</w:t>
      </w:r>
      <w:r w:rsidR="004B0FE3" w:rsidRPr="007F201E">
        <w:rPr>
          <w:lang w:val="en-GB"/>
        </w:rPr>
        <w:t>bys</w:t>
      </w:r>
      <w:r w:rsidR="005A5854" w:rsidRPr="007F201E">
        <w:rPr>
          <w:lang w:val="en-GB"/>
        </w:rPr>
        <w:t>s</w:t>
      </w:r>
      <w:r w:rsidR="004B0FE3" w:rsidRPr="007F201E">
        <w:rPr>
          <w:lang w:val="en-GB"/>
        </w:rPr>
        <w:t>opelagic</w:t>
      </w:r>
      <w:r w:rsidR="00201093" w:rsidRPr="007F201E">
        <w:rPr>
          <w:lang w:val="en-GB"/>
        </w:rPr>
        <w:t xml:space="preserve"> depths</w:t>
      </w:r>
      <w:r w:rsidR="004B0FE3" w:rsidRPr="007F201E">
        <w:rPr>
          <w:lang w:val="en-GB"/>
        </w:rPr>
        <w:t>.</w:t>
      </w:r>
      <w:r w:rsidR="004B0FE3" w:rsidRPr="00E63E1C">
        <w:rPr>
          <w:lang w:val="en-GB"/>
        </w:rPr>
        <w:t xml:space="preserve"> </w:t>
      </w:r>
    </w:p>
    <w:p w:rsidR="000A3F12" w:rsidRPr="00E63E1C" w:rsidRDefault="00F956B8" w:rsidP="00CD12B2">
      <w:pPr>
        <w:spacing w:after="120" w:line="360" w:lineRule="auto"/>
        <w:ind w:firstLine="720"/>
        <w:jc w:val="both"/>
        <w:rPr>
          <w:lang w:val="en-GB"/>
        </w:rPr>
      </w:pPr>
      <w:r w:rsidRPr="00E63E1C">
        <w:rPr>
          <w:lang w:val="en-GB"/>
        </w:rPr>
        <w:lastRenderedPageBreak/>
        <w:t xml:space="preserve">The </w:t>
      </w:r>
      <w:r w:rsidR="0055547D" w:rsidRPr="00E63E1C">
        <w:rPr>
          <w:lang w:val="en-GB"/>
        </w:rPr>
        <w:t>depth</w:t>
      </w:r>
      <w:r w:rsidR="006268D7" w:rsidRPr="00E63E1C">
        <w:rPr>
          <w:lang w:val="en-GB"/>
        </w:rPr>
        <w:t>-</w:t>
      </w:r>
      <w:r w:rsidR="0055547D" w:rsidRPr="00E63E1C">
        <w:rPr>
          <w:lang w:val="en-GB"/>
        </w:rPr>
        <w:t xml:space="preserve">related </w:t>
      </w:r>
      <w:r w:rsidRPr="00E63E1C">
        <w:rPr>
          <w:lang w:val="en-GB"/>
        </w:rPr>
        <w:t xml:space="preserve">changes of </w:t>
      </w:r>
      <w:r w:rsidR="005C4147" w:rsidRPr="00E63E1C">
        <w:rPr>
          <w:lang w:val="en-GB"/>
        </w:rPr>
        <w:t>observed</w:t>
      </w:r>
      <w:r w:rsidR="002D70AB" w:rsidRPr="00E63E1C">
        <w:rPr>
          <w:lang w:val="en-GB"/>
        </w:rPr>
        <w:t xml:space="preserve"> lipids</w:t>
      </w:r>
      <w:r w:rsidRPr="00E63E1C">
        <w:rPr>
          <w:lang w:val="en-GB"/>
        </w:rPr>
        <w:t xml:space="preserve"> </w:t>
      </w:r>
      <w:r w:rsidR="00912B0A" w:rsidRPr="00E63E1C">
        <w:rPr>
          <w:lang w:val="en-GB"/>
        </w:rPr>
        <w:t xml:space="preserve">from the </w:t>
      </w:r>
      <w:r w:rsidR="00A56D93" w:rsidRPr="00E63E1C">
        <w:rPr>
          <w:lang w:val="en-GB"/>
        </w:rPr>
        <w:t>North</w:t>
      </w:r>
      <w:r w:rsidR="00912B0A" w:rsidRPr="00E63E1C">
        <w:rPr>
          <w:lang w:val="en-GB"/>
        </w:rPr>
        <w:t>east Atlantic</w:t>
      </w:r>
      <w:r w:rsidR="00A56D93" w:rsidRPr="00E63E1C">
        <w:rPr>
          <w:lang w:val="en-GB"/>
        </w:rPr>
        <w:t xml:space="preserve"> </w:t>
      </w:r>
      <w:r w:rsidRPr="00E63E1C">
        <w:rPr>
          <w:lang w:val="en-GB"/>
        </w:rPr>
        <w:t>are selective with the general observation of decreasing concentration</w:t>
      </w:r>
      <w:r w:rsidR="002D70AB" w:rsidRPr="00E63E1C">
        <w:rPr>
          <w:lang w:val="en-GB"/>
        </w:rPr>
        <w:t xml:space="preserve"> and </w:t>
      </w:r>
      <w:r w:rsidR="00DD6EB2" w:rsidRPr="00E63E1C">
        <w:rPr>
          <w:lang w:val="en-GB"/>
        </w:rPr>
        <w:t xml:space="preserve">changed </w:t>
      </w:r>
      <w:r w:rsidR="002D70AB" w:rsidRPr="00E63E1C">
        <w:rPr>
          <w:lang w:val="en-GB"/>
        </w:rPr>
        <w:t xml:space="preserve">molecular </w:t>
      </w:r>
      <w:r w:rsidR="00DD6EB2" w:rsidRPr="00E63E1C">
        <w:rPr>
          <w:lang w:val="en-GB"/>
        </w:rPr>
        <w:t>characteristics</w:t>
      </w:r>
      <w:r w:rsidRPr="00E63E1C">
        <w:rPr>
          <w:lang w:val="en-GB"/>
        </w:rPr>
        <w:t xml:space="preserve"> with increasing water </w:t>
      </w:r>
      <w:r w:rsidR="00DD6EB2" w:rsidRPr="00E63E1C">
        <w:rPr>
          <w:lang w:val="en-GB"/>
        </w:rPr>
        <w:t xml:space="preserve">depth. The main </w:t>
      </w:r>
      <w:r w:rsidR="004B0FE3" w:rsidRPr="00E63E1C">
        <w:rPr>
          <w:lang w:val="en-GB"/>
        </w:rPr>
        <w:t>depth</w:t>
      </w:r>
      <w:r w:rsidR="007F1C13" w:rsidRPr="00E63E1C">
        <w:rPr>
          <w:lang w:val="en-GB"/>
        </w:rPr>
        <w:t>-</w:t>
      </w:r>
      <w:r w:rsidR="004B0FE3" w:rsidRPr="00E63E1C">
        <w:rPr>
          <w:lang w:val="en-GB"/>
        </w:rPr>
        <w:t>related</w:t>
      </w:r>
      <w:r w:rsidR="0028763E" w:rsidRPr="00E63E1C">
        <w:rPr>
          <w:lang w:val="en-GB"/>
        </w:rPr>
        <w:t xml:space="preserve"> lipid molecular characteristics</w:t>
      </w:r>
      <w:r w:rsidR="004B0FE3" w:rsidRPr="00E63E1C">
        <w:rPr>
          <w:lang w:val="en-GB"/>
        </w:rPr>
        <w:t xml:space="preserve"> </w:t>
      </w:r>
      <w:r w:rsidR="00A56D93" w:rsidRPr="00E63E1C">
        <w:rPr>
          <w:lang w:val="en-GB"/>
        </w:rPr>
        <w:t>change is</w:t>
      </w:r>
      <w:r w:rsidR="00DD6EB2" w:rsidRPr="00E63E1C">
        <w:rPr>
          <w:lang w:val="en-GB"/>
        </w:rPr>
        <w:t xml:space="preserve"> </w:t>
      </w:r>
      <w:r w:rsidR="007F1C13" w:rsidRPr="00E63E1C">
        <w:rPr>
          <w:lang w:val="en-GB"/>
        </w:rPr>
        <w:t xml:space="preserve">the </w:t>
      </w:r>
      <w:r w:rsidR="00DD6EB2" w:rsidRPr="00E63E1C">
        <w:rPr>
          <w:lang w:val="en-GB"/>
        </w:rPr>
        <w:t>substantial loss of unsaturation with depth</w:t>
      </w:r>
      <w:r w:rsidR="00422761" w:rsidRPr="00E63E1C">
        <w:rPr>
          <w:lang w:val="en-GB"/>
        </w:rPr>
        <w:t>.</w:t>
      </w:r>
      <w:r w:rsidR="0028763E" w:rsidRPr="00E63E1C">
        <w:rPr>
          <w:lang w:val="en-GB"/>
        </w:rPr>
        <w:t xml:space="preserve"> </w:t>
      </w:r>
      <w:r w:rsidR="000A3F12" w:rsidRPr="00E63E1C">
        <w:rPr>
          <w:lang w:val="en-GB"/>
        </w:rPr>
        <w:t>Consequently</w:t>
      </w:r>
      <w:r w:rsidR="007F1C13" w:rsidRPr="00E63E1C">
        <w:rPr>
          <w:lang w:val="en-GB"/>
        </w:rPr>
        <w:t>,</w:t>
      </w:r>
      <w:r w:rsidR="000A3F12" w:rsidRPr="00E63E1C">
        <w:rPr>
          <w:lang w:val="en-GB"/>
        </w:rPr>
        <w:t xml:space="preserve"> </w:t>
      </w:r>
      <w:r w:rsidR="00930C87">
        <w:rPr>
          <w:lang w:val="en-GB"/>
        </w:rPr>
        <w:t xml:space="preserve">the </w:t>
      </w:r>
      <w:r w:rsidR="000A3F12" w:rsidRPr="00E63E1C">
        <w:rPr>
          <w:lang w:val="en-GB"/>
        </w:rPr>
        <w:t xml:space="preserve">deep </w:t>
      </w:r>
      <w:r w:rsidR="004B28AA" w:rsidRPr="00E63E1C">
        <w:rPr>
          <w:lang w:val="en-GB"/>
        </w:rPr>
        <w:t>Atlantic</w:t>
      </w:r>
      <w:r w:rsidR="000A3F12" w:rsidRPr="00E63E1C">
        <w:rPr>
          <w:lang w:val="en-GB"/>
        </w:rPr>
        <w:t xml:space="preserve"> is rich in </w:t>
      </w:r>
      <w:r w:rsidR="00BC1653" w:rsidRPr="00E63E1C">
        <w:rPr>
          <w:lang w:val="en-GB"/>
        </w:rPr>
        <w:t xml:space="preserve">SAFA and in </w:t>
      </w:r>
      <w:r w:rsidR="000A3F12" w:rsidRPr="00E63E1C">
        <w:rPr>
          <w:lang w:val="en-GB"/>
        </w:rPr>
        <w:t xml:space="preserve">saturated or monounsaturated TG, oddTG, DG and BrFA </w:t>
      </w:r>
      <w:r w:rsidR="00930C87">
        <w:rPr>
          <w:lang w:val="en-GB"/>
        </w:rPr>
        <w:t>demonstrating that</w:t>
      </w:r>
      <w:r w:rsidR="00930C87" w:rsidRPr="00E63E1C">
        <w:rPr>
          <w:lang w:val="en-GB"/>
        </w:rPr>
        <w:t xml:space="preserve"> </w:t>
      </w:r>
      <w:r w:rsidR="000A3F12" w:rsidRPr="00E63E1C">
        <w:rPr>
          <w:lang w:val="en-GB"/>
        </w:rPr>
        <w:t xml:space="preserve">saturated lipids </w:t>
      </w:r>
      <w:r w:rsidR="00763008" w:rsidRPr="00E63E1C">
        <w:rPr>
          <w:lang w:val="en-GB"/>
        </w:rPr>
        <w:t xml:space="preserve">are not prone to degradation and </w:t>
      </w:r>
      <w:r w:rsidR="00930C87">
        <w:rPr>
          <w:lang w:val="en-GB"/>
        </w:rPr>
        <w:t xml:space="preserve">are </w:t>
      </w:r>
      <w:r w:rsidR="00763008" w:rsidRPr="00E63E1C">
        <w:rPr>
          <w:lang w:val="en-GB"/>
        </w:rPr>
        <w:t xml:space="preserve">therefore </w:t>
      </w:r>
      <w:r w:rsidR="000A3F12" w:rsidRPr="00E63E1C">
        <w:rPr>
          <w:lang w:val="en-GB"/>
        </w:rPr>
        <w:t xml:space="preserve">important </w:t>
      </w:r>
      <w:r w:rsidR="00763008" w:rsidRPr="00E63E1C">
        <w:rPr>
          <w:lang w:val="en-GB"/>
        </w:rPr>
        <w:t>organic</w:t>
      </w:r>
      <w:r w:rsidR="00193F56" w:rsidRPr="00E63E1C">
        <w:rPr>
          <w:lang w:val="en-GB"/>
        </w:rPr>
        <w:t xml:space="preserve"> </w:t>
      </w:r>
      <w:r w:rsidR="00930C87">
        <w:rPr>
          <w:lang w:val="en-GB"/>
        </w:rPr>
        <w:t>compounds</w:t>
      </w:r>
      <w:r w:rsidR="00930C87" w:rsidRPr="00E63E1C">
        <w:rPr>
          <w:lang w:val="en-GB"/>
        </w:rPr>
        <w:t xml:space="preserve"> </w:t>
      </w:r>
      <w:r w:rsidR="000A3F12" w:rsidRPr="00E63E1C">
        <w:rPr>
          <w:lang w:val="en-GB"/>
        </w:rPr>
        <w:t xml:space="preserve">for </w:t>
      </w:r>
      <w:r w:rsidR="00930C87">
        <w:rPr>
          <w:lang w:val="en-GB"/>
        </w:rPr>
        <w:t>transport of carbon to depth and in the functioning of the biological carbon pump</w:t>
      </w:r>
      <w:r w:rsidR="000A3F12" w:rsidRPr="00E63E1C">
        <w:rPr>
          <w:lang w:val="en-GB"/>
        </w:rPr>
        <w:t>.</w:t>
      </w:r>
    </w:p>
    <w:p w:rsidR="00481FC6" w:rsidRPr="00E63E1C" w:rsidRDefault="00481FC6" w:rsidP="00F72221">
      <w:pPr>
        <w:spacing w:after="120"/>
        <w:ind w:firstLine="720"/>
        <w:jc w:val="both"/>
        <w:rPr>
          <w:rFonts w:eastAsia="Times New Roman"/>
          <w:lang w:val="en-GB" w:eastAsia="en-US"/>
        </w:rPr>
      </w:pPr>
    </w:p>
    <w:p w:rsidR="00DC7C76" w:rsidRPr="00E63E1C" w:rsidRDefault="008E4729" w:rsidP="00F72221">
      <w:pPr>
        <w:spacing w:after="120"/>
        <w:jc w:val="both"/>
        <w:rPr>
          <w:lang w:val="en-GB"/>
        </w:rPr>
      </w:pPr>
      <w:r w:rsidRPr="00E63E1C">
        <w:rPr>
          <w:b/>
          <w:lang w:val="en-GB"/>
        </w:rPr>
        <w:t>A</w:t>
      </w:r>
      <w:r w:rsidR="00DC7C76" w:rsidRPr="00E63E1C">
        <w:rPr>
          <w:b/>
          <w:lang w:val="en-GB"/>
        </w:rPr>
        <w:t xml:space="preserve">cknowledgements </w:t>
      </w:r>
      <w:r w:rsidR="00DC7C76" w:rsidRPr="00E63E1C">
        <w:rPr>
          <w:lang w:val="en-GB"/>
        </w:rPr>
        <w:t>We thank crew of the RRS James Cook. This work was funded by the grant from the Croatian Science Foundation under the project IP-11-2013-8607, by the National Science Foundation (IIA-1301346) and the Center for Animal Health and Food Safety at New Mexico State University. This work is a contribution to the European FP7 Projects EURO-BASIN and to the Natural Environment Research Council, UK, core programme.</w:t>
      </w:r>
    </w:p>
    <w:p w:rsidR="00DC7C76" w:rsidRPr="00E63E1C" w:rsidRDefault="00DC7C76" w:rsidP="006E1617">
      <w:pPr>
        <w:spacing w:after="120"/>
        <w:ind w:firstLine="720"/>
        <w:rPr>
          <w:lang w:val="en-GB"/>
        </w:rPr>
      </w:pPr>
    </w:p>
    <w:p w:rsidR="00BC1653" w:rsidRPr="00E63E1C" w:rsidRDefault="00BC1653" w:rsidP="00F72221">
      <w:pPr>
        <w:spacing w:after="120"/>
        <w:rPr>
          <w:b/>
          <w:lang w:val="en-GB"/>
        </w:rPr>
      </w:pPr>
    </w:p>
    <w:p w:rsidR="002B31C9" w:rsidRPr="00E63E1C" w:rsidRDefault="002B31C9" w:rsidP="00F72221">
      <w:pPr>
        <w:spacing w:after="120"/>
        <w:rPr>
          <w:b/>
          <w:lang w:val="fr-FR"/>
        </w:rPr>
      </w:pPr>
      <w:r w:rsidRPr="00E63E1C">
        <w:rPr>
          <w:b/>
          <w:lang w:val="fr-FR"/>
        </w:rPr>
        <w:t>References</w:t>
      </w:r>
    </w:p>
    <w:p w:rsidR="005F41B7" w:rsidRPr="00E63E1C" w:rsidRDefault="005F41B7" w:rsidP="005F41B7">
      <w:pPr>
        <w:autoSpaceDE w:val="0"/>
        <w:autoSpaceDN w:val="0"/>
        <w:adjustRightInd w:val="0"/>
        <w:spacing w:after="120"/>
        <w:ind w:left="284" w:hanging="284"/>
        <w:jc w:val="both"/>
        <w:rPr>
          <w:lang w:val="de-DE"/>
        </w:rPr>
      </w:pPr>
      <w:r w:rsidRPr="00E63E1C">
        <w:rPr>
          <w:lang w:val="fr-FR"/>
        </w:rPr>
        <w:t xml:space="preserve">Afi, L., Metzger, P., Largeau, C., Connan, J., Berkaloff, C., Rousseau, B., 1996. </w:t>
      </w:r>
      <w:r w:rsidRPr="00E63E1C">
        <w:rPr>
          <w:lang w:val="en-GB"/>
        </w:rPr>
        <w:t>Bacterial degradation of green microalgae: incubation of</w:t>
      </w:r>
      <w:r w:rsidR="00FA4834" w:rsidRPr="00E63E1C">
        <w:rPr>
          <w:lang w:val="en-GB"/>
        </w:rPr>
        <w:t xml:space="preserve"> </w:t>
      </w:r>
      <w:r w:rsidRPr="00E63E1C">
        <w:rPr>
          <w:i/>
          <w:lang w:val="en-GB"/>
        </w:rPr>
        <w:t>Chlorella emersonii</w:t>
      </w:r>
      <w:r w:rsidR="00FA4834" w:rsidRPr="00E63E1C">
        <w:rPr>
          <w:lang w:val="en-GB"/>
        </w:rPr>
        <w:t xml:space="preserve"> </w:t>
      </w:r>
      <w:r w:rsidRPr="00E63E1C">
        <w:rPr>
          <w:lang w:val="en-GB"/>
        </w:rPr>
        <w:t>and</w:t>
      </w:r>
      <w:r w:rsidR="00FA4834" w:rsidRPr="00E63E1C">
        <w:rPr>
          <w:lang w:val="en-GB"/>
        </w:rPr>
        <w:t xml:space="preserve"> </w:t>
      </w:r>
      <w:r w:rsidRPr="00E63E1C">
        <w:rPr>
          <w:i/>
          <w:lang w:val="en-GB"/>
        </w:rPr>
        <w:t>Chlorella</w:t>
      </w:r>
      <w:r w:rsidR="00FA4834" w:rsidRPr="00E63E1C">
        <w:rPr>
          <w:i/>
          <w:lang w:val="en-GB"/>
        </w:rPr>
        <w:t xml:space="preserve"> v</w:t>
      </w:r>
      <w:r w:rsidRPr="00E63E1C">
        <w:rPr>
          <w:i/>
          <w:lang w:val="en-GB"/>
        </w:rPr>
        <w:t>ulgaris</w:t>
      </w:r>
      <w:r w:rsidRPr="00E63E1C">
        <w:rPr>
          <w:lang w:val="en-GB"/>
        </w:rPr>
        <w:t xml:space="preserve"> with</w:t>
      </w:r>
      <w:r w:rsidR="00FA4834" w:rsidRPr="00E63E1C">
        <w:rPr>
          <w:lang w:val="en-GB"/>
        </w:rPr>
        <w:t xml:space="preserve"> </w:t>
      </w:r>
      <w:r w:rsidRPr="00E63E1C">
        <w:rPr>
          <w:i/>
          <w:lang w:val="en-GB"/>
        </w:rPr>
        <w:t>Pseudomonas oleo</w:t>
      </w:r>
      <w:r w:rsidR="00FA4834" w:rsidRPr="00E63E1C">
        <w:rPr>
          <w:i/>
          <w:lang w:val="en-GB"/>
        </w:rPr>
        <w:t>v</w:t>
      </w:r>
      <w:r w:rsidRPr="00E63E1C">
        <w:rPr>
          <w:i/>
          <w:lang w:val="en-GB"/>
        </w:rPr>
        <w:t>orans</w:t>
      </w:r>
      <w:r w:rsidR="00FA4834" w:rsidRPr="00E63E1C">
        <w:rPr>
          <w:lang w:val="en-GB"/>
        </w:rPr>
        <w:t xml:space="preserve"> </w:t>
      </w:r>
      <w:r w:rsidRPr="00E63E1C">
        <w:rPr>
          <w:lang w:val="en-GB"/>
        </w:rPr>
        <w:t xml:space="preserve">and </w:t>
      </w:r>
      <w:r w:rsidRPr="00E63E1C">
        <w:rPr>
          <w:i/>
          <w:lang w:val="en-GB"/>
        </w:rPr>
        <w:t>Fla</w:t>
      </w:r>
      <w:r w:rsidR="00FA4834" w:rsidRPr="00E63E1C">
        <w:rPr>
          <w:i/>
          <w:lang w:val="en-GB"/>
        </w:rPr>
        <w:t>v</w:t>
      </w:r>
      <w:r w:rsidRPr="00E63E1C">
        <w:rPr>
          <w:i/>
          <w:lang w:val="en-GB"/>
        </w:rPr>
        <w:t>obacterium</w:t>
      </w:r>
      <w:r w:rsidRPr="00E63E1C">
        <w:rPr>
          <w:lang w:val="en-GB"/>
        </w:rPr>
        <w:t xml:space="preserve"> </w:t>
      </w:r>
      <w:r w:rsidRPr="00E63E1C">
        <w:rPr>
          <w:i/>
          <w:lang w:val="en-GB"/>
        </w:rPr>
        <w:t>aquatile</w:t>
      </w:r>
      <w:r w:rsidRPr="00E63E1C">
        <w:rPr>
          <w:lang w:val="en-GB"/>
        </w:rPr>
        <w:t xml:space="preserve">. </w:t>
      </w:r>
      <w:r w:rsidRPr="00E63E1C">
        <w:rPr>
          <w:lang w:val="de-DE"/>
        </w:rPr>
        <w:t>Org. Geochem. 25, 117–130.</w:t>
      </w:r>
    </w:p>
    <w:p w:rsidR="006F6617" w:rsidRPr="00E63E1C" w:rsidRDefault="006F6617" w:rsidP="009D06E6">
      <w:pPr>
        <w:autoSpaceDE w:val="0"/>
        <w:autoSpaceDN w:val="0"/>
        <w:adjustRightInd w:val="0"/>
        <w:spacing w:after="120"/>
        <w:ind w:left="284" w:hanging="284"/>
        <w:jc w:val="both"/>
        <w:rPr>
          <w:lang w:val="en-GB"/>
        </w:rPr>
      </w:pPr>
      <w:r w:rsidRPr="00E63E1C">
        <w:rPr>
          <w:lang w:val="de-DE"/>
        </w:rPr>
        <w:t xml:space="preserve">Arts, M.T., Brett, M.T., Kainz, M.J. 2009. </w:t>
      </w:r>
      <w:r w:rsidRPr="00E63E1C">
        <w:rPr>
          <w:lang w:val="en-GB"/>
        </w:rPr>
        <w:t>Lipids in Aquatic Ecosystems, Springer</w:t>
      </w:r>
    </w:p>
    <w:p w:rsidR="00523CA8" w:rsidRPr="00E63E1C" w:rsidRDefault="00523CA8" w:rsidP="003874D4">
      <w:pPr>
        <w:autoSpaceDE w:val="0"/>
        <w:autoSpaceDN w:val="0"/>
        <w:adjustRightInd w:val="0"/>
        <w:spacing w:after="120"/>
        <w:ind w:left="284" w:hanging="284"/>
        <w:jc w:val="both"/>
        <w:rPr>
          <w:lang w:val="en-GB"/>
        </w:rPr>
      </w:pPr>
      <w:r w:rsidRPr="00E63E1C">
        <w:rPr>
          <w:lang w:val="en-GB"/>
        </w:rPr>
        <w:t>Bligh, E.G.,</w:t>
      </w:r>
      <w:r w:rsidR="003874D4" w:rsidRPr="00E63E1C">
        <w:rPr>
          <w:lang w:val="en-GB"/>
        </w:rPr>
        <w:t xml:space="preserve"> </w:t>
      </w:r>
      <w:r w:rsidRPr="00E63E1C">
        <w:rPr>
          <w:lang w:val="en-GB"/>
        </w:rPr>
        <w:t xml:space="preserve">Dyer </w:t>
      </w:r>
      <w:r w:rsidR="003874D4" w:rsidRPr="00E63E1C">
        <w:rPr>
          <w:lang w:val="en-GB"/>
        </w:rPr>
        <w:t xml:space="preserve">W.J. </w:t>
      </w:r>
      <w:r w:rsidRPr="00E63E1C">
        <w:rPr>
          <w:lang w:val="en-GB"/>
        </w:rPr>
        <w:t>1959</w:t>
      </w:r>
      <w:r w:rsidR="003874D4" w:rsidRPr="00E63E1C">
        <w:rPr>
          <w:lang w:val="en-GB"/>
        </w:rPr>
        <w:t>.</w:t>
      </w:r>
      <w:r w:rsidRPr="00E63E1C">
        <w:rPr>
          <w:lang w:val="en-GB"/>
        </w:rPr>
        <w:t xml:space="preserve"> A rapid method of total lipid extraction and purification. Can. J. Biochem. Physiol., 37, 911–917.</w:t>
      </w:r>
    </w:p>
    <w:p w:rsidR="00733F1C" w:rsidRPr="00E63E1C" w:rsidRDefault="008B68FE" w:rsidP="00522956">
      <w:pPr>
        <w:autoSpaceDE w:val="0"/>
        <w:autoSpaceDN w:val="0"/>
        <w:adjustRightInd w:val="0"/>
        <w:spacing w:after="120"/>
        <w:ind w:left="284" w:hanging="284"/>
        <w:jc w:val="both"/>
        <w:rPr>
          <w:lang w:val="pt-BR"/>
        </w:rPr>
      </w:pPr>
      <w:r w:rsidRPr="00E63E1C">
        <w:rPr>
          <w:lang w:val="en-GB"/>
        </w:rPr>
        <w:t>Budge,</w:t>
      </w:r>
      <w:r w:rsidR="00881DDD" w:rsidRPr="00E63E1C">
        <w:rPr>
          <w:lang w:val="en-GB"/>
        </w:rPr>
        <w:t xml:space="preserve"> </w:t>
      </w:r>
      <w:r w:rsidRPr="00E63E1C">
        <w:rPr>
          <w:lang w:val="en-GB"/>
        </w:rPr>
        <w:t>S.M.,</w:t>
      </w:r>
      <w:r w:rsidR="00881DDD" w:rsidRPr="00E63E1C">
        <w:rPr>
          <w:lang w:val="en-GB"/>
        </w:rPr>
        <w:t xml:space="preserve"> </w:t>
      </w:r>
      <w:r w:rsidR="003874D4" w:rsidRPr="00E63E1C">
        <w:rPr>
          <w:lang w:val="en-GB"/>
        </w:rPr>
        <w:t>Parrish, C.</w:t>
      </w:r>
      <w:r w:rsidRPr="00E63E1C">
        <w:rPr>
          <w:lang w:val="en-GB"/>
        </w:rPr>
        <w:t>C.</w:t>
      </w:r>
      <w:r w:rsidR="003874D4" w:rsidRPr="00E63E1C">
        <w:rPr>
          <w:lang w:val="en-GB"/>
        </w:rPr>
        <w:t xml:space="preserve">, </w:t>
      </w:r>
      <w:r w:rsidRPr="00E63E1C">
        <w:rPr>
          <w:lang w:val="en-GB"/>
        </w:rPr>
        <w:t>Mckenzie,</w:t>
      </w:r>
      <w:r w:rsidR="00881DDD" w:rsidRPr="00E63E1C">
        <w:rPr>
          <w:lang w:val="en-GB"/>
        </w:rPr>
        <w:t xml:space="preserve"> </w:t>
      </w:r>
      <w:r w:rsidR="003874D4" w:rsidRPr="00E63E1C">
        <w:rPr>
          <w:lang w:val="en-GB"/>
        </w:rPr>
        <w:t>C.</w:t>
      </w:r>
      <w:r w:rsidRPr="00E63E1C">
        <w:rPr>
          <w:lang w:val="en-GB"/>
        </w:rPr>
        <w:t>H.</w:t>
      </w:r>
      <w:r w:rsidR="003874D4" w:rsidRPr="00E63E1C">
        <w:rPr>
          <w:lang w:val="en-GB"/>
        </w:rPr>
        <w:t>,</w:t>
      </w:r>
      <w:r w:rsidR="00881DDD" w:rsidRPr="00E63E1C">
        <w:rPr>
          <w:lang w:val="en-GB"/>
        </w:rPr>
        <w:t xml:space="preserve"> </w:t>
      </w:r>
      <w:r w:rsidRPr="00E63E1C">
        <w:rPr>
          <w:lang w:val="en-GB"/>
        </w:rPr>
        <w:t>2001.</w:t>
      </w:r>
      <w:r w:rsidR="00881DDD" w:rsidRPr="00E63E1C">
        <w:rPr>
          <w:lang w:val="en-GB"/>
        </w:rPr>
        <w:t xml:space="preserve"> </w:t>
      </w:r>
      <w:r w:rsidRPr="00E63E1C">
        <w:rPr>
          <w:lang w:val="en-GB"/>
        </w:rPr>
        <w:t>Fatty</w:t>
      </w:r>
      <w:r w:rsidR="00881DDD" w:rsidRPr="00E63E1C">
        <w:rPr>
          <w:lang w:val="en-GB"/>
        </w:rPr>
        <w:t xml:space="preserve"> </w:t>
      </w:r>
      <w:r w:rsidRPr="00E63E1C">
        <w:rPr>
          <w:lang w:val="en-GB"/>
        </w:rPr>
        <w:t>acid composition</w:t>
      </w:r>
      <w:r w:rsidR="00881DDD" w:rsidRPr="00E63E1C">
        <w:rPr>
          <w:lang w:val="en-GB"/>
        </w:rPr>
        <w:t xml:space="preserve"> </w:t>
      </w:r>
      <w:r w:rsidRPr="00E63E1C">
        <w:rPr>
          <w:lang w:val="en-GB"/>
        </w:rPr>
        <w:t>of phytoplankton,</w:t>
      </w:r>
      <w:r w:rsidR="00881DDD" w:rsidRPr="00E63E1C">
        <w:rPr>
          <w:lang w:val="en-GB"/>
        </w:rPr>
        <w:t xml:space="preserve"> </w:t>
      </w:r>
      <w:r w:rsidRPr="00E63E1C">
        <w:rPr>
          <w:lang w:val="en-GB"/>
        </w:rPr>
        <w:t>settling</w:t>
      </w:r>
      <w:r w:rsidR="00881DDD" w:rsidRPr="00E63E1C">
        <w:rPr>
          <w:lang w:val="en-GB"/>
        </w:rPr>
        <w:t xml:space="preserve"> </w:t>
      </w:r>
      <w:r w:rsidRPr="00E63E1C">
        <w:rPr>
          <w:lang w:val="en-GB"/>
        </w:rPr>
        <w:t>particulate</w:t>
      </w:r>
      <w:r w:rsidR="00881DDD" w:rsidRPr="00E63E1C">
        <w:rPr>
          <w:lang w:val="en-GB"/>
        </w:rPr>
        <w:t xml:space="preserve"> </w:t>
      </w:r>
      <w:r w:rsidRPr="00E63E1C">
        <w:rPr>
          <w:lang w:val="en-GB"/>
        </w:rPr>
        <w:t>matter</w:t>
      </w:r>
      <w:r w:rsidR="00881DDD" w:rsidRPr="00E63E1C">
        <w:rPr>
          <w:lang w:val="en-GB"/>
        </w:rPr>
        <w:t xml:space="preserve"> </w:t>
      </w:r>
      <w:r w:rsidRPr="00E63E1C">
        <w:rPr>
          <w:lang w:val="en-GB"/>
        </w:rPr>
        <w:t>and</w:t>
      </w:r>
      <w:r w:rsidR="00881DDD" w:rsidRPr="00E63E1C">
        <w:rPr>
          <w:lang w:val="en-GB"/>
        </w:rPr>
        <w:t xml:space="preserve"> </w:t>
      </w:r>
      <w:r w:rsidRPr="00E63E1C">
        <w:rPr>
          <w:lang w:val="en-GB"/>
        </w:rPr>
        <w:t>sediments</w:t>
      </w:r>
      <w:r w:rsidR="00881DDD" w:rsidRPr="00E63E1C">
        <w:rPr>
          <w:lang w:val="en-GB"/>
        </w:rPr>
        <w:t xml:space="preserve"> </w:t>
      </w:r>
      <w:r w:rsidRPr="00E63E1C">
        <w:rPr>
          <w:lang w:val="en-GB"/>
        </w:rPr>
        <w:t>at</w:t>
      </w:r>
      <w:r w:rsidR="00881DDD" w:rsidRPr="00E63E1C">
        <w:rPr>
          <w:lang w:val="en-GB"/>
        </w:rPr>
        <w:t xml:space="preserve"> </w:t>
      </w:r>
      <w:r w:rsidRPr="00E63E1C">
        <w:rPr>
          <w:lang w:val="en-GB"/>
        </w:rPr>
        <w:t>a</w:t>
      </w:r>
      <w:r w:rsidR="00881DDD" w:rsidRPr="00E63E1C">
        <w:rPr>
          <w:lang w:val="en-GB"/>
        </w:rPr>
        <w:t xml:space="preserve"> </w:t>
      </w:r>
      <w:r w:rsidRPr="00E63E1C">
        <w:rPr>
          <w:lang w:val="en-GB"/>
        </w:rPr>
        <w:t>sheltered</w:t>
      </w:r>
      <w:r w:rsidR="00881DDD" w:rsidRPr="00E63E1C">
        <w:rPr>
          <w:lang w:val="en-GB"/>
        </w:rPr>
        <w:t xml:space="preserve"> </w:t>
      </w:r>
      <w:r w:rsidRPr="00E63E1C">
        <w:rPr>
          <w:lang w:val="en-GB"/>
        </w:rPr>
        <w:t>bivalve aquaculture</w:t>
      </w:r>
      <w:r w:rsidR="00881DDD" w:rsidRPr="00E63E1C">
        <w:rPr>
          <w:lang w:val="en-GB"/>
        </w:rPr>
        <w:t xml:space="preserve"> </w:t>
      </w:r>
      <w:r w:rsidRPr="00E63E1C">
        <w:rPr>
          <w:lang w:val="en-GB"/>
        </w:rPr>
        <w:t>s</w:t>
      </w:r>
      <w:r w:rsidR="00966F84" w:rsidRPr="00E63E1C">
        <w:rPr>
          <w:lang w:val="en-GB"/>
        </w:rPr>
        <w:t>ite.</w:t>
      </w:r>
      <w:r w:rsidR="00881DDD" w:rsidRPr="00E63E1C">
        <w:rPr>
          <w:lang w:val="en-GB"/>
        </w:rPr>
        <w:t xml:space="preserve"> </w:t>
      </w:r>
      <w:r w:rsidR="003874D4" w:rsidRPr="00E63E1C">
        <w:rPr>
          <w:lang w:val="pt-BR"/>
        </w:rPr>
        <w:t xml:space="preserve">Mar. </w:t>
      </w:r>
      <w:r w:rsidR="00966F84" w:rsidRPr="00E63E1C">
        <w:rPr>
          <w:lang w:val="pt-BR"/>
        </w:rPr>
        <w:t>Chem</w:t>
      </w:r>
      <w:r w:rsidR="003874D4" w:rsidRPr="00E63E1C">
        <w:rPr>
          <w:lang w:val="pt-BR"/>
        </w:rPr>
        <w:t xml:space="preserve">. </w:t>
      </w:r>
      <w:r w:rsidR="00522956" w:rsidRPr="00E63E1C">
        <w:rPr>
          <w:lang w:val="pt-BR"/>
        </w:rPr>
        <w:t>76</w:t>
      </w:r>
      <w:r w:rsidR="00966F84" w:rsidRPr="00E63E1C">
        <w:rPr>
          <w:lang w:val="pt-BR"/>
        </w:rPr>
        <w:t xml:space="preserve">, </w:t>
      </w:r>
      <w:r w:rsidRPr="00E63E1C">
        <w:rPr>
          <w:lang w:val="pt-BR"/>
        </w:rPr>
        <w:t>285-303.</w:t>
      </w:r>
    </w:p>
    <w:p w:rsidR="009E7F33" w:rsidRPr="00E63E1C" w:rsidRDefault="009E7F33" w:rsidP="009E7F33">
      <w:pPr>
        <w:autoSpaceDE w:val="0"/>
        <w:autoSpaceDN w:val="0"/>
        <w:adjustRightInd w:val="0"/>
        <w:spacing w:after="120"/>
        <w:ind w:left="284" w:hanging="284"/>
        <w:jc w:val="both"/>
        <w:rPr>
          <w:lang w:val="pt-BR"/>
        </w:rPr>
      </w:pPr>
      <w:r w:rsidRPr="00E63E1C">
        <w:rPr>
          <w:lang w:val="fr-FR"/>
        </w:rPr>
        <w:t>Buesseler, K.O., Lamborg, C.H., Boyd, P.W., Lam, P.J., Trull, T.W., Bidigare, R.R., Bishop, J.K.B., Casciotti, K.L., Dehairs, F., Elskens, M., Honda, M., Karl, D.M., Siegel, D.A., Silver, M.W., Steinberg, D.K., Valdes, J., Van Mooy, B., Wilson, S. 2007. Revisiting Carbon Flux Through the Ocean’s Twilight Zone. Science 316, 567-570.</w:t>
      </w:r>
    </w:p>
    <w:p w:rsidR="001550B3" w:rsidRPr="00E63E1C" w:rsidRDefault="00E55443" w:rsidP="00E55443">
      <w:pPr>
        <w:autoSpaceDE w:val="0"/>
        <w:autoSpaceDN w:val="0"/>
        <w:adjustRightInd w:val="0"/>
        <w:spacing w:after="120"/>
        <w:ind w:left="284" w:hanging="284"/>
        <w:jc w:val="both"/>
        <w:rPr>
          <w:lang w:val="de-DE"/>
        </w:rPr>
      </w:pPr>
      <w:r w:rsidRPr="00E63E1C">
        <w:rPr>
          <w:lang w:val="pt-BR"/>
        </w:rPr>
        <w:t>de Carvalho, C.</w:t>
      </w:r>
      <w:r w:rsidR="001550B3" w:rsidRPr="00E63E1C">
        <w:rPr>
          <w:lang w:val="pt-BR"/>
        </w:rPr>
        <w:t xml:space="preserve">C.R., Caramujo, M.J. 2012. </w:t>
      </w:r>
      <w:r w:rsidR="001550B3" w:rsidRPr="00E63E1C">
        <w:rPr>
          <w:lang w:val="en-GB"/>
        </w:rPr>
        <w:t xml:space="preserve">Lipids of </w:t>
      </w:r>
      <w:r w:rsidRPr="00E63E1C">
        <w:rPr>
          <w:lang w:val="en-GB"/>
        </w:rPr>
        <w:t>p</w:t>
      </w:r>
      <w:r w:rsidR="001550B3" w:rsidRPr="00E63E1C">
        <w:rPr>
          <w:lang w:val="en-GB"/>
        </w:rPr>
        <w:t xml:space="preserve">rokaryotic </w:t>
      </w:r>
      <w:r w:rsidRPr="00E63E1C">
        <w:rPr>
          <w:lang w:val="en-GB"/>
        </w:rPr>
        <w:t>o</w:t>
      </w:r>
      <w:r w:rsidR="001550B3" w:rsidRPr="00E63E1C">
        <w:rPr>
          <w:lang w:val="en-GB"/>
        </w:rPr>
        <w:t xml:space="preserve">rigin at the </w:t>
      </w:r>
      <w:r w:rsidRPr="00E63E1C">
        <w:rPr>
          <w:lang w:val="en-GB"/>
        </w:rPr>
        <w:t>b</w:t>
      </w:r>
      <w:r w:rsidR="001550B3" w:rsidRPr="00E63E1C">
        <w:rPr>
          <w:lang w:val="en-GB"/>
        </w:rPr>
        <w:t xml:space="preserve">ase of </w:t>
      </w:r>
      <w:r w:rsidRPr="00E63E1C">
        <w:rPr>
          <w:lang w:val="en-GB"/>
        </w:rPr>
        <w:t>m</w:t>
      </w:r>
      <w:r w:rsidR="001550B3" w:rsidRPr="00E63E1C">
        <w:rPr>
          <w:lang w:val="en-GB"/>
        </w:rPr>
        <w:t xml:space="preserve">arine </w:t>
      </w:r>
      <w:r w:rsidRPr="00E63E1C">
        <w:rPr>
          <w:lang w:val="en-GB"/>
        </w:rPr>
        <w:t>f</w:t>
      </w:r>
      <w:r w:rsidR="001550B3" w:rsidRPr="00E63E1C">
        <w:rPr>
          <w:lang w:val="en-GB"/>
        </w:rPr>
        <w:t xml:space="preserve">ood </w:t>
      </w:r>
      <w:r w:rsidRPr="00E63E1C">
        <w:rPr>
          <w:lang w:val="en-GB"/>
        </w:rPr>
        <w:t>w</w:t>
      </w:r>
      <w:r w:rsidR="001550B3" w:rsidRPr="00E63E1C">
        <w:rPr>
          <w:lang w:val="en-GB"/>
        </w:rPr>
        <w:t xml:space="preserve">ebs. </w:t>
      </w:r>
      <w:r w:rsidR="001550B3" w:rsidRPr="00E63E1C">
        <w:rPr>
          <w:lang w:val="de-DE"/>
        </w:rPr>
        <w:t>Mar. Drugs 10, 2698-2714.</w:t>
      </w:r>
    </w:p>
    <w:p w:rsidR="00733F1C" w:rsidRPr="00E63E1C" w:rsidRDefault="00733F1C" w:rsidP="009D06E6">
      <w:pPr>
        <w:autoSpaceDE w:val="0"/>
        <w:autoSpaceDN w:val="0"/>
        <w:adjustRightInd w:val="0"/>
        <w:spacing w:after="120"/>
        <w:ind w:left="284" w:hanging="284"/>
        <w:jc w:val="both"/>
        <w:rPr>
          <w:lang w:val="en-GB"/>
        </w:rPr>
      </w:pPr>
      <w:r w:rsidRPr="00E63E1C">
        <w:rPr>
          <w:lang w:val="de-DE"/>
        </w:rPr>
        <w:t xml:space="preserve">Dalsgaard, J., </w:t>
      </w:r>
      <w:hyperlink r:id="rId11" w:history="1">
        <w:r w:rsidRPr="00E63E1C">
          <w:rPr>
            <w:lang w:val="de-DE"/>
          </w:rPr>
          <w:t>St John, M</w:t>
        </w:r>
      </w:hyperlink>
      <w:r w:rsidRPr="00E63E1C">
        <w:rPr>
          <w:lang w:val="de-DE"/>
        </w:rPr>
        <w:t xml:space="preserve">., </w:t>
      </w:r>
      <w:hyperlink r:id="rId12" w:history="1">
        <w:r w:rsidRPr="00E63E1C">
          <w:rPr>
            <w:lang w:val="de-DE"/>
          </w:rPr>
          <w:t>Kattner, G</w:t>
        </w:r>
      </w:hyperlink>
      <w:r w:rsidRPr="00E63E1C">
        <w:rPr>
          <w:lang w:val="de-DE"/>
        </w:rPr>
        <w:t xml:space="preserve">., </w:t>
      </w:r>
      <w:hyperlink r:id="rId13" w:history="1">
        <w:r w:rsidRPr="00E63E1C">
          <w:rPr>
            <w:lang w:val="de-DE"/>
          </w:rPr>
          <w:t>Müller–Navarra, D</w:t>
        </w:r>
      </w:hyperlink>
      <w:r w:rsidRPr="00E63E1C">
        <w:rPr>
          <w:lang w:val="de-DE"/>
        </w:rPr>
        <w:t xml:space="preserve">., </w:t>
      </w:r>
      <w:hyperlink r:id="rId14" w:history="1">
        <w:r w:rsidRPr="00E63E1C">
          <w:rPr>
            <w:lang w:val="de-DE"/>
          </w:rPr>
          <w:t>Hagen, W</w:t>
        </w:r>
      </w:hyperlink>
      <w:r w:rsidRPr="00E63E1C">
        <w:rPr>
          <w:lang w:val="de-DE"/>
        </w:rPr>
        <w:t xml:space="preserve">., 2003. </w:t>
      </w:r>
      <w:r w:rsidRPr="00E63E1C">
        <w:rPr>
          <w:lang w:val="en-GB"/>
        </w:rPr>
        <w:t>Fatty acid trophic markers in the pelagic marine environment. Adv. Mar. Biol. 46, 225–340.</w:t>
      </w:r>
    </w:p>
    <w:p w:rsidR="00900295" w:rsidRPr="00E63E1C" w:rsidRDefault="00900295" w:rsidP="00FC66CC">
      <w:pPr>
        <w:autoSpaceDE w:val="0"/>
        <w:autoSpaceDN w:val="0"/>
        <w:adjustRightInd w:val="0"/>
        <w:spacing w:after="120"/>
        <w:ind w:left="284" w:hanging="284"/>
        <w:jc w:val="both"/>
        <w:rPr>
          <w:lang w:val="en-GB"/>
        </w:rPr>
      </w:pPr>
      <w:r w:rsidRPr="00E63E1C">
        <w:rPr>
          <w:lang w:val="fr-FR"/>
        </w:rPr>
        <w:t xml:space="preserve">Derieux, S., Fillaux, J., Saliot, A., 1998. </w:t>
      </w:r>
      <w:r w:rsidRPr="00E63E1C">
        <w:rPr>
          <w:lang w:val="en-GB"/>
        </w:rPr>
        <w:t xml:space="preserve">Lipid class and fatty acid distributions in particulate and dissolved fractions in the north Adriatic </w:t>
      </w:r>
      <w:r w:rsidR="003874D4" w:rsidRPr="00E63E1C">
        <w:rPr>
          <w:lang w:val="en-GB"/>
        </w:rPr>
        <w:t>S</w:t>
      </w:r>
      <w:r w:rsidRPr="00E63E1C">
        <w:rPr>
          <w:lang w:val="en-GB"/>
        </w:rPr>
        <w:t>ea. Org</w:t>
      </w:r>
      <w:r w:rsidR="003874D4" w:rsidRPr="00E63E1C">
        <w:rPr>
          <w:lang w:val="en-GB"/>
        </w:rPr>
        <w:t>.</w:t>
      </w:r>
      <w:r w:rsidRPr="00E63E1C">
        <w:rPr>
          <w:lang w:val="en-GB"/>
        </w:rPr>
        <w:t xml:space="preserve"> Geochem</w:t>
      </w:r>
      <w:r w:rsidR="003874D4" w:rsidRPr="00E63E1C">
        <w:rPr>
          <w:lang w:val="en-GB"/>
        </w:rPr>
        <w:t>.</w:t>
      </w:r>
      <w:r w:rsidRPr="00E63E1C">
        <w:rPr>
          <w:lang w:val="en-GB"/>
        </w:rPr>
        <w:t xml:space="preserve"> 29, 1609</w:t>
      </w:r>
      <w:r w:rsidR="00FC66CC" w:rsidRPr="00E63E1C">
        <w:rPr>
          <w:lang w:val="en-GB"/>
        </w:rPr>
        <w:t>–</w:t>
      </w:r>
      <w:r w:rsidRPr="00E63E1C">
        <w:rPr>
          <w:lang w:val="en-GB"/>
        </w:rPr>
        <w:t xml:space="preserve">1621. </w:t>
      </w:r>
    </w:p>
    <w:p w:rsidR="00404025" w:rsidRPr="00E63E1C" w:rsidRDefault="00404025" w:rsidP="00C91AFE">
      <w:pPr>
        <w:autoSpaceDE w:val="0"/>
        <w:autoSpaceDN w:val="0"/>
        <w:adjustRightInd w:val="0"/>
        <w:spacing w:after="120"/>
        <w:ind w:left="284" w:hanging="284"/>
        <w:jc w:val="both"/>
        <w:rPr>
          <w:lang w:val="en-GB"/>
        </w:rPr>
      </w:pPr>
      <w:r w:rsidRPr="00E63E1C">
        <w:rPr>
          <w:lang w:val="en-GB"/>
        </w:rPr>
        <w:t>Emerson, S.R., Hedges, J.I., 2008. Chemical Oceanography and the Marine Carbon Cycle. Chapter 6</w:t>
      </w:r>
      <w:r w:rsidR="00C91AFE" w:rsidRPr="00E63E1C">
        <w:rPr>
          <w:lang w:val="en-GB"/>
        </w:rPr>
        <w:t>.</w:t>
      </w:r>
      <w:r w:rsidRPr="00E63E1C">
        <w:rPr>
          <w:lang w:val="en-GB"/>
        </w:rPr>
        <w:t xml:space="preserve"> Life processes in the ocean. Cambridge University Pres</w:t>
      </w:r>
      <w:r w:rsidR="00C91AFE" w:rsidRPr="00E63E1C">
        <w:rPr>
          <w:lang w:val="en-GB"/>
        </w:rPr>
        <w:t>s, Cambridge,</w:t>
      </w:r>
      <w:r w:rsidRPr="00E63E1C">
        <w:rPr>
          <w:lang w:val="en-GB"/>
        </w:rPr>
        <w:t xml:space="preserve"> p 181.</w:t>
      </w:r>
    </w:p>
    <w:p w:rsidR="00A101E1" w:rsidRPr="00E63E1C" w:rsidRDefault="00A101E1" w:rsidP="002E01B5">
      <w:pPr>
        <w:autoSpaceDE w:val="0"/>
        <w:autoSpaceDN w:val="0"/>
        <w:adjustRightInd w:val="0"/>
        <w:spacing w:after="120"/>
        <w:ind w:left="284" w:hanging="284"/>
        <w:jc w:val="both"/>
      </w:pPr>
      <w:r w:rsidRPr="00E63E1C">
        <w:lastRenderedPageBreak/>
        <w:t>Fabiano, M., Povero, P., Danovaro, R. 1993. Distribution and composition of particulate organic matter in the Ross Sea (Antarctica). Polar. Biol. 13, 525-533.</w:t>
      </w:r>
    </w:p>
    <w:p w:rsidR="00610DA5" w:rsidRPr="00E63E1C" w:rsidRDefault="00610DA5" w:rsidP="00FC66CC">
      <w:pPr>
        <w:autoSpaceDE w:val="0"/>
        <w:autoSpaceDN w:val="0"/>
        <w:adjustRightInd w:val="0"/>
        <w:spacing w:after="120"/>
        <w:ind w:left="284" w:hanging="284"/>
        <w:jc w:val="both"/>
        <w:rPr>
          <w:lang w:val="en-GB"/>
        </w:rPr>
      </w:pPr>
      <w:r w:rsidRPr="00E63E1C">
        <w:rPr>
          <w:lang w:val="en-GB"/>
        </w:rPr>
        <w:t>Falkowski</w:t>
      </w:r>
      <w:r w:rsidR="00930F4C" w:rsidRPr="00E63E1C">
        <w:rPr>
          <w:lang w:val="en-GB"/>
        </w:rPr>
        <w:t>,</w:t>
      </w:r>
      <w:r w:rsidRPr="00E63E1C">
        <w:rPr>
          <w:lang w:val="en-GB"/>
        </w:rPr>
        <w:t xml:space="preserve"> P</w:t>
      </w:r>
      <w:r w:rsidR="00930F4C" w:rsidRPr="00E63E1C">
        <w:rPr>
          <w:lang w:val="en-GB"/>
        </w:rPr>
        <w:t>.G., Barber, R.T., Smetacek, V.</w:t>
      </w:r>
      <w:r w:rsidR="003874D4" w:rsidRPr="00E63E1C">
        <w:rPr>
          <w:lang w:val="en-GB"/>
        </w:rPr>
        <w:t>,</w:t>
      </w:r>
      <w:r w:rsidR="00930F4C" w:rsidRPr="00E63E1C">
        <w:rPr>
          <w:lang w:val="en-GB"/>
        </w:rPr>
        <w:t xml:space="preserve"> 1998. Biogeochemical Controls and Feedbacks on Ocean Primary Production. </w:t>
      </w:r>
      <w:r w:rsidRPr="00E63E1C">
        <w:rPr>
          <w:lang w:val="en-GB"/>
        </w:rPr>
        <w:t>Science</w:t>
      </w:r>
      <w:r w:rsidR="003874D4" w:rsidRPr="00E63E1C">
        <w:rPr>
          <w:lang w:val="en-GB"/>
        </w:rPr>
        <w:t xml:space="preserve"> </w:t>
      </w:r>
      <w:r w:rsidR="00930F4C" w:rsidRPr="00E63E1C">
        <w:rPr>
          <w:lang w:val="en-GB"/>
        </w:rPr>
        <w:t>281</w:t>
      </w:r>
      <w:r w:rsidR="003874D4" w:rsidRPr="00E63E1C">
        <w:rPr>
          <w:lang w:val="en-GB"/>
        </w:rPr>
        <w:t xml:space="preserve">, </w:t>
      </w:r>
      <w:r w:rsidR="00930F4C" w:rsidRPr="00E63E1C">
        <w:rPr>
          <w:lang w:val="en-GB"/>
        </w:rPr>
        <w:t>200</w:t>
      </w:r>
      <w:r w:rsidR="00FC66CC" w:rsidRPr="00E63E1C">
        <w:rPr>
          <w:lang w:val="en-GB"/>
        </w:rPr>
        <w:t>–</w:t>
      </w:r>
      <w:r w:rsidR="003874D4" w:rsidRPr="00E63E1C">
        <w:rPr>
          <w:lang w:val="en-GB"/>
        </w:rPr>
        <w:t>20</w:t>
      </w:r>
      <w:r w:rsidR="00930F4C" w:rsidRPr="00E63E1C">
        <w:rPr>
          <w:lang w:val="en-GB"/>
        </w:rPr>
        <w:t>7.</w:t>
      </w:r>
    </w:p>
    <w:p w:rsidR="00DB02A8" w:rsidRPr="00E63E1C" w:rsidRDefault="00DB02A8" w:rsidP="00FC66CC">
      <w:pPr>
        <w:autoSpaceDE w:val="0"/>
        <w:autoSpaceDN w:val="0"/>
        <w:adjustRightInd w:val="0"/>
        <w:spacing w:after="120"/>
        <w:ind w:left="284" w:hanging="284"/>
        <w:jc w:val="both"/>
      </w:pPr>
      <w:r w:rsidRPr="00E63E1C">
        <w:t>Frka, S., Gašparović, B., Marić, D., Godrijan, J., Djakovac, T., Vojvodić, V., Dautović, J., Kozarac, Z. 2011. Phytoplankton Driven Distribution Of Dissolved And Particulate Lipids In A Semi-Enclosed Temperate Sea (Mediterranean): Spring To Summer Situation. Estuar. Coast. Shelf Sci. 93, 290-304.</w:t>
      </w:r>
    </w:p>
    <w:p w:rsidR="00B8105D" w:rsidRPr="00E63E1C" w:rsidRDefault="00B8105D" w:rsidP="00FC66CC">
      <w:pPr>
        <w:autoSpaceDE w:val="0"/>
        <w:autoSpaceDN w:val="0"/>
        <w:adjustRightInd w:val="0"/>
        <w:spacing w:after="120"/>
        <w:ind w:left="284" w:hanging="284"/>
        <w:jc w:val="both"/>
      </w:pPr>
      <w:r w:rsidRPr="00E63E1C">
        <w:t>Gašparović, B., Kazazić, S.P., Cvitešić, A., Penezić, A., Frka, S. 2015. Improved separation and analysis of glycolipids by Iatroscan thin–layer chromatography–flame ionization detection. J. Chromtogr. A 1409, 259–267.</w:t>
      </w:r>
    </w:p>
    <w:p w:rsidR="00F41407" w:rsidRPr="00E63E1C" w:rsidRDefault="00F41407" w:rsidP="00FC66CC">
      <w:pPr>
        <w:autoSpaceDE w:val="0"/>
        <w:autoSpaceDN w:val="0"/>
        <w:adjustRightInd w:val="0"/>
        <w:spacing w:after="120"/>
        <w:ind w:left="284" w:hanging="284"/>
        <w:jc w:val="both"/>
        <w:rPr>
          <w:lang w:val="en-GB"/>
        </w:rPr>
      </w:pPr>
      <w:r w:rsidRPr="00E63E1C">
        <w:rPr>
          <w:lang w:val="en-GB"/>
        </w:rPr>
        <w:t>Ga</w:t>
      </w:r>
      <w:r w:rsidRPr="00E63E1C">
        <w:t>š</w:t>
      </w:r>
      <w:r w:rsidRPr="00E63E1C">
        <w:rPr>
          <w:lang w:val="en-GB"/>
        </w:rPr>
        <w:t>parovi</w:t>
      </w:r>
      <w:r w:rsidRPr="00E63E1C">
        <w:t xml:space="preserve">ć, </w:t>
      </w:r>
      <w:r w:rsidRPr="00E63E1C">
        <w:rPr>
          <w:lang w:val="en-GB"/>
        </w:rPr>
        <w:t>B</w:t>
      </w:r>
      <w:r w:rsidRPr="00E63E1C">
        <w:t xml:space="preserve">., </w:t>
      </w:r>
      <w:r w:rsidRPr="00E63E1C">
        <w:rPr>
          <w:lang w:val="en-GB"/>
        </w:rPr>
        <w:t>Frka</w:t>
      </w:r>
      <w:r w:rsidRPr="00E63E1C">
        <w:t xml:space="preserve">, </w:t>
      </w:r>
      <w:r w:rsidR="00047FCA" w:rsidRPr="00E63E1C">
        <w:rPr>
          <w:lang w:val="en-GB"/>
        </w:rPr>
        <w:t>S</w:t>
      </w:r>
      <w:r w:rsidR="00047FCA" w:rsidRPr="00E63E1C">
        <w:t xml:space="preserve">., </w:t>
      </w:r>
      <w:r w:rsidRPr="00E63E1C">
        <w:rPr>
          <w:lang w:val="en-GB"/>
        </w:rPr>
        <w:t>Koch</w:t>
      </w:r>
      <w:r w:rsidRPr="00E63E1C">
        <w:t xml:space="preserve">, </w:t>
      </w:r>
      <w:r w:rsidR="00047FCA" w:rsidRPr="00E63E1C">
        <w:rPr>
          <w:lang w:val="en-GB"/>
        </w:rPr>
        <w:t>B</w:t>
      </w:r>
      <w:r w:rsidR="00047FCA" w:rsidRPr="00E63E1C">
        <w:t>.</w:t>
      </w:r>
      <w:r w:rsidR="00047FCA" w:rsidRPr="00E63E1C">
        <w:rPr>
          <w:lang w:val="en-GB"/>
        </w:rPr>
        <w:t>P</w:t>
      </w:r>
      <w:r w:rsidR="00047FCA" w:rsidRPr="00E63E1C">
        <w:t xml:space="preserve">., </w:t>
      </w:r>
      <w:r w:rsidRPr="00E63E1C">
        <w:rPr>
          <w:lang w:val="en-GB"/>
        </w:rPr>
        <w:t>Zhu</w:t>
      </w:r>
      <w:r w:rsidRPr="00E63E1C">
        <w:t xml:space="preserve">, </w:t>
      </w:r>
      <w:r w:rsidR="00047FCA" w:rsidRPr="00E63E1C">
        <w:rPr>
          <w:lang w:val="en-GB"/>
        </w:rPr>
        <w:t>Z</w:t>
      </w:r>
      <w:r w:rsidR="00047FCA" w:rsidRPr="00E63E1C">
        <w:t>.</w:t>
      </w:r>
      <w:r w:rsidR="00047FCA" w:rsidRPr="00E63E1C">
        <w:rPr>
          <w:lang w:val="en-GB"/>
        </w:rPr>
        <w:t>Y</w:t>
      </w:r>
      <w:r w:rsidR="00047FCA" w:rsidRPr="00E63E1C">
        <w:t xml:space="preserve">., </w:t>
      </w:r>
      <w:r w:rsidRPr="00E63E1C">
        <w:rPr>
          <w:lang w:val="en-GB"/>
        </w:rPr>
        <w:t>Bracher</w:t>
      </w:r>
      <w:r w:rsidRPr="00E63E1C">
        <w:t xml:space="preserve">, </w:t>
      </w:r>
      <w:r w:rsidR="00047FCA" w:rsidRPr="00E63E1C">
        <w:rPr>
          <w:lang w:val="en-GB"/>
        </w:rPr>
        <w:t>A</w:t>
      </w:r>
      <w:r w:rsidR="00047FCA" w:rsidRPr="00E63E1C">
        <w:t xml:space="preserve">., </w:t>
      </w:r>
      <w:r w:rsidRPr="00E63E1C">
        <w:rPr>
          <w:lang w:val="en-GB"/>
        </w:rPr>
        <w:t>Lechtenfeld</w:t>
      </w:r>
      <w:r w:rsidRPr="00E63E1C">
        <w:t xml:space="preserve">, </w:t>
      </w:r>
      <w:r w:rsidR="00047FCA" w:rsidRPr="00E63E1C">
        <w:rPr>
          <w:lang w:val="en-GB"/>
        </w:rPr>
        <w:t>O</w:t>
      </w:r>
      <w:r w:rsidR="00047FCA" w:rsidRPr="00E63E1C">
        <w:t>.</w:t>
      </w:r>
      <w:r w:rsidR="00047FCA" w:rsidRPr="00E63E1C">
        <w:rPr>
          <w:lang w:val="en-GB"/>
        </w:rPr>
        <w:t>J</w:t>
      </w:r>
      <w:r w:rsidR="00047FCA" w:rsidRPr="00E63E1C">
        <w:t xml:space="preserve">., </w:t>
      </w:r>
      <w:r w:rsidRPr="00E63E1C">
        <w:rPr>
          <w:lang w:val="en-GB"/>
        </w:rPr>
        <w:t>Neogi</w:t>
      </w:r>
      <w:r w:rsidRPr="00E63E1C">
        <w:t xml:space="preserve">, </w:t>
      </w:r>
      <w:r w:rsidR="00047FCA" w:rsidRPr="00E63E1C">
        <w:rPr>
          <w:lang w:val="en-GB"/>
        </w:rPr>
        <w:t>S</w:t>
      </w:r>
      <w:r w:rsidR="00047FCA" w:rsidRPr="00E63E1C">
        <w:t>.</w:t>
      </w:r>
      <w:r w:rsidR="00047FCA" w:rsidRPr="00E63E1C">
        <w:rPr>
          <w:lang w:val="en-GB"/>
        </w:rPr>
        <w:t>B</w:t>
      </w:r>
      <w:r w:rsidR="00047FCA" w:rsidRPr="00E63E1C">
        <w:t xml:space="preserve">., </w:t>
      </w:r>
      <w:r w:rsidRPr="00E63E1C">
        <w:rPr>
          <w:lang w:val="en-GB"/>
        </w:rPr>
        <w:t>Lara</w:t>
      </w:r>
      <w:r w:rsidRPr="00E63E1C">
        <w:t xml:space="preserve">, </w:t>
      </w:r>
      <w:r w:rsidR="00047FCA" w:rsidRPr="00E63E1C">
        <w:rPr>
          <w:lang w:val="en-GB"/>
        </w:rPr>
        <w:t>R</w:t>
      </w:r>
      <w:r w:rsidR="00047FCA" w:rsidRPr="00E63E1C">
        <w:t>.</w:t>
      </w:r>
      <w:r w:rsidR="00047FCA" w:rsidRPr="00E63E1C">
        <w:rPr>
          <w:lang w:val="en-GB"/>
        </w:rPr>
        <w:t>J</w:t>
      </w:r>
      <w:r w:rsidR="00047FCA" w:rsidRPr="00E63E1C">
        <w:t xml:space="preserve">., </w:t>
      </w:r>
      <w:r w:rsidRPr="00E63E1C">
        <w:rPr>
          <w:lang w:val="en-GB"/>
        </w:rPr>
        <w:t>Kattner</w:t>
      </w:r>
      <w:r w:rsidR="00047FCA" w:rsidRPr="00E63E1C">
        <w:t xml:space="preserve">, </w:t>
      </w:r>
      <w:r w:rsidR="00047FCA" w:rsidRPr="00E63E1C">
        <w:rPr>
          <w:lang w:val="en-GB"/>
        </w:rPr>
        <w:t>G</w:t>
      </w:r>
      <w:r w:rsidR="00047FCA" w:rsidRPr="00E63E1C">
        <w:t xml:space="preserve">., </w:t>
      </w:r>
      <w:r w:rsidRPr="00E63E1C">
        <w:t>2014</w:t>
      </w:r>
      <w:r w:rsidR="00047FCA" w:rsidRPr="00E63E1C">
        <w:t>.</w:t>
      </w:r>
      <w:r w:rsidRPr="00E63E1C">
        <w:t xml:space="preserve"> </w:t>
      </w:r>
      <w:r w:rsidRPr="00E63E1C">
        <w:rPr>
          <w:lang w:val="en-GB"/>
        </w:rPr>
        <w:t>Factors influencing particulate lipid production in the East Atlantic Ocean. Deep-Sea Res. I, 89, 56</w:t>
      </w:r>
      <w:r w:rsidR="00FC66CC" w:rsidRPr="00E63E1C">
        <w:rPr>
          <w:lang w:val="en-GB"/>
        </w:rPr>
        <w:t>–</w:t>
      </w:r>
      <w:r w:rsidRPr="00E63E1C">
        <w:rPr>
          <w:lang w:val="en-GB"/>
        </w:rPr>
        <w:t>67.</w:t>
      </w:r>
    </w:p>
    <w:p w:rsidR="00A352A6" w:rsidRPr="00E63E1C" w:rsidRDefault="00A352A6" w:rsidP="00A352A6">
      <w:pPr>
        <w:autoSpaceDE w:val="0"/>
        <w:autoSpaceDN w:val="0"/>
        <w:adjustRightInd w:val="0"/>
        <w:spacing w:after="120"/>
        <w:ind w:left="284" w:hanging="284"/>
        <w:jc w:val="both"/>
      </w:pPr>
      <w:r w:rsidRPr="00E63E1C">
        <w:t xml:space="preserve">Gérin, C., Goutx, M., 1994. Iatroscan-measured particulate and dissolved lipids in the Almeria-Oran frontal system (Almofront-1, May 1991). J. Mar. Sys. 5, 343-360. </w:t>
      </w:r>
    </w:p>
    <w:p w:rsidR="0054476F" w:rsidRPr="00E63E1C" w:rsidRDefault="0054476F" w:rsidP="009D06E6">
      <w:pPr>
        <w:autoSpaceDE w:val="0"/>
        <w:autoSpaceDN w:val="0"/>
        <w:adjustRightInd w:val="0"/>
        <w:spacing w:after="120"/>
        <w:ind w:left="284" w:hanging="284"/>
        <w:jc w:val="both"/>
        <w:rPr>
          <w:lang w:val="en-GB"/>
        </w:rPr>
      </w:pPr>
      <w:r w:rsidRPr="00E63E1C">
        <w:rPr>
          <w:lang w:val="en-GB"/>
        </w:rPr>
        <w:t>Goutx, M., Gérin, C., Bertrand, J.C., 1990. An application of latroscan thin-layer chromatography withflame ionization detection—lipid classes of microorganisms as biomarkers in the marine environment. Org. Geochem. 16, 1231–1237.</w:t>
      </w:r>
    </w:p>
    <w:p w:rsidR="007379CC" w:rsidRPr="00E63E1C" w:rsidRDefault="007379CC" w:rsidP="00FC66CC">
      <w:pPr>
        <w:autoSpaceDE w:val="0"/>
        <w:autoSpaceDN w:val="0"/>
        <w:adjustRightInd w:val="0"/>
        <w:spacing w:after="120"/>
        <w:ind w:left="284" w:hanging="284"/>
        <w:jc w:val="both"/>
        <w:rPr>
          <w:lang w:val="en-GB"/>
        </w:rPr>
      </w:pPr>
      <w:r w:rsidRPr="00E63E1C">
        <w:rPr>
          <w:lang w:val="en-GB"/>
        </w:rPr>
        <w:t>Goutx, M., Momzikoff, A., Striby, L., Marty, J.C., Vescovali, I., 2000. High frequency ﬂuxes of labile compounds in the Central Ligurian sea, Northwestern Mediterranean. Deep Sea Res</w:t>
      </w:r>
      <w:r w:rsidR="00FC66CC" w:rsidRPr="00E63E1C">
        <w:rPr>
          <w:lang w:val="en-GB"/>
        </w:rPr>
        <w:t>.</w:t>
      </w:r>
      <w:r w:rsidRPr="00E63E1C">
        <w:rPr>
          <w:lang w:val="en-GB"/>
        </w:rPr>
        <w:t xml:space="preserve"> I 47, 533–556.</w:t>
      </w:r>
    </w:p>
    <w:p w:rsidR="007379CC" w:rsidRPr="00E63E1C" w:rsidRDefault="007379CC" w:rsidP="00FC66CC">
      <w:pPr>
        <w:autoSpaceDE w:val="0"/>
        <w:autoSpaceDN w:val="0"/>
        <w:adjustRightInd w:val="0"/>
        <w:spacing w:after="120"/>
        <w:ind w:left="284" w:hanging="284"/>
        <w:jc w:val="both"/>
        <w:rPr>
          <w:lang w:val="en-GB"/>
        </w:rPr>
      </w:pPr>
      <w:r w:rsidRPr="00E63E1C">
        <w:rPr>
          <w:lang w:val="en-GB"/>
        </w:rPr>
        <w:t>Goutx, M., Guigue, C., Striby, L., 2003. Triacylglycerol biodegradation experiment in marine environmental conditions, definition of a new lipolysis index. Org</w:t>
      </w:r>
      <w:r w:rsidR="00FC66CC" w:rsidRPr="00E63E1C">
        <w:rPr>
          <w:lang w:val="en-GB"/>
        </w:rPr>
        <w:t>.</w:t>
      </w:r>
      <w:r w:rsidRPr="00E63E1C">
        <w:rPr>
          <w:lang w:val="en-GB"/>
        </w:rPr>
        <w:t xml:space="preserve"> Geochem</w:t>
      </w:r>
      <w:r w:rsidR="00FC66CC" w:rsidRPr="00E63E1C">
        <w:rPr>
          <w:lang w:val="en-GB"/>
        </w:rPr>
        <w:t>.</w:t>
      </w:r>
      <w:r w:rsidRPr="00E63E1C">
        <w:rPr>
          <w:lang w:val="en-GB"/>
        </w:rPr>
        <w:t xml:space="preserve"> 34, 1465–1473.</w:t>
      </w:r>
    </w:p>
    <w:p w:rsidR="00C26E45" w:rsidRPr="00E63E1C" w:rsidRDefault="00C26E45" w:rsidP="00FC66CC">
      <w:pPr>
        <w:autoSpaceDE w:val="0"/>
        <w:autoSpaceDN w:val="0"/>
        <w:adjustRightInd w:val="0"/>
        <w:spacing w:after="120"/>
        <w:ind w:left="284" w:hanging="284"/>
        <w:jc w:val="both"/>
        <w:rPr>
          <w:lang w:val="en-GB"/>
        </w:rPr>
      </w:pPr>
      <w:r w:rsidRPr="00E63E1C">
        <w:rPr>
          <w:lang w:val="en-GB"/>
        </w:rPr>
        <w:t>Graff, J.R., Westberry, T.K., Milligan, A.J., Brown, M.B., Dall’Olmo, G., van Dongen-Vogels, V., Reifel, K.M., Behrenfeld, M.J. 2015. Analytical phytoplankton carbon measurements spanning diverse ecosystems.</w:t>
      </w:r>
      <w:r w:rsidR="00C91AFE" w:rsidRPr="00E63E1C">
        <w:rPr>
          <w:lang w:val="en-GB"/>
        </w:rPr>
        <w:t xml:space="preserve"> </w:t>
      </w:r>
      <w:r w:rsidRPr="00E63E1C">
        <w:rPr>
          <w:lang w:val="en-GB"/>
        </w:rPr>
        <w:t xml:space="preserve">Deep Sea Res. </w:t>
      </w:r>
      <w:r w:rsidR="00FC66CC" w:rsidRPr="00E63E1C">
        <w:rPr>
          <w:lang w:val="en-GB"/>
        </w:rPr>
        <w:t>I</w:t>
      </w:r>
      <w:r w:rsidRPr="00E63E1C">
        <w:rPr>
          <w:lang w:val="en-GB"/>
        </w:rPr>
        <w:t>, 102, 16–25.</w:t>
      </w:r>
    </w:p>
    <w:p w:rsidR="008A19C4" w:rsidRPr="00E63E1C" w:rsidRDefault="008A19C4" w:rsidP="000631E0">
      <w:pPr>
        <w:autoSpaceDE w:val="0"/>
        <w:autoSpaceDN w:val="0"/>
        <w:adjustRightInd w:val="0"/>
        <w:spacing w:after="120"/>
        <w:ind w:left="284" w:hanging="284"/>
        <w:jc w:val="both"/>
        <w:rPr>
          <w:lang w:val="en-GB"/>
        </w:rPr>
      </w:pPr>
      <w:r w:rsidRPr="00E63E1C">
        <w:rPr>
          <w:lang w:val="en-GB"/>
        </w:rPr>
        <w:t>Guschina, I.A., Harwood, J.L., 2009. Algal Lipids and Effect of the Environment on their Biochemistry. In</w:t>
      </w:r>
      <w:r w:rsidR="000631E0" w:rsidRPr="00E63E1C">
        <w:rPr>
          <w:lang w:val="en-GB"/>
        </w:rPr>
        <w:t>:</w:t>
      </w:r>
      <w:r w:rsidRPr="00E63E1C">
        <w:rPr>
          <w:lang w:val="en-GB"/>
        </w:rPr>
        <w:t xml:space="preserve"> Arts, M.T., Brett, M.T., Kainz, M.J. (</w:t>
      </w:r>
      <w:r w:rsidR="000631E0" w:rsidRPr="00E63E1C">
        <w:rPr>
          <w:lang w:val="en-GB"/>
        </w:rPr>
        <w:t>E</w:t>
      </w:r>
      <w:r w:rsidRPr="00E63E1C">
        <w:rPr>
          <w:lang w:val="en-GB"/>
        </w:rPr>
        <w:t>ds</w:t>
      </w:r>
      <w:r w:rsidR="000631E0" w:rsidRPr="00E63E1C">
        <w:rPr>
          <w:lang w:val="en-GB"/>
        </w:rPr>
        <w:t>.</w:t>
      </w:r>
      <w:r w:rsidRPr="00E63E1C">
        <w:rPr>
          <w:lang w:val="en-GB"/>
        </w:rPr>
        <w:t>) Lipids in Aquatic Ecosystems</w:t>
      </w:r>
      <w:r w:rsidR="006F6617" w:rsidRPr="00E63E1C">
        <w:rPr>
          <w:lang w:val="en-GB"/>
        </w:rPr>
        <w:t>.</w:t>
      </w:r>
      <w:r w:rsidRPr="00E63E1C">
        <w:rPr>
          <w:lang w:val="en-GB"/>
        </w:rPr>
        <w:t xml:space="preserve"> Springer, 1</w:t>
      </w:r>
      <w:r w:rsidR="009C5AF7" w:rsidRPr="00E63E1C">
        <w:rPr>
          <w:lang w:val="en-GB"/>
        </w:rPr>
        <w:t>–</w:t>
      </w:r>
      <w:r w:rsidRPr="00E63E1C">
        <w:rPr>
          <w:lang w:val="en-GB"/>
        </w:rPr>
        <w:t>24 pp.</w:t>
      </w:r>
    </w:p>
    <w:p w:rsidR="009D2235" w:rsidRPr="00E63E1C" w:rsidRDefault="009D2235" w:rsidP="009D06E6">
      <w:pPr>
        <w:autoSpaceDE w:val="0"/>
        <w:autoSpaceDN w:val="0"/>
        <w:adjustRightInd w:val="0"/>
        <w:spacing w:after="120"/>
        <w:ind w:left="284" w:hanging="284"/>
        <w:jc w:val="both"/>
        <w:rPr>
          <w:lang w:val="en-GB"/>
        </w:rPr>
      </w:pPr>
      <w:r w:rsidRPr="00E63E1C">
        <w:rPr>
          <w:lang w:val="en-GB"/>
        </w:rPr>
        <w:t>Harkewicz, R.; Dennis, E.A. Applications of mass spectrometry to lipids and membranes. Annu. Rev. Biochem. 2011, 80, 301–325.</w:t>
      </w:r>
    </w:p>
    <w:p w:rsidR="00523CA8" w:rsidRPr="00E63E1C" w:rsidRDefault="003032B0" w:rsidP="0018425E">
      <w:pPr>
        <w:autoSpaceDE w:val="0"/>
        <w:autoSpaceDN w:val="0"/>
        <w:adjustRightInd w:val="0"/>
        <w:spacing w:after="120"/>
        <w:ind w:left="284" w:hanging="284"/>
        <w:jc w:val="both"/>
        <w:rPr>
          <w:lang w:val="en-GB"/>
        </w:rPr>
      </w:pPr>
      <w:hyperlink r:id="rId15" w:tooltip="S. E. Hartman" w:history="1">
        <w:r w:rsidR="00523CA8" w:rsidRPr="00E63E1C">
          <w:rPr>
            <w:lang w:val="en-GB"/>
          </w:rPr>
          <w:t>Hartman</w:t>
        </w:r>
      </w:hyperlink>
      <w:r w:rsidR="00523CA8" w:rsidRPr="00E63E1C">
        <w:rPr>
          <w:lang w:val="en-GB"/>
        </w:rPr>
        <w:t xml:space="preserve">, S.E., Lampitt, </w:t>
      </w:r>
      <w:r w:rsidR="00FC66CC" w:rsidRPr="00E63E1C">
        <w:rPr>
          <w:lang w:val="en-GB"/>
        </w:rPr>
        <w:t xml:space="preserve">R.S., </w:t>
      </w:r>
      <w:r w:rsidR="00523CA8" w:rsidRPr="00E63E1C">
        <w:rPr>
          <w:lang w:val="en-GB"/>
        </w:rPr>
        <w:t xml:space="preserve">Larkin, </w:t>
      </w:r>
      <w:r w:rsidR="00FC66CC" w:rsidRPr="00E63E1C">
        <w:rPr>
          <w:lang w:val="en-GB"/>
        </w:rPr>
        <w:t xml:space="preserve">K.E., </w:t>
      </w:r>
      <w:r w:rsidR="00523CA8" w:rsidRPr="00E63E1C">
        <w:rPr>
          <w:lang w:val="en-GB"/>
        </w:rPr>
        <w:t xml:space="preserve">Pagnani, </w:t>
      </w:r>
      <w:r w:rsidR="00FC66CC" w:rsidRPr="00E63E1C">
        <w:rPr>
          <w:lang w:val="en-GB"/>
        </w:rPr>
        <w:t xml:space="preserve">M., </w:t>
      </w:r>
      <w:r w:rsidR="00523CA8" w:rsidRPr="00E63E1C">
        <w:rPr>
          <w:lang w:val="en-GB"/>
        </w:rPr>
        <w:t xml:space="preserve">Campbell, </w:t>
      </w:r>
      <w:r w:rsidR="00FC66CC" w:rsidRPr="00E63E1C">
        <w:rPr>
          <w:lang w:val="en-GB"/>
        </w:rPr>
        <w:t xml:space="preserve">J., </w:t>
      </w:r>
      <w:r w:rsidR="00523CA8" w:rsidRPr="00E63E1C">
        <w:rPr>
          <w:lang w:val="en-GB"/>
        </w:rPr>
        <w:t xml:space="preserve">Gkritzalis, </w:t>
      </w:r>
      <w:r w:rsidR="00FC66CC" w:rsidRPr="00E63E1C">
        <w:rPr>
          <w:lang w:val="en-GB"/>
        </w:rPr>
        <w:t xml:space="preserve">T., </w:t>
      </w:r>
      <w:r w:rsidR="00523CA8" w:rsidRPr="00E63E1C">
        <w:rPr>
          <w:lang w:val="en-GB"/>
        </w:rPr>
        <w:t xml:space="preserve">Jiang, </w:t>
      </w:r>
      <w:r w:rsidR="00FC66CC" w:rsidRPr="00E63E1C">
        <w:rPr>
          <w:lang w:val="en-GB"/>
        </w:rPr>
        <w:t xml:space="preserve">Z-P., </w:t>
      </w:r>
      <w:r w:rsidR="00523CA8" w:rsidRPr="00E63E1C">
        <w:rPr>
          <w:lang w:val="en-GB"/>
        </w:rPr>
        <w:t xml:space="preserve">Pebody, </w:t>
      </w:r>
      <w:r w:rsidR="00FC66CC" w:rsidRPr="00E63E1C">
        <w:rPr>
          <w:lang w:val="en-GB"/>
        </w:rPr>
        <w:t xml:space="preserve">C.A., </w:t>
      </w:r>
      <w:r w:rsidR="00523CA8" w:rsidRPr="00E63E1C">
        <w:rPr>
          <w:lang w:val="en-GB"/>
        </w:rPr>
        <w:t xml:space="preserve">Ruhl, </w:t>
      </w:r>
      <w:r w:rsidR="00FC66CC" w:rsidRPr="00E63E1C">
        <w:rPr>
          <w:lang w:val="en-GB"/>
        </w:rPr>
        <w:t xml:space="preserve">H.A., </w:t>
      </w:r>
      <w:r w:rsidR="00523CA8" w:rsidRPr="00E63E1C">
        <w:rPr>
          <w:lang w:val="en-GB"/>
        </w:rPr>
        <w:t xml:space="preserve">Gooday, </w:t>
      </w:r>
      <w:r w:rsidR="00FC66CC" w:rsidRPr="00E63E1C">
        <w:rPr>
          <w:lang w:val="en-GB"/>
        </w:rPr>
        <w:t xml:space="preserve">A.J., </w:t>
      </w:r>
      <w:r w:rsidR="00523CA8" w:rsidRPr="00E63E1C">
        <w:rPr>
          <w:lang w:val="en-GB"/>
        </w:rPr>
        <w:t xml:space="preserve">Bett, </w:t>
      </w:r>
      <w:r w:rsidR="00FC66CC" w:rsidRPr="00E63E1C">
        <w:rPr>
          <w:lang w:val="en-GB"/>
        </w:rPr>
        <w:t xml:space="preserve">B.J., </w:t>
      </w:r>
      <w:r w:rsidR="00523CA8" w:rsidRPr="00E63E1C">
        <w:rPr>
          <w:lang w:val="en-GB"/>
        </w:rPr>
        <w:t xml:space="preserve">Billett, </w:t>
      </w:r>
      <w:r w:rsidR="00FC66CC" w:rsidRPr="00E63E1C">
        <w:rPr>
          <w:lang w:val="en-GB"/>
        </w:rPr>
        <w:t xml:space="preserve">D.S.M., </w:t>
      </w:r>
      <w:r w:rsidR="00523CA8" w:rsidRPr="00E63E1C">
        <w:rPr>
          <w:lang w:val="en-GB"/>
        </w:rPr>
        <w:t xml:space="preserve">Provost, </w:t>
      </w:r>
      <w:r w:rsidR="00FC66CC" w:rsidRPr="00E63E1C">
        <w:rPr>
          <w:lang w:val="en-GB"/>
        </w:rPr>
        <w:t xml:space="preserve">P., </w:t>
      </w:r>
      <w:r w:rsidR="00523CA8" w:rsidRPr="00E63E1C">
        <w:rPr>
          <w:lang w:val="en-GB"/>
        </w:rPr>
        <w:t xml:space="preserve">McLachlan, </w:t>
      </w:r>
      <w:r w:rsidR="00FC66CC" w:rsidRPr="00E63E1C">
        <w:rPr>
          <w:lang w:val="en-GB"/>
        </w:rPr>
        <w:t xml:space="preserve">R., </w:t>
      </w:r>
      <w:r w:rsidR="00523CA8" w:rsidRPr="00E63E1C">
        <w:rPr>
          <w:lang w:val="en-GB"/>
        </w:rPr>
        <w:t xml:space="preserve">Turton, </w:t>
      </w:r>
      <w:r w:rsidR="00FC66CC" w:rsidRPr="00E63E1C">
        <w:rPr>
          <w:lang w:val="en-GB"/>
        </w:rPr>
        <w:t xml:space="preserve">J.D., </w:t>
      </w:r>
      <w:r w:rsidR="00523CA8" w:rsidRPr="00E63E1C">
        <w:rPr>
          <w:lang w:val="en-GB"/>
        </w:rPr>
        <w:t xml:space="preserve">Lankester </w:t>
      </w:r>
      <w:r w:rsidR="00FC66CC" w:rsidRPr="00E63E1C">
        <w:rPr>
          <w:lang w:val="en-GB"/>
        </w:rPr>
        <w:t xml:space="preserve">S., </w:t>
      </w:r>
      <w:r w:rsidR="00523CA8" w:rsidRPr="00E63E1C">
        <w:rPr>
          <w:lang w:val="en-GB"/>
        </w:rPr>
        <w:t>2012</w:t>
      </w:r>
      <w:r w:rsidR="00FC66CC" w:rsidRPr="00E63E1C">
        <w:rPr>
          <w:lang w:val="en-GB"/>
        </w:rPr>
        <w:t>.</w:t>
      </w:r>
      <w:r w:rsidR="00523CA8" w:rsidRPr="00E63E1C">
        <w:rPr>
          <w:lang w:val="en-GB"/>
        </w:rPr>
        <w:t xml:space="preserve"> The Porcupine Abyssal Plain fixed-point sustained observatory (PAP-SO): variations and trends from the Northeast Atlantic fixed-point time-series. ICES J. Mar. Sci., 69, 776</w:t>
      </w:r>
      <w:r w:rsidR="009C5AF7" w:rsidRPr="00E63E1C">
        <w:rPr>
          <w:lang w:val="en-GB"/>
        </w:rPr>
        <w:t>–</w:t>
      </w:r>
      <w:r w:rsidR="00523CA8" w:rsidRPr="00E63E1C">
        <w:rPr>
          <w:lang w:val="en-GB"/>
        </w:rPr>
        <w:t>783.</w:t>
      </w:r>
    </w:p>
    <w:p w:rsidR="00130420" w:rsidRPr="00E63E1C" w:rsidRDefault="00130420" w:rsidP="009C5AF7">
      <w:pPr>
        <w:autoSpaceDE w:val="0"/>
        <w:autoSpaceDN w:val="0"/>
        <w:adjustRightInd w:val="0"/>
        <w:spacing w:after="120"/>
        <w:ind w:left="284" w:hanging="284"/>
        <w:jc w:val="both"/>
        <w:rPr>
          <w:lang w:val="en-GB"/>
        </w:rPr>
      </w:pPr>
      <w:r w:rsidRPr="00E63E1C">
        <w:rPr>
          <w:lang w:val="en-GB"/>
        </w:rPr>
        <w:t xml:space="preserve">Harvey, H.R., Tuttle, </w:t>
      </w:r>
      <w:r w:rsidR="009C5AF7" w:rsidRPr="00E63E1C">
        <w:rPr>
          <w:lang w:val="en-GB"/>
        </w:rPr>
        <w:t xml:space="preserve">J.H., </w:t>
      </w:r>
      <w:r w:rsidRPr="00E63E1C">
        <w:rPr>
          <w:lang w:val="en-GB"/>
        </w:rPr>
        <w:t>Bel</w:t>
      </w:r>
      <w:r w:rsidR="0018425E" w:rsidRPr="00E63E1C">
        <w:t>l</w:t>
      </w:r>
      <w:r w:rsidR="009C5AF7" w:rsidRPr="00E63E1C">
        <w:rPr>
          <w:lang w:val="en-GB"/>
        </w:rPr>
        <w:t>,</w:t>
      </w:r>
      <w:r w:rsidRPr="00E63E1C">
        <w:rPr>
          <w:lang w:val="en-GB"/>
        </w:rPr>
        <w:t xml:space="preserve"> </w:t>
      </w:r>
      <w:r w:rsidR="009C5AF7" w:rsidRPr="00E63E1C">
        <w:rPr>
          <w:lang w:val="en-GB"/>
        </w:rPr>
        <w:t xml:space="preserve">J., </w:t>
      </w:r>
      <w:r w:rsidRPr="00E63E1C">
        <w:rPr>
          <w:lang w:val="en-GB"/>
        </w:rPr>
        <w:t>1995</w:t>
      </w:r>
      <w:r w:rsidR="009C5AF7" w:rsidRPr="00E63E1C">
        <w:rPr>
          <w:lang w:val="en-GB"/>
        </w:rPr>
        <w:t>.</w:t>
      </w:r>
      <w:r w:rsidRPr="00E63E1C">
        <w:rPr>
          <w:lang w:val="en-GB"/>
        </w:rPr>
        <w:t xml:space="preserve"> Kinetics of phytoplankton decay during simulated sedimentation, Changes in biochemical composition and microbial activity under oxic and anoxic conditions. Geochim. Cosmochim. Acta, 59, 367</w:t>
      </w:r>
      <w:r w:rsidR="009C5AF7" w:rsidRPr="00E63E1C">
        <w:rPr>
          <w:lang w:val="en-GB"/>
        </w:rPr>
        <w:t>–</w:t>
      </w:r>
      <w:r w:rsidRPr="00E63E1C">
        <w:rPr>
          <w:lang w:val="en-GB"/>
        </w:rPr>
        <w:t>3377.</w:t>
      </w:r>
    </w:p>
    <w:p w:rsidR="002A6464" w:rsidRPr="00E63E1C" w:rsidRDefault="002A6464" w:rsidP="002A6464">
      <w:pPr>
        <w:autoSpaceDE w:val="0"/>
        <w:autoSpaceDN w:val="0"/>
        <w:adjustRightInd w:val="0"/>
        <w:spacing w:after="120"/>
        <w:ind w:left="284" w:hanging="284"/>
        <w:jc w:val="both"/>
        <w:rPr>
          <w:lang w:val="en-US"/>
        </w:rPr>
      </w:pPr>
      <w:r w:rsidRPr="00E63E1C">
        <w:rPr>
          <w:lang w:val="en-US"/>
        </w:rPr>
        <w:lastRenderedPageBreak/>
        <w:t>Henson, S., Lampitt, R., Johns, D. 2012. Variability in phytoplankton community structure in response to the North Atlantic Oscillation and implications for organic carbon flux. Limnol. Oceanogr., 57, 1591–1601.</w:t>
      </w:r>
    </w:p>
    <w:p w:rsidR="00F41407" w:rsidRPr="00E63E1C" w:rsidRDefault="00F41407" w:rsidP="009C5AF7">
      <w:pPr>
        <w:autoSpaceDE w:val="0"/>
        <w:autoSpaceDN w:val="0"/>
        <w:adjustRightInd w:val="0"/>
        <w:spacing w:after="120"/>
        <w:ind w:left="708" w:hanging="708"/>
        <w:jc w:val="both"/>
        <w:rPr>
          <w:lang w:val="en-GB"/>
        </w:rPr>
      </w:pPr>
      <w:r w:rsidRPr="00E63E1C">
        <w:rPr>
          <w:lang w:val="de-DE"/>
        </w:rPr>
        <w:t>Holguin</w:t>
      </w:r>
      <w:r w:rsidR="009C5AF7" w:rsidRPr="00E63E1C">
        <w:rPr>
          <w:lang w:val="de-DE"/>
        </w:rPr>
        <w:t>, F.O.,</w:t>
      </w:r>
      <w:r w:rsidRPr="00E63E1C">
        <w:rPr>
          <w:lang w:val="de-DE"/>
        </w:rPr>
        <w:t xml:space="preserve"> Schaub</w:t>
      </w:r>
      <w:r w:rsidR="009C5AF7" w:rsidRPr="00E63E1C">
        <w:rPr>
          <w:lang w:val="de-DE"/>
        </w:rPr>
        <w:t xml:space="preserve">, T., </w:t>
      </w:r>
      <w:r w:rsidRPr="00E63E1C">
        <w:rPr>
          <w:lang w:val="de-DE"/>
        </w:rPr>
        <w:t>2013</w:t>
      </w:r>
      <w:r w:rsidR="009C5AF7" w:rsidRPr="00E63E1C">
        <w:rPr>
          <w:lang w:val="de-DE"/>
        </w:rPr>
        <w:t>.</w:t>
      </w:r>
      <w:r w:rsidRPr="00E63E1C">
        <w:rPr>
          <w:lang w:val="de-DE"/>
        </w:rPr>
        <w:t xml:space="preserve"> </w:t>
      </w:r>
      <w:r w:rsidRPr="00E63E1C">
        <w:rPr>
          <w:lang w:val="en-GB"/>
        </w:rPr>
        <w:t>Characterization of microalgal lipid feedstock by direct-infusion FT-IC</w:t>
      </w:r>
      <w:r w:rsidR="009C5AF7" w:rsidRPr="00E63E1C">
        <w:rPr>
          <w:lang w:val="en-GB"/>
        </w:rPr>
        <w:t>R mass spectrometry. Algal Res.</w:t>
      </w:r>
      <w:r w:rsidRPr="00E63E1C">
        <w:rPr>
          <w:lang w:val="en-GB"/>
        </w:rPr>
        <w:t xml:space="preserve"> 2, 43–50.</w:t>
      </w:r>
    </w:p>
    <w:p w:rsidR="008362C2" w:rsidRPr="00E63E1C" w:rsidRDefault="008362C2" w:rsidP="003C0F32">
      <w:pPr>
        <w:autoSpaceDE w:val="0"/>
        <w:autoSpaceDN w:val="0"/>
        <w:adjustRightInd w:val="0"/>
        <w:spacing w:after="120"/>
        <w:ind w:left="284" w:hanging="284"/>
        <w:jc w:val="both"/>
        <w:rPr>
          <w:lang w:val="en-GB"/>
        </w:rPr>
      </w:pPr>
      <w:r w:rsidRPr="00E63E1C">
        <w:rPr>
          <w:lang w:val="en-GB"/>
        </w:rPr>
        <w:t xml:space="preserve">Kalscheuer, R., Stoveken, </w:t>
      </w:r>
      <w:r w:rsidR="00425F04" w:rsidRPr="00E63E1C">
        <w:rPr>
          <w:lang w:val="en-GB"/>
        </w:rPr>
        <w:t xml:space="preserve">T., </w:t>
      </w:r>
      <w:r w:rsidRPr="00E63E1C">
        <w:rPr>
          <w:lang w:val="en-GB"/>
        </w:rPr>
        <w:t xml:space="preserve">Malkus, </w:t>
      </w:r>
      <w:r w:rsidR="00425F04" w:rsidRPr="00E63E1C">
        <w:rPr>
          <w:lang w:val="en-GB"/>
        </w:rPr>
        <w:t xml:space="preserve">U., </w:t>
      </w:r>
      <w:r w:rsidRPr="00E63E1C">
        <w:rPr>
          <w:lang w:val="en-GB"/>
        </w:rPr>
        <w:t xml:space="preserve">Reichelt, </w:t>
      </w:r>
      <w:r w:rsidR="00425F04" w:rsidRPr="00E63E1C">
        <w:rPr>
          <w:lang w:val="en-GB"/>
        </w:rPr>
        <w:t xml:space="preserve">R., </w:t>
      </w:r>
      <w:r w:rsidRPr="00E63E1C">
        <w:rPr>
          <w:lang w:val="en-GB"/>
        </w:rPr>
        <w:t>Golyshin</w:t>
      </w:r>
      <w:r w:rsidR="00425F04" w:rsidRPr="00E63E1C">
        <w:rPr>
          <w:lang w:val="en-GB"/>
        </w:rPr>
        <w:t xml:space="preserve">, P.N., Sabirova, J.S., Ferrer, M., </w:t>
      </w:r>
      <w:r w:rsidRPr="00E63E1C">
        <w:rPr>
          <w:lang w:val="en-GB"/>
        </w:rPr>
        <w:t xml:space="preserve">Timmis, </w:t>
      </w:r>
      <w:r w:rsidR="00425F04" w:rsidRPr="00E63E1C">
        <w:rPr>
          <w:lang w:val="en-GB"/>
        </w:rPr>
        <w:t xml:space="preserve">K.N., </w:t>
      </w:r>
      <w:r w:rsidRPr="00E63E1C">
        <w:rPr>
          <w:lang w:val="en-GB"/>
        </w:rPr>
        <w:t>Steinbüchel</w:t>
      </w:r>
      <w:r w:rsidR="00425F04" w:rsidRPr="00E63E1C">
        <w:rPr>
          <w:lang w:val="en-GB"/>
        </w:rPr>
        <w:t>, A.</w:t>
      </w:r>
      <w:r w:rsidRPr="00E63E1C">
        <w:rPr>
          <w:lang w:val="en-GB"/>
        </w:rPr>
        <w:t xml:space="preserve"> 2007. Analysis of storage lipid accumulation in </w:t>
      </w:r>
      <w:r w:rsidRPr="00E63E1C">
        <w:rPr>
          <w:i/>
          <w:iCs/>
          <w:lang w:val="en-GB"/>
        </w:rPr>
        <w:t>Alcanivorax borkumensis</w:t>
      </w:r>
      <w:r w:rsidRPr="00E63E1C">
        <w:rPr>
          <w:lang w:val="en-GB"/>
        </w:rPr>
        <w:t>: evidence for alternative triacylglycerol biosynthesis routes in bacteria. J. Bacteriol. 189, 918</w:t>
      </w:r>
      <w:r w:rsidR="003C0F32" w:rsidRPr="00E63E1C">
        <w:rPr>
          <w:lang w:val="en-GB"/>
        </w:rPr>
        <w:t>–</w:t>
      </w:r>
      <w:r w:rsidRPr="00E63E1C">
        <w:rPr>
          <w:lang w:val="en-GB"/>
        </w:rPr>
        <w:t>928.</w:t>
      </w:r>
    </w:p>
    <w:p w:rsidR="00610DA5" w:rsidRPr="00E63E1C" w:rsidRDefault="00610DA5" w:rsidP="003C0F32">
      <w:pPr>
        <w:autoSpaceDE w:val="0"/>
        <w:autoSpaceDN w:val="0"/>
        <w:adjustRightInd w:val="0"/>
        <w:spacing w:after="120"/>
        <w:ind w:left="284" w:hanging="284"/>
        <w:jc w:val="both"/>
        <w:rPr>
          <w:lang w:val="en-GB"/>
        </w:rPr>
      </w:pPr>
      <w:r w:rsidRPr="00E63E1C">
        <w:rPr>
          <w:lang w:val="en-GB"/>
        </w:rPr>
        <w:t>Kattner, G., 1989. Lipid composition of Calanus finmarchicus from the North Sea and the Arctic. A comparative study. Comp</w:t>
      </w:r>
      <w:r w:rsidR="003C0F32" w:rsidRPr="00E63E1C">
        <w:rPr>
          <w:lang w:val="en-GB"/>
        </w:rPr>
        <w:t xml:space="preserve">. </w:t>
      </w:r>
      <w:r w:rsidRPr="00E63E1C">
        <w:rPr>
          <w:lang w:val="en-GB"/>
        </w:rPr>
        <w:t>Biochem</w:t>
      </w:r>
      <w:r w:rsidR="003C0F32" w:rsidRPr="00E63E1C">
        <w:rPr>
          <w:lang w:val="en-GB"/>
        </w:rPr>
        <w:t>.</w:t>
      </w:r>
      <w:r w:rsidRPr="00E63E1C">
        <w:rPr>
          <w:lang w:val="en-GB"/>
        </w:rPr>
        <w:t xml:space="preserve"> Physiol</w:t>
      </w:r>
      <w:r w:rsidR="003C0F32" w:rsidRPr="00E63E1C">
        <w:rPr>
          <w:lang w:val="en-GB"/>
        </w:rPr>
        <w:t>.</w:t>
      </w:r>
      <w:r w:rsidRPr="00E63E1C">
        <w:rPr>
          <w:lang w:val="en-GB"/>
        </w:rPr>
        <w:t xml:space="preserve"> 94, 185</w:t>
      </w:r>
      <w:r w:rsidR="003C0F32" w:rsidRPr="00E63E1C">
        <w:rPr>
          <w:lang w:val="en-GB"/>
        </w:rPr>
        <w:t>–</w:t>
      </w:r>
      <w:r w:rsidRPr="00E63E1C">
        <w:rPr>
          <w:lang w:val="en-GB"/>
        </w:rPr>
        <w:t>188.</w:t>
      </w:r>
    </w:p>
    <w:p w:rsidR="00200636" w:rsidRPr="00E63E1C" w:rsidRDefault="00200636" w:rsidP="008E74D9">
      <w:pPr>
        <w:autoSpaceDE w:val="0"/>
        <w:autoSpaceDN w:val="0"/>
        <w:adjustRightInd w:val="0"/>
        <w:spacing w:after="120"/>
        <w:ind w:left="284" w:hanging="284"/>
        <w:jc w:val="both"/>
        <w:rPr>
          <w:lang w:val="en-GB"/>
        </w:rPr>
      </w:pPr>
      <w:r w:rsidRPr="00E63E1C">
        <w:rPr>
          <w:lang w:val="en-GB"/>
        </w:rPr>
        <w:t>Kattner, G.</w:t>
      </w:r>
      <w:r w:rsidR="008E74D9" w:rsidRPr="00E63E1C">
        <w:rPr>
          <w:lang w:val="en-GB"/>
        </w:rPr>
        <w:t>,</w:t>
      </w:r>
      <w:r w:rsidRPr="00E63E1C">
        <w:rPr>
          <w:lang w:val="en-GB"/>
        </w:rPr>
        <w:t xml:space="preserve"> Hagen, W. 2009</w:t>
      </w:r>
      <w:r w:rsidR="008E74D9" w:rsidRPr="00E63E1C">
        <w:rPr>
          <w:lang w:val="en-GB"/>
        </w:rPr>
        <w:t>.</w:t>
      </w:r>
      <w:r w:rsidRPr="00E63E1C">
        <w:rPr>
          <w:lang w:val="en-GB"/>
        </w:rPr>
        <w:t xml:space="preserve"> Lipids in marine copepods: Latitudinal characteristics and perspective to global warming</w:t>
      </w:r>
      <w:r w:rsidR="008E74D9" w:rsidRPr="00E63E1C">
        <w:rPr>
          <w:lang w:val="en-GB"/>
        </w:rPr>
        <w:t>. I</w:t>
      </w:r>
      <w:r w:rsidRPr="00E63E1C">
        <w:rPr>
          <w:lang w:val="en-GB"/>
        </w:rPr>
        <w:t xml:space="preserve">n: </w:t>
      </w:r>
      <w:r w:rsidR="008E74D9" w:rsidRPr="00E63E1C">
        <w:rPr>
          <w:lang w:val="en-GB"/>
        </w:rPr>
        <w:t xml:space="preserve">Arts; M.T., Brett; M.T., Kainz, M. (Eds.), </w:t>
      </w:r>
      <w:r w:rsidRPr="00E63E1C">
        <w:rPr>
          <w:lang w:val="en-GB"/>
        </w:rPr>
        <w:t>Lipids in Aquatic Ecosystems</w:t>
      </w:r>
      <w:r w:rsidR="008E74D9" w:rsidRPr="00E63E1C">
        <w:rPr>
          <w:lang w:val="en-GB"/>
        </w:rPr>
        <w:t>.</w:t>
      </w:r>
      <w:r w:rsidRPr="00E63E1C">
        <w:rPr>
          <w:lang w:val="en-GB"/>
        </w:rPr>
        <w:t xml:space="preserve"> </w:t>
      </w:r>
      <w:r w:rsidR="008E74D9" w:rsidRPr="00E63E1C">
        <w:rPr>
          <w:lang w:val="en-GB"/>
        </w:rPr>
        <w:t xml:space="preserve">Springer, </w:t>
      </w:r>
      <w:r w:rsidRPr="00E63E1C">
        <w:rPr>
          <w:lang w:val="en-GB"/>
        </w:rPr>
        <w:t>New York</w:t>
      </w:r>
      <w:r w:rsidR="008E74D9" w:rsidRPr="00E63E1C">
        <w:rPr>
          <w:lang w:val="en-GB"/>
        </w:rPr>
        <w:t xml:space="preserve">, pp. </w:t>
      </w:r>
      <w:r w:rsidR="00C91AFE" w:rsidRPr="00E63E1C">
        <w:rPr>
          <w:lang w:val="en-GB"/>
        </w:rPr>
        <w:t>257-280</w:t>
      </w:r>
      <w:r w:rsidRPr="00E63E1C">
        <w:rPr>
          <w:lang w:val="en-GB"/>
        </w:rPr>
        <w:t>.</w:t>
      </w:r>
    </w:p>
    <w:p w:rsidR="00425F04" w:rsidRPr="00E63E1C" w:rsidRDefault="00425F04" w:rsidP="008E74D9">
      <w:pPr>
        <w:autoSpaceDE w:val="0"/>
        <w:autoSpaceDN w:val="0"/>
        <w:adjustRightInd w:val="0"/>
        <w:spacing w:after="120"/>
        <w:ind w:left="284" w:hanging="284"/>
        <w:jc w:val="both"/>
        <w:rPr>
          <w:lang w:val="en-GB"/>
        </w:rPr>
      </w:pPr>
      <w:r w:rsidRPr="00E63E1C">
        <w:rPr>
          <w:lang w:val="en-US"/>
        </w:rPr>
        <w:t xml:space="preserve">Kennicutt II, M.C., Jeffrey, L.M. 1981. </w:t>
      </w:r>
      <w:r w:rsidRPr="00E63E1C">
        <w:rPr>
          <w:iCs/>
          <w:lang w:val="en-US"/>
        </w:rPr>
        <w:t>Chemical</w:t>
      </w:r>
      <w:r w:rsidRPr="00E63E1C">
        <w:rPr>
          <w:lang w:val="en-US"/>
        </w:rPr>
        <w:t xml:space="preserve"> and </w:t>
      </w:r>
      <w:r w:rsidRPr="00E63E1C">
        <w:rPr>
          <w:iCs/>
          <w:lang w:val="en-US"/>
        </w:rPr>
        <w:t>GC</w:t>
      </w:r>
      <w:r w:rsidRPr="00E63E1C">
        <w:rPr>
          <w:lang w:val="en-US"/>
        </w:rPr>
        <w:t>-</w:t>
      </w:r>
      <w:r w:rsidRPr="00E63E1C">
        <w:rPr>
          <w:iCs/>
          <w:lang w:val="en-US"/>
        </w:rPr>
        <w:t>MS characterisation</w:t>
      </w:r>
      <w:r w:rsidRPr="00E63E1C">
        <w:rPr>
          <w:lang w:val="en-US"/>
        </w:rPr>
        <w:t xml:space="preserve"> of </w:t>
      </w:r>
      <w:r w:rsidRPr="00E63E1C">
        <w:rPr>
          <w:iCs/>
          <w:lang w:val="en-US"/>
        </w:rPr>
        <w:t>marine particulate lipids. Mar</w:t>
      </w:r>
      <w:r w:rsidR="00E13E6D" w:rsidRPr="00E63E1C">
        <w:rPr>
          <w:iCs/>
          <w:lang w:val="en-US"/>
        </w:rPr>
        <w:t>.</w:t>
      </w:r>
      <w:r w:rsidRPr="00E63E1C">
        <w:rPr>
          <w:iCs/>
          <w:lang w:val="en-US"/>
        </w:rPr>
        <w:t xml:space="preserve"> Chem</w:t>
      </w:r>
      <w:r w:rsidR="00E13E6D" w:rsidRPr="00E63E1C">
        <w:rPr>
          <w:iCs/>
          <w:lang w:val="en-US"/>
        </w:rPr>
        <w:t>.</w:t>
      </w:r>
      <w:r w:rsidRPr="00E63E1C">
        <w:rPr>
          <w:iCs/>
          <w:lang w:val="en-US"/>
        </w:rPr>
        <w:t xml:space="preserve"> 10, 389-407.</w:t>
      </w:r>
    </w:p>
    <w:p w:rsidR="000F7D0A" w:rsidRPr="00E63E1C" w:rsidRDefault="000F7D0A" w:rsidP="009D06E6">
      <w:pPr>
        <w:autoSpaceDE w:val="0"/>
        <w:autoSpaceDN w:val="0"/>
        <w:adjustRightInd w:val="0"/>
        <w:spacing w:after="120"/>
        <w:ind w:left="284" w:hanging="284"/>
        <w:jc w:val="both"/>
        <w:rPr>
          <w:lang w:val="en-GB"/>
        </w:rPr>
      </w:pPr>
      <w:r w:rsidRPr="00E63E1C">
        <w:rPr>
          <w:lang w:val="en-GB"/>
        </w:rPr>
        <w:t>Killops, S.,</w:t>
      </w:r>
      <w:r w:rsidR="00C42290" w:rsidRPr="00E63E1C">
        <w:rPr>
          <w:lang w:val="en-GB"/>
        </w:rPr>
        <w:t xml:space="preserve"> </w:t>
      </w:r>
      <w:r w:rsidRPr="00E63E1C">
        <w:rPr>
          <w:lang w:val="en-GB"/>
        </w:rPr>
        <w:t>Killops, V. Introduction to Organic Geochemistry. 2005. Blackwell, Malden, 2nd edition, p.179.</w:t>
      </w:r>
    </w:p>
    <w:p w:rsidR="00A15856" w:rsidRDefault="00A15856" w:rsidP="00A15856">
      <w:pPr>
        <w:autoSpaceDE w:val="0"/>
        <w:autoSpaceDN w:val="0"/>
        <w:adjustRightInd w:val="0"/>
        <w:spacing w:after="120"/>
        <w:ind w:left="284" w:hanging="284"/>
        <w:jc w:val="both"/>
        <w:rPr>
          <w:lang w:val="en-US"/>
        </w:rPr>
      </w:pPr>
      <w:r w:rsidRPr="00E63E1C">
        <w:rPr>
          <w:lang w:val="en-GB"/>
        </w:rPr>
        <w:t xml:space="preserve">Kim, B.K., Lee, J.H., Yun, M.S., Joo, H.T., Song, H.J., Yang, E.J., Chung, K.H., Kang, S.-H., Lee, S.H. 2015. </w:t>
      </w:r>
      <w:r w:rsidRPr="00E63E1C">
        <w:rPr>
          <w:lang w:val="en-US"/>
        </w:rPr>
        <w:t>High lipid composition of particulate organic matter in the northern Chukchi Sea, 2011. Deep-Sea Res. Pt. II 120, 72–81.</w:t>
      </w:r>
    </w:p>
    <w:p w:rsidR="002E01B5" w:rsidRPr="00E63E1C" w:rsidRDefault="007A17DC" w:rsidP="002E01B5">
      <w:pPr>
        <w:autoSpaceDE w:val="0"/>
        <w:autoSpaceDN w:val="0"/>
        <w:adjustRightInd w:val="0"/>
        <w:spacing w:after="120"/>
        <w:ind w:left="284" w:hanging="284"/>
        <w:jc w:val="both"/>
        <w:rPr>
          <w:lang w:val="en-GB"/>
        </w:rPr>
      </w:pPr>
      <w:r w:rsidRPr="007F201E">
        <w:rPr>
          <w:lang w:val="en-GB"/>
        </w:rPr>
        <w:t>Lampitt, R.S., Billett, D.S.M. and Martin, A.P. 2010</w:t>
      </w:r>
      <w:r w:rsidR="007F201E">
        <w:rPr>
          <w:lang w:val="en-GB"/>
        </w:rPr>
        <w:t>.</w:t>
      </w:r>
      <w:r w:rsidRPr="007F201E">
        <w:rPr>
          <w:lang w:val="en-GB"/>
        </w:rPr>
        <w:t xml:space="preserve"> The sustained observatory over the Porcupine Abyssal Plain (PAP): Insights from time series observations and process studies (preface). </w:t>
      </w:r>
      <w:r w:rsidR="007F201E" w:rsidRPr="00E63E1C">
        <w:rPr>
          <w:lang w:val="en-US"/>
        </w:rPr>
        <w:t xml:space="preserve">Deep-Sea Res. Pt. II </w:t>
      </w:r>
      <w:r w:rsidRPr="007F201E">
        <w:rPr>
          <w:lang w:val="en-GB"/>
        </w:rPr>
        <w:t xml:space="preserve">57, 1267-1271. </w:t>
      </w:r>
      <w:r w:rsidR="002E01B5" w:rsidRPr="00E63E1C">
        <w:rPr>
          <w:lang w:val="en-GB"/>
        </w:rPr>
        <w:t xml:space="preserve">Lee, R.F. 1974. Lipids of </w:t>
      </w:r>
      <w:r w:rsidR="002E01B5" w:rsidRPr="00E63E1C">
        <w:t>z</w:t>
      </w:r>
      <w:r w:rsidR="002E01B5" w:rsidRPr="00E63E1C">
        <w:rPr>
          <w:lang w:val="en-GB"/>
        </w:rPr>
        <w:t>ooplankton from Bute Inlet, British Columbia. J. Fish. Res. Board Can. 37, 1577–1582.</w:t>
      </w:r>
    </w:p>
    <w:p w:rsidR="002E01B5" w:rsidRPr="00E63E1C" w:rsidRDefault="002E01B5" w:rsidP="002E01B5">
      <w:pPr>
        <w:autoSpaceDE w:val="0"/>
        <w:autoSpaceDN w:val="0"/>
        <w:adjustRightInd w:val="0"/>
        <w:spacing w:after="120"/>
        <w:ind w:left="284" w:hanging="284"/>
        <w:jc w:val="both"/>
        <w:rPr>
          <w:lang w:val="pt-BR"/>
        </w:rPr>
      </w:pPr>
      <w:r w:rsidRPr="00E63E1C">
        <w:rPr>
          <w:lang w:val="en-GB"/>
        </w:rPr>
        <w:t xml:space="preserve">Lee C., Wakeham, S., Arnosti, C. 2004. Particulate organic matter in the sea: the composition conundrum. </w:t>
      </w:r>
      <w:r w:rsidRPr="00E63E1C">
        <w:rPr>
          <w:lang w:val="pt-BR"/>
        </w:rPr>
        <w:t>Ambio 33, 565–575.</w:t>
      </w:r>
    </w:p>
    <w:p w:rsidR="002E01B5" w:rsidRPr="00E63E1C" w:rsidRDefault="002E01B5" w:rsidP="002E01B5">
      <w:pPr>
        <w:autoSpaceDE w:val="0"/>
        <w:autoSpaceDN w:val="0"/>
        <w:adjustRightInd w:val="0"/>
        <w:spacing w:after="120"/>
        <w:ind w:left="284" w:hanging="284"/>
        <w:jc w:val="both"/>
        <w:rPr>
          <w:lang w:val="en-US"/>
        </w:rPr>
      </w:pPr>
      <w:r w:rsidRPr="00E63E1C">
        <w:rPr>
          <w:lang w:val="pt-BR"/>
        </w:rPr>
        <w:t xml:space="preserve">Loh, A.N., Canuel, E.A. Bauer, J.E. 2008. </w:t>
      </w:r>
      <w:r w:rsidRPr="00E63E1C">
        <w:rPr>
          <w:lang w:val="en-US"/>
        </w:rPr>
        <w:t>Potential source and diagenetic signatures of oceanic dissolved and particulate organic matter as distinguished by lipid biomarker distributions. Mar. Chem. 112, 189–202.</w:t>
      </w:r>
    </w:p>
    <w:p w:rsidR="00D224E2" w:rsidRPr="00E63E1C" w:rsidRDefault="00D224E2" w:rsidP="00AF7483">
      <w:pPr>
        <w:autoSpaceDE w:val="0"/>
        <w:autoSpaceDN w:val="0"/>
        <w:adjustRightInd w:val="0"/>
        <w:spacing w:after="120"/>
        <w:ind w:left="284" w:hanging="284"/>
        <w:jc w:val="both"/>
        <w:rPr>
          <w:lang w:val="en-GB"/>
        </w:rPr>
      </w:pPr>
      <w:r w:rsidRPr="00E63E1C">
        <w:rPr>
          <w:lang w:val="en-GB"/>
        </w:rPr>
        <w:t>Mansour,</w:t>
      </w:r>
      <w:r w:rsidR="00881DDD" w:rsidRPr="00E63E1C">
        <w:rPr>
          <w:lang w:val="en-GB"/>
        </w:rPr>
        <w:t xml:space="preserve"> </w:t>
      </w:r>
      <w:r w:rsidRPr="00E63E1C">
        <w:rPr>
          <w:lang w:val="en-GB"/>
        </w:rPr>
        <w:t>M.</w:t>
      </w:r>
      <w:r w:rsidR="00881DDD" w:rsidRPr="00E63E1C">
        <w:rPr>
          <w:lang w:val="en-GB"/>
        </w:rPr>
        <w:t xml:space="preserve"> </w:t>
      </w:r>
      <w:r w:rsidRPr="00E63E1C">
        <w:rPr>
          <w:lang w:val="en-GB"/>
        </w:rPr>
        <w:t>P.,</w:t>
      </w:r>
      <w:r w:rsidR="00881DDD" w:rsidRPr="00E63E1C">
        <w:rPr>
          <w:lang w:val="en-GB"/>
        </w:rPr>
        <w:t xml:space="preserve"> </w:t>
      </w:r>
      <w:r w:rsidRPr="00E63E1C">
        <w:rPr>
          <w:lang w:val="en-GB"/>
        </w:rPr>
        <w:t>Volkman,</w:t>
      </w:r>
      <w:r w:rsidR="00881DDD" w:rsidRPr="00E63E1C">
        <w:rPr>
          <w:lang w:val="en-GB"/>
        </w:rPr>
        <w:t xml:space="preserve"> </w:t>
      </w:r>
      <w:r w:rsidRPr="00E63E1C">
        <w:rPr>
          <w:lang w:val="en-GB"/>
        </w:rPr>
        <w:t>J.K.,</w:t>
      </w:r>
      <w:r w:rsidR="00881DDD" w:rsidRPr="00E63E1C">
        <w:rPr>
          <w:lang w:val="en-GB"/>
        </w:rPr>
        <w:t xml:space="preserve"> </w:t>
      </w:r>
      <w:r w:rsidRPr="00E63E1C">
        <w:rPr>
          <w:lang w:val="en-GB"/>
        </w:rPr>
        <w:t>Holdsworth,</w:t>
      </w:r>
      <w:r w:rsidR="00881DDD" w:rsidRPr="00E63E1C">
        <w:rPr>
          <w:lang w:val="en-GB"/>
        </w:rPr>
        <w:t xml:space="preserve"> </w:t>
      </w:r>
      <w:r w:rsidRPr="00E63E1C">
        <w:rPr>
          <w:lang w:val="en-GB"/>
        </w:rPr>
        <w:t>D.G.,</w:t>
      </w:r>
      <w:r w:rsidR="00881DDD" w:rsidRPr="00E63E1C">
        <w:rPr>
          <w:lang w:val="en-GB"/>
        </w:rPr>
        <w:t xml:space="preserve"> </w:t>
      </w:r>
      <w:r w:rsidRPr="00E63E1C">
        <w:rPr>
          <w:lang w:val="en-GB"/>
        </w:rPr>
        <w:t>Jackson,</w:t>
      </w:r>
      <w:r w:rsidR="00881DDD" w:rsidRPr="00E63E1C">
        <w:rPr>
          <w:lang w:val="en-GB"/>
        </w:rPr>
        <w:t xml:space="preserve"> </w:t>
      </w:r>
      <w:r w:rsidRPr="00E63E1C">
        <w:rPr>
          <w:lang w:val="en-GB"/>
        </w:rPr>
        <w:t>A.E.</w:t>
      </w:r>
      <w:r w:rsidR="003C0F32" w:rsidRPr="00E63E1C">
        <w:rPr>
          <w:lang w:val="en-GB"/>
        </w:rPr>
        <w:t>,</w:t>
      </w:r>
      <w:r w:rsidR="00881DDD" w:rsidRPr="00E63E1C">
        <w:rPr>
          <w:lang w:val="en-GB"/>
        </w:rPr>
        <w:t xml:space="preserve"> </w:t>
      </w:r>
      <w:r w:rsidRPr="00E63E1C">
        <w:rPr>
          <w:lang w:val="en-GB"/>
        </w:rPr>
        <w:t>Blackburn, S.</w:t>
      </w:r>
      <w:r w:rsidR="00AF7483" w:rsidRPr="00E63E1C">
        <w:rPr>
          <w:lang w:val="en-GB"/>
        </w:rPr>
        <w:t>I</w:t>
      </w:r>
      <w:r w:rsidRPr="00E63E1C">
        <w:rPr>
          <w:lang w:val="en-GB"/>
        </w:rPr>
        <w:t>.</w:t>
      </w:r>
      <w:r w:rsidR="003C0F32" w:rsidRPr="00E63E1C">
        <w:rPr>
          <w:lang w:val="en-GB"/>
        </w:rPr>
        <w:t xml:space="preserve">, </w:t>
      </w:r>
      <w:r w:rsidRPr="00E63E1C">
        <w:rPr>
          <w:lang w:val="en-GB"/>
        </w:rPr>
        <w:t>1999.</w:t>
      </w:r>
      <w:r w:rsidR="00881DDD" w:rsidRPr="00E63E1C">
        <w:rPr>
          <w:lang w:val="en-GB"/>
        </w:rPr>
        <w:t xml:space="preserve"> </w:t>
      </w:r>
      <w:r w:rsidRPr="00E63E1C">
        <w:rPr>
          <w:lang w:val="en-GB"/>
        </w:rPr>
        <w:t>Very-long-chain</w:t>
      </w:r>
      <w:r w:rsidR="00881DDD" w:rsidRPr="00E63E1C">
        <w:rPr>
          <w:lang w:val="en-GB"/>
        </w:rPr>
        <w:t xml:space="preserve"> </w:t>
      </w:r>
      <w:r w:rsidRPr="00E63E1C">
        <w:rPr>
          <w:lang w:val="en-GB"/>
        </w:rPr>
        <w:t>(C28)</w:t>
      </w:r>
      <w:r w:rsidR="00881DDD" w:rsidRPr="00E63E1C">
        <w:rPr>
          <w:lang w:val="en-GB"/>
        </w:rPr>
        <w:t xml:space="preserve"> </w:t>
      </w:r>
      <w:r w:rsidRPr="00E63E1C">
        <w:rPr>
          <w:lang w:val="en-GB"/>
        </w:rPr>
        <w:t>highly</w:t>
      </w:r>
      <w:r w:rsidR="00881DDD" w:rsidRPr="00E63E1C">
        <w:rPr>
          <w:lang w:val="en-GB"/>
        </w:rPr>
        <w:t xml:space="preserve"> </w:t>
      </w:r>
      <w:r w:rsidRPr="00E63E1C">
        <w:rPr>
          <w:lang w:val="en-GB"/>
        </w:rPr>
        <w:t>unsaturated</w:t>
      </w:r>
      <w:r w:rsidR="00881DDD" w:rsidRPr="00E63E1C">
        <w:rPr>
          <w:lang w:val="en-GB"/>
        </w:rPr>
        <w:t xml:space="preserve"> </w:t>
      </w:r>
      <w:r w:rsidRPr="00E63E1C">
        <w:rPr>
          <w:lang w:val="en-GB"/>
        </w:rPr>
        <w:t>fatty</w:t>
      </w:r>
      <w:r w:rsidR="00881DDD" w:rsidRPr="00E63E1C">
        <w:rPr>
          <w:lang w:val="en-GB"/>
        </w:rPr>
        <w:t xml:space="preserve"> </w:t>
      </w:r>
      <w:r w:rsidRPr="00E63E1C">
        <w:rPr>
          <w:lang w:val="en-GB"/>
        </w:rPr>
        <w:t>acids</w:t>
      </w:r>
      <w:r w:rsidR="00881DDD" w:rsidRPr="00E63E1C">
        <w:rPr>
          <w:lang w:val="en-GB"/>
        </w:rPr>
        <w:t xml:space="preserve"> </w:t>
      </w:r>
      <w:r w:rsidRPr="00E63E1C">
        <w:rPr>
          <w:lang w:val="en-GB"/>
        </w:rPr>
        <w:t>in</w:t>
      </w:r>
      <w:r w:rsidR="00881DDD" w:rsidRPr="00E63E1C">
        <w:rPr>
          <w:lang w:val="en-GB"/>
        </w:rPr>
        <w:t xml:space="preserve"> </w:t>
      </w:r>
      <w:r w:rsidRPr="00E63E1C">
        <w:rPr>
          <w:lang w:val="en-GB"/>
        </w:rPr>
        <w:t>marine dinoflagellates.</w:t>
      </w:r>
      <w:r w:rsidR="00881DDD" w:rsidRPr="00E63E1C">
        <w:rPr>
          <w:lang w:val="en-GB"/>
        </w:rPr>
        <w:t xml:space="preserve"> </w:t>
      </w:r>
      <w:r w:rsidRPr="00E63E1C">
        <w:rPr>
          <w:lang w:val="en-GB"/>
        </w:rPr>
        <w:t>Phytochemistry</w:t>
      </w:r>
      <w:r w:rsidR="00881DDD" w:rsidRPr="00E63E1C">
        <w:rPr>
          <w:lang w:val="en-GB"/>
        </w:rPr>
        <w:t xml:space="preserve"> </w:t>
      </w:r>
      <w:r w:rsidRPr="00E63E1C">
        <w:rPr>
          <w:lang w:val="en-GB"/>
        </w:rPr>
        <w:t>50,</w:t>
      </w:r>
      <w:r w:rsidR="00881DDD" w:rsidRPr="00E63E1C">
        <w:rPr>
          <w:lang w:val="en-GB"/>
        </w:rPr>
        <w:t xml:space="preserve"> </w:t>
      </w:r>
      <w:r w:rsidRPr="00E63E1C">
        <w:rPr>
          <w:lang w:val="en-GB"/>
        </w:rPr>
        <w:t>541</w:t>
      </w:r>
      <w:r w:rsidR="003C0F32" w:rsidRPr="00E63E1C">
        <w:rPr>
          <w:lang w:val="en-GB"/>
        </w:rPr>
        <w:t>–</w:t>
      </w:r>
      <w:r w:rsidRPr="00E63E1C">
        <w:rPr>
          <w:lang w:val="en-GB"/>
        </w:rPr>
        <w:t>548.</w:t>
      </w:r>
    </w:p>
    <w:p w:rsidR="001213E3" w:rsidRPr="00E63E1C" w:rsidRDefault="001213E3" w:rsidP="009D06E6">
      <w:pPr>
        <w:autoSpaceDE w:val="0"/>
        <w:autoSpaceDN w:val="0"/>
        <w:adjustRightInd w:val="0"/>
        <w:spacing w:after="120"/>
        <w:ind w:left="284" w:hanging="284"/>
        <w:jc w:val="both"/>
        <w:rPr>
          <w:lang w:val="en-GB"/>
        </w:rPr>
      </w:pPr>
      <w:r w:rsidRPr="00E63E1C">
        <w:rPr>
          <w:lang w:val="en-GB"/>
        </w:rPr>
        <w:t>Marić, D., Frka, S., Godrijan, J., Tomažić, I., Penezić, A., Djakovac, T., Vojvodić, V., Precali, R., Gašparović, B. 2013. Organic matter production during late summer-winter period in a temperate sea. Cont. Shelf Res. 55, 52–65.</w:t>
      </w:r>
    </w:p>
    <w:p w:rsidR="00881DDD" w:rsidRPr="00E63E1C" w:rsidRDefault="00881DDD" w:rsidP="008E74D9">
      <w:pPr>
        <w:autoSpaceDE w:val="0"/>
        <w:autoSpaceDN w:val="0"/>
        <w:adjustRightInd w:val="0"/>
        <w:spacing w:after="120"/>
        <w:ind w:left="284" w:hanging="284"/>
        <w:jc w:val="both"/>
        <w:rPr>
          <w:lang w:val="pt-BR"/>
        </w:rPr>
      </w:pPr>
      <w:r w:rsidRPr="00E63E1C">
        <w:rPr>
          <w:lang w:val="en-GB"/>
        </w:rPr>
        <w:t>Meziane, T., Bodineau, L., Retiere, C., Thoumelin, G.</w:t>
      </w:r>
      <w:r w:rsidR="003C0F32" w:rsidRPr="00E63E1C">
        <w:rPr>
          <w:lang w:val="en-GB"/>
        </w:rPr>
        <w:t xml:space="preserve">, </w:t>
      </w:r>
      <w:r w:rsidRPr="00E63E1C">
        <w:rPr>
          <w:lang w:val="en-GB"/>
        </w:rPr>
        <w:t xml:space="preserve">1997. The use of lipid markers to define sources of organic matter in sediment and food web of the intertidal salt-marsh-flat ecosystem of Mont-Saint-Michel Bay, France. </w:t>
      </w:r>
      <w:r w:rsidRPr="00E63E1C">
        <w:rPr>
          <w:lang w:val="pt-BR"/>
        </w:rPr>
        <w:t>J</w:t>
      </w:r>
      <w:r w:rsidR="008E74D9" w:rsidRPr="00E63E1C">
        <w:rPr>
          <w:lang w:val="pt-BR"/>
        </w:rPr>
        <w:t>.</w:t>
      </w:r>
      <w:r w:rsidRPr="00E63E1C">
        <w:rPr>
          <w:lang w:val="pt-BR"/>
        </w:rPr>
        <w:t xml:space="preserve"> Sea Res</w:t>
      </w:r>
      <w:r w:rsidR="008E74D9" w:rsidRPr="00E63E1C">
        <w:rPr>
          <w:lang w:val="pt-BR"/>
        </w:rPr>
        <w:t>.</w:t>
      </w:r>
      <w:r w:rsidRPr="00E63E1C">
        <w:rPr>
          <w:lang w:val="pt-BR"/>
        </w:rPr>
        <w:t xml:space="preserve"> 38, 47</w:t>
      </w:r>
      <w:r w:rsidR="003C0F32" w:rsidRPr="00E63E1C">
        <w:rPr>
          <w:lang w:val="pt-BR"/>
        </w:rPr>
        <w:t>–</w:t>
      </w:r>
      <w:r w:rsidRPr="00E63E1C">
        <w:rPr>
          <w:lang w:val="pt-BR"/>
        </w:rPr>
        <w:t>58.</w:t>
      </w:r>
    </w:p>
    <w:p w:rsidR="005C2402" w:rsidRPr="00E63E1C" w:rsidRDefault="005C2402" w:rsidP="008E74D9">
      <w:pPr>
        <w:autoSpaceDE w:val="0"/>
        <w:autoSpaceDN w:val="0"/>
        <w:adjustRightInd w:val="0"/>
        <w:spacing w:after="120"/>
        <w:ind w:left="284" w:hanging="284"/>
        <w:jc w:val="both"/>
        <w:rPr>
          <w:lang w:val="en-GB"/>
        </w:rPr>
      </w:pPr>
      <w:r w:rsidRPr="00E63E1C">
        <w:rPr>
          <w:lang w:val="pt-BR"/>
        </w:rPr>
        <w:lastRenderedPageBreak/>
        <w:t xml:space="preserve">Okuyama, H., Orikasa, Y., Nishida, T., Watanabe, K., Morita, N. 2007. </w:t>
      </w:r>
      <w:r w:rsidRPr="00E63E1C">
        <w:rPr>
          <w:lang w:val="en-GB"/>
        </w:rPr>
        <w:t>Bacterial genes responsible for the biosynthesis of eicosapentaenoic and docosahexaenoic acids and their heterologous expression. Appl. Environ. Microbiol. 73</w:t>
      </w:r>
      <w:r w:rsidR="00F91A5E" w:rsidRPr="00E63E1C">
        <w:rPr>
          <w:lang w:val="en-GB"/>
        </w:rPr>
        <w:t xml:space="preserve">, </w:t>
      </w:r>
      <w:r w:rsidRPr="00E63E1C">
        <w:rPr>
          <w:lang w:val="en-GB"/>
        </w:rPr>
        <w:t>665-670.</w:t>
      </w:r>
    </w:p>
    <w:p w:rsidR="005F0D68" w:rsidRPr="00E63E1C" w:rsidRDefault="005F0D68" w:rsidP="005F0D68">
      <w:pPr>
        <w:autoSpaceDE w:val="0"/>
        <w:autoSpaceDN w:val="0"/>
        <w:adjustRightInd w:val="0"/>
        <w:spacing w:after="120"/>
        <w:ind w:left="284" w:hanging="284"/>
        <w:jc w:val="both"/>
        <w:rPr>
          <w:lang w:val="en-US"/>
        </w:rPr>
      </w:pPr>
      <w:r w:rsidRPr="00E63E1C">
        <w:rPr>
          <w:lang w:val="en-US"/>
        </w:rPr>
        <w:t xml:space="preserve">Oliver, J.D., Colwell, R. R. 1973. </w:t>
      </w:r>
      <w:r w:rsidRPr="00E63E1C">
        <w:rPr>
          <w:iCs/>
          <w:lang w:val="en-US"/>
        </w:rPr>
        <w:t>Extractable lipids</w:t>
      </w:r>
      <w:r w:rsidRPr="00E63E1C">
        <w:rPr>
          <w:lang w:val="en-US"/>
        </w:rPr>
        <w:t xml:space="preserve"> of </w:t>
      </w:r>
      <w:r w:rsidRPr="00E63E1C">
        <w:rPr>
          <w:iCs/>
          <w:lang w:val="en-US"/>
        </w:rPr>
        <w:t>gram</w:t>
      </w:r>
      <w:r w:rsidRPr="00E63E1C">
        <w:rPr>
          <w:lang w:val="en-US"/>
        </w:rPr>
        <w:t>-</w:t>
      </w:r>
      <w:r w:rsidRPr="00E63E1C">
        <w:rPr>
          <w:iCs/>
          <w:lang w:val="en-US"/>
        </w:rPr>
        <w:t>negative marine bacteria</w:t>
      </w:r>
      <w:r w:rsidRPr="00E63E1C">
        <w:rPr>
          <w:lang w:val="en-US"/>
        </w:rPr>
        <w:t xml:space="preserve">: </w:t>
      </w:r>
      <w:r w:rsidRPr="00E63E1C">
        <w:rPr>
          <w:iCs/>
          <w:lang w:val="en-US"/>
        </w:rPr>
        <w:t>fatty</w:t>
      </w:r>
      <w:r w:rsidRPr="00E63E1C">
        <w:rPr>
          <w:lang w:val="en-US"/>
        </w:rPr>
        <w:t>-</w:t>
      </w:r>
      <w:r w:rsidRPr="00E63E1C">
        <w:rPr>
          <w:iCs/>
          <w:lang w:val="en-US"/>
        </w:rPr>
        <w:t>acid composition</w:t>
      </w:r>
      <w:r w:rsidRPr="00E63E1C">
        <w:rPr>
          <w:lang w:val="en-US"/>
        </w:rPr>
        <w:t>. Int. J. Syst. Bact., 23, 442-458.</w:t>
      </w:r>
    </w:p>
    <w:p w:rsidR="00610DA5" w:rsidRPr="00E63E1C" w:rsidRDefault="00610DA5" w:rsidP="003C0F32">
      <w:pPr>
        <w:autoSpaceDE w:val="0"/>
        <w:autoSpaceDN w:val="0"/>
        <w:adjustRightInd w:val="0"/>
        <w:spacing w:after="120"/>
        <w:ind w:left="284" w:hanging="284"/>
        <w:jc w:val="both"/>
        <w:rPr>
          <w:lang w:val="en-GB"/>
        </w:rPr>
      </w:pPr>
      <w:r w:rsidRPr="00E63E1C">
        <w:rPr>
          <w:lang w:val="en-GB"/>
        </w:rPr>
        <w:t>Parrish, C.C., 1988. Dissolved and particulate mari</w:t>
      </w:r>
      <w:r w:rsidR="003C0F32" w:rsidRPr="00E63E1C">
        <w:rPr>
          <w:lang w:val="en-GB"/>
        </w:rPr>
        <w:t>ne lipid classes, a review. Mar. Chem.</w:t>
      </w:r>
      <w:r w:rsidRPr="00E63E1C">
        <w:rPr>
          <w:lang w:val="en-GB"/>
        </w:rPr>
        <w:t> 23, 17</w:t>
      </w:r>
      <w:r w:rsidR="003C0F32" w:rsidRPr="00E63E1C">
        <w:rPr>
          <w:lang w:val="en-GB"/>
        </w:rPr>
        <w:t>–</w:t>
      </w:r>
      <w:r w:rsidRPr="00E63E1C">
        <w:rPr>
          <w:lang w:val="en-GB"/>
        </w:rPr>
        <w:t>40.</w:t>
      </w:r>
    </w:p>
    <w:p w:rsidR="00BF42DA" w:rsidRPr="00E63E1C" w:rsidRDefault="00BF42DA" w:rsidP="00BF42DA">
      <w:pPr>
        <w:autoSpaceDE w:val="0"/>
        <w:autoSpaceDN w:val="0"/>
        <w:adjustRightInd w:val="0"/>
        <w:spacing w:after="120"/>
        <w:ind w:left="284" w:hanging="284"/>
        <w:jc w:val="both"/>
        <w:rPr>
          <w:lang w:val="en-US"/>
        </w:rPr>
      </w:pPr>
      <w:r w:rsidRPr="00E63E1C">
        <w:rPr>
          <w:lang w:val="en-GB"/>
        </w:rPr>
        <w:t xml:space="preserve">Parrish, C.C., Wangersky, P.J., Delmas, R.P., Ackman, R.G., 1988. </w:t>
      </w:r>
      <w:r w:rsidRPr="00E63E1C">
        <w:rPr>
          <w:lang w:val="en-US"/>
        </w:rPr>
        <w:t>Iatroscan-measured profiles of dissolved and particulate marine lipid classes over the Scotian slope and in Bedford Basin. Mar. Chem. 23, 1-15.</w:t>
      </w:r>
    </w:p>
    <w:p w:rsidR="000E14C0" w:rsidRPr="00E63E1C" w:rsidRDefault="000E14C0" w:rsidP="008E74D9">
      <w:pPr>
        <w:autoSpaceDE w:val="0"/>
        <w:autoSpaceDN w:val="0"/>
        <w:adjustRightInd w:val="0"/>
        <w:spacing w:after="120"/>
        <w:ind w:left="284" w:hanging="284"/>
        <w:jc w:val="both"/>
        <w:rPr>
          <w:lang w:val="en-GB"/>
        </w:rPr>
      </w:pPr>
      <w:r w:rsidRPr="00E63E1C">
        <w:rPr>
          <w:lang w:val="en-GB"/>
        </w:rPr>
        <w:t>Romankevich, E.A., 1984. Geochemistry of Organic Matter in the Ocean. Springer, Berlin, 334 pp.</w:t>
      </w:r>
    </w:p>
    <w:p w:rsidR="00704E5A" w:rsidRPr="00E63E1C" w:rsidRDefault="00704E5A" w:rsidP="00704E5A">
      <w:pPr>
        <w:autoSpaceDE w:val="0"/>
        <w:autoSpaceDN w:val="0"/>
        <w:adjustRightInd w:val="0"/>
        <w:spacing w:after="120"/>
        <w:ind w:left="284" w:hanging="284"/>
        <w:jc w:val="both"/>
        <w:rPr>
          <w:lang w:val="en-GB"/>
        </w:rPr>
      </w:pPr>
      <w:r w:rsidRPr="00E63E1C">
        <w:rPr>
          <w:lang w:val="en-GB"/>
        </w:rPr>
        <w:t>Sheridan, C.C., Lee, C., Wakeham S.G., Bishop, J.K.B. 2002. Suspended particle organic composition and cycling in surface and midwaters of the equatorial Paciﬁc Ocean. Deep-Sea Res. Pt. I 49, 1983–2008.</w:t>
      </w:r>
    </w:p>
    <w:p w:rsidR="00857AFA" w:rsidRPr="00E63E1C" w:rsidRDefault="00857AFA" w:rsidP="009D06E6">
      <w:pPr>
        <w:autoSpaceDE w:val="0"/>
        <w:autoSpaceDN w:val="0"/>
        <w:adjustRightInd w:val="0"/>
        <w:spacing w:after="120"/>
        <w:ind w:left="284" w:hanging="284"/>
        <w:jc w:val="both"/>
        <w:rPr>
          <w:lang w:val="nl-NL"/>
        </w:rPr>
      </w:pPr>
      <w:r w:rsidRPr="00E63E1C">
        <w:rPr>
          <w:lang w:val="en-GB"/>
        </w:rPr>
        <w:t xml:space="preserve">Thompson, G.A.J. 1996. Lipids and membrane function in green algae. </w:t>
      </w:r>
      <w:r w:rsidRPr="00E63E1C">
        <w:rPr>
          <w:lang w:val="nl-NL"/>
        </w:rPr>
        <w:t>Biochim. Biophys. Acta</w:t>
      </w:r>
      <w:r w:rsidR="00C42290" w:rsidRPr="00E63E1C">
        <w:rPr>
          <w:lang w:val="nl-NL"/>
        </w:rPr>
        <w:t xml:space="preserve"> </w:t>
      </w:r>
      <w:r w:rsidRPr="00E63E1C">
        <w:rPr>
          <w:lang w:val="nl-NL"/>
        </w:rPr>
        <w:t>1302, 17–45.</w:t>
      </w:r>
    </w:p>
    <w:p w:rsidR="00662181" w:rsidRPr="00E63E1C" w:rsidRDefault="00662181" w:rsidP="003C0F32">
      <w:pPr>
        <w:autoSpaceDE w:val="0"/>
        <w:autoSpaceDN w:val="0"/>
        <w:adjustRightInd w:val="0"/>
        <w:spacing w:after="120"/>
        <w:ind w:left="284" w:hanging="284"/>
        <w:jc w:val="both"/>
        <w:rPr>
          <w:lang w:val="en-GB"/>
        </w:rPr>
      </w:pPr>
      <w:r w:rsidRPr="00E63E1C">
        <w:rPr>
          <w:lang w:val="nl-NL"/>
        </w:rPr>
        <w:t xml:space="preserve">Van Pelt, C.K., Huang, M.-C., Tschanz, C. L., Brenna J.T., 1999. </w:t>
      </w:r>
      <w:r w:rsidRPr="00E63E1C">
        <w:rPr>
          <w:lang w:val="en-GB"/>
        </w:rPr>
        <w:t>An octaene fatty acid, 4,7,10,13,16,19,22,25-octacosaoctaenoic acid (28:8n–3), found in marine oils. Journal of Lipid Research, 40, 1501</w:t>
      </w:r>
      <w:r w:rsidR="003C0F32" w:rsidRPr="00E63E1C">
        <w:rPr>
          <w:lang w:val="en-GB"/>
        </w:rPr>
        <w:t>–</w:t>
      </w:r>
      <w:r w:rsidRPr="00E63E1C">
        <w:rPr>
          <w:lang w:val="en-GB"/>
        </w:rPr>
        <w:t>1505.</w:t>
      </w:r>
    </w:p>
    <w:p w:rsidR="00B82325" w:rsidRPr="00E63E1C" w:rsidRDefault="00B82325" w:rsidP="009D06E6">
      <w:pPr>
        <w:autoSpaceDE w:val="0"/>
        <w:autoSpaceDN w:val="0"/>
        <w:adjustRightInd w:val="0"/>
        <w:spacing w:after="120"/>
        <w:ind w:left="284" w:hanging="284"/>
        <w:jc w:val="both"/>
        <w:rPr>
          <w:lang w:val="en-GB"/>
        </w:rPr>
      </w:pPr>
      <w:r w:rsidRPr="00E63E1C">
        <w:rPr>
          <w:lang w:val="en-GB"/>
        </w:rPr>
        <w:t>Volkman, J.K. 2006. Lipid Markers for Marine Organic Matter. In: Volkman, J.K. (Ed.), The Handbook of Environmental Chemistry, Vol. 2 Series: Reaction and Processes: Marine Organic Matter: Biomarkers, Isotopes and DNA. Springer, Berlin, pp. 27–70.</w:t>
      </w:r>
    </w:p>
    <w:p w:rsidR="007379CC" w:rsidRPr="00E63E1C" w:rsidRDefault="007379CC" w:rsidP="003C0F32">
      <w:pPr>
        <w:autoSpaceDE w:val="0"/>
        <w:autoSpaceDN w:val="0"/>
        <w:adjustRightInd w:val="0"/>
        <w:spacing w:after="120"/>
        <w:ind w:left="284" w:hanging="284"/>
        <w:jc w:val="both"/>
        <w:rPr>
          <w:lang w:val="en-GB"/>
        </w:rPr>
      </w:pPr>
      <w:r w:rsidRPr="00E63E1C">
        <w:rPr>
          <w:lang w:val="en-GB"/>
        </w:rPr>
        <w:t>Wakeham, S.G., 1985. Wax esters and triacylglycerols in sinking particulate matter in the Perou upwelling area. Mar</w:t>
      </w:r>
      <w:r w:rsidR="003C0F32" w:rsidRPr="00E63E1C">
        <w:rPr>
          <w:lang w:val="en-GB"/>
        </w:rPr>
        <w:t>.</w:t>
      </w:r>
      <w:r w:rsidRPr="00E63E1C">
        <w:rPr>
          <w:lang w:val="en-GB"/>
        </w:rPr>
        <w:t xml:space="preserve"> Chem</w:t>
      </w:r>
      <w:r w:rsidR="003C0F32" w:rsidRPr="00E63E1C">
        <w:rPr>
          <w:lang w:val="en-GB"/>
        </w:rPr>
        <w:t xml:space="preserve">. </w:t>
      </w:r>
      <w:r w:rsidRPr="00E63E1C">
        <w:rPr>
          <w:lang w:val="en-GB"/>
        </w:rPr>
        <w:t>17, 213–235.</w:t>
      </w:r>
    </w:p>
    <w:p w:rsidR="00610DA5" w:rsidRPr="00E63E1C" w:rsidRDefault="00610DA5" w:rsidP="003C0F32">
      <w:pPr>
        <w:autoSpaceDE w:val="0"/>
        <w:autoSpaceDN w:val="0"/>
        <w:adjustRightInd w:val="0"/>
        <w:spacing w:after="120"/>
        <w:ind w:left="284" w:hanging="284"/>
        <w:jc w:val="both"/>
        <w:rPr>
          <w:lang w:val="en-GB"/>
        </w:rPr>
      </w:pPr>
      <w:r w:rsidRPr="00E63E1C">
        <w:rPr>
          <w:lang w:val="en-GB"/>
        </w:rPr>
        <w:t>Wakeham, S.G., Lee, C., Farrington, J.W., Gagosian, R.B., 1984. Biogeochemistry of particulate organic matter in the oceans, results from sediment trap experiments. Deep Sea Res</w:t>
      </w:r>
      <w:r w:rsidR="003C0F32" w:rsidRPr="00E63E1C">
        <w:rPr>
          <w:lang w:val="en-GB"/>
        </w:rPr>
        <w:t>.</w:t>
      </w:r>
      <w:r w:rsidRPr="00E63E1C">
        <w:rPr>
          <w:lang w:val="en-GB"/>
        </w:rPr>
        <w:t xml:space="preserve"> 31, 509</w:t>
      </w:r>
      <w:r w:rsidR="003C0F32" w:rsidRPr="00E63E1C">
        <w:rPr>
          <w:lang w:val="en-GB"/>
        </w:rPr>
        <w:t>–</w:t>
      </w:r>
      <w:r w:rsidRPr="00E63E1C">
        <w:rPr>
          <w:lang w:val="en-GB"/>
        </w:rPr>
        <w:t>528.</w:t>
      </w:r>
    </w:p>
    <w:p w:rsidR="00F82BCC" w:rsidRPr="00E63E1C" w:rsidRDefault="00F82BCC" w:rsidP="00F82BCC">
      <w:pPr>
        <w:autoSpaceDE w:val="0"/>
        <w:autoSpaceDN w:val="0"/>
        <w:adjustRightInd w:val="0"/>
        <w:spacing w:after="120"/>
        <w:ind w:left="284" w:hanging="284"/>
        <w:jc w:val="both"/>
        <w:rPr>
          <w:lang w:val="en-GB"/>
        </w:rPr>
      </w:pPr>
      <w:r w:rsidRPr="00E63E1C">
        <w:rPr>
          <w:lang w:val="en-GB"/>
        </w:rPr>
        <w:t>Wakeham, S.G., Hedges, J.I., Lee, C., Peterson, M.L., Hernest, P.J. 1997. Compositions and transport of lipid biomarkers through the water column and surficial sediments of the equatorial Pacific Ocean. Deep-Sea  Res. Pt.  II 44, 2131-2162.</w:t>
      </w:r>
    </w:p>
    <w:p w:rsidR="000E14C0" w:rsidRPr="00E63E1C" w:rsidRDefault="000E14C0" w:rsidP="003C0F32">
      <w:pPr>
        <w:autoSpaceDE w:val="0"/>
        <w:autoSpaceDN w:val="0"/>
        <w:adjustRightInd w:val="0"/>
        <w:spacing w:after="120"/>
        <w:ind w:left="284" w:hanging="284"/>
        <w:jc w:val="both"/>
        <w:rPr>
          <w:lang w:val="en-GB"/>
        </w:rPr>
      </w:pPr>
      <w:r w:rsidRPr="00E63E1C">
        <w:rPr>
          <w:lang w:val="en-US"/>
        </w:rPr>
        <w:t>Wakeham, S.G., Canuel, E.A., 2006</w:t>
      </w:r>
      <w:r w:rsidR="003C0F32" w:rsidRPr="00E63E1C">
        <w:rPr>
          <w:lang w:val="en-US"/>
        </w:rPr>
        <w:t>.</w:t>
      </w:r>
      <w:r w:rsidRPr="00E63E1C">
        <w:rPr>
          <w:lang w:val="en-US"/>
        </w:rPr>
        <w:t xml:space="preserve"> </w:t>
      </w:r>
      <w:r w:rsidRPr="00E63E1C">
        <w:rPr>
          <w:lang w:val="en-GB"/>
        </w:rPr>
        <w:t>Degradation and preservation of organic matter in marine sediments. In: Volkman, J.K. (Ed.), The Handbook of Environmental Chemistry, Vol. 2 Series: Reaction and Processes: Marine Organic Matter: Biomarkers, Isotopes and DNA. Springer, Berlin, pp. 295–321.</w:t>
      </w:r>
    </w:p>
    <w:p w:rsidR="00411857" w:rsidRPr="00E63E1C" w:rsidRDefault="00411857" w:rsidP="00755EBB">
      <w:pPr>
        <w:autoSpaceDE w:val="0"/>
        <w:autoSpaceDN w:val="0"/>
        <w:adjustRightInd w:val="0"/>
        <w:spacing w:after="120"/>
        <w:ind w:left="284" w:hanging="284"/>
        <w:jc w:val="both"/>
        <w:rPr>
          <w:lang w:val="en-GB"/>
        </w:rPr>
      </w:pPr>
      <w:r w:rsidRPr="00E63E1C">
        <w:rPr>
          <w:lang w:val="en-GB"/>
        </w:rPr>
        <w:t>Wakeham, S.G., Lee, C., Peterson, M.L., Liu, Z., Szlosek, J., Putnama, I.F., Xue, J. 2009. Organic biomarkers in the twilight zone—Time series and settling velocity sediment traps during MedFlux. Deep-Sea Res. Pt. II 56, 1437–1453.</w:t>
      </w:r>
    </w:p>
    <w:p w:rsidR="00C020C3" w:rsidRPr="00E63E1C" w:rsidRDefault="00C020C3" w:rsidP="003C0F32">
      <w:pPr>
        <w:autoSpaceDE w:val="0"/>
        <w:autoSpaceDN w:val="0"/>
        <w:adjustRightInd w:val="0"/>
        <w:spacing w:after="120"/>
        <w:ind w:left="284" w:hanging="284"/>
        <w:jc w:val="both"/>
        <w:rPr>
          <w:lang w:val="en-GB"/>
        </w:rPr>
      </w:pPr>
      <w:r w:rsidRPr="00E63E1C">
        <w:rPr>
          <w:lang w:val="en-GB"/>
        </w:rPr>
        <w:t xml:space="preserve">Yamaguchi A., Watanabe, </w:t>
      </w:r>
      <w:r w:rsidR="003C0F32" w:rsidRPr="00E63E1C">
        <w:rPr>
          <w:lang w:val="en-GB"/>
        </w:rPr>
        <w:t xml:space="preserve">Y., </w:t>
      </w:r>
      <w:r w:rsidRPr="00E63E1C">
        <w:rPr>
          <w:lang w:val="en-GB"/>
        </w:rPr>
        <w:t xml:space="preserve">Ishida, </w:t>
      </w:r>
      <w:r w:rsidR="003C0F32" w:rsidRPr="00E63E1C">
        <w:rPr>
          <w:lang w:val="en-GB"/>
        </w:rPr>
        <w:t xml:space="preserve">H., </w:t>
      </w:r>
      <w:r w:rsidRPr="00E63E1C">
        <w:rPr>
          <w:lang w:val="en-GB"/>
        </w:rPr>
        <w:t xml:space="preserve">Harimoto, </w:t>
      </w:r>
      <w:r w:rsidR="003C0F32" w:rsidRPr="00E63E1C">
        <w:rPr>
          <w:lang w:val="en-GB"/>
        </w:rPr>
        <w:t xml:space="preserve">T., </w:t>
      </w:r>
      <w:r w:rsidRPr="00E63E1C">
        <w:rPr>
          <w:lang w:val="en-GB"/>
        </w:rPr>
        <w:t xml:space="preserve">Furusawa, </w:t>
      </w:r>
      <w:r w:rsidR="003C0F32" w:rsidRPr="00E63E1C">
        <w:rPr>
          <w:lang w:val="en-GB"/>
        </w:rPr>
        <w:t xml:space="preserve">K., </w:t>
      </w:r>
      <w:r w:rsidRPr="00E63E1C">
        <w:rPr>
          <w:lang w:val="en-GB"/>
        </w:rPr>
        <w:t xml:space="preserve">Suzuki, </w:t>
      </w:r>
      <w:r w:rsidR="003C0F32" w:rsidRPr="00E63E1C">
        <w:rPr>
          <w:lang w:val="en-GB"/>
        </w:rPr>
        <w:t xml:space="preserve">S., </w:t>
      </w:r>
      <w:r w:rsidRPr="00E63E1C">
        <w:rPr>
          <w:lang w:val="en-GB"/>
        </w:rPr>
        <w:t xml:space="preserve">Ishizaka, </w:t>
      </w:r>
      <w:r w:rsidR="003C0F32" w:rsidRPr="00E63E1C">
        <w:rPr>
          <w:lang w:val="en-GB"/>
        </w:rPr>
        <w:t xml:space="preserve">J., </w:t>
      </w:r>
      <w:r w:rsidRPr="00E63E1C">
        <w:rPr>
          <w:lang w:val="en-GB"/>
        </w:rPr>
        <w:t xml:space="preserve">Ikeda, </w:t>
      </w:r>
      <w:r w:rsidR="003C0F32" w:rsidRPr="00E63E1C">
        <w:rPr>
          <w:lang w:val="en-GB"/>
        </w:rPr>
        <w:t xml:space="preserve">T., </w:t>
      </w:r>
      <w:r w:rsidRPr="00E63E1C">
        <w:rPr>
          <w:lang w:val="en-GB"/>
        </w:rPr>
        <w:t>Mac Takahashi</w:t>
      </w:r>
      <w:r w:rsidR="003C0F32" w:rsidRPr="00E63E1C">
        <w:rPr>
          <w:lang w:val="en-GB"/>
        </w:rPr>
        <w:t>,</w:t>
      </w:r>
      <w:r w:rsidRPr="00E63E1C">
        <w:rPr>
          <w:lang w:val="en-GB"/>
        </w:rPr>
        <w:t xml:space="preserve"> </w:t>
      </w:r>
      <w:r w:rsidR="003C0F32" w:rsidRPr="00E63E1C">
        <w:rPr>
          <w:lang w:val="en-GB"/>
        </w:rPr>
        <w:t>M., 2002.</w:t>
      </w:r>
      <w:r w:rsidRPr="00E63E1C">
        <w:rPr>
          <w:lang w:val="en-GB"/>
        </w:rPr>
        <w:t xml:space="preserve"> Structure and size distribution of plankton communities </w:t>
      </w:r>
      <w:r w:rsidRPr="00E63E1C">
        <w:rPr>
          <w:lang w:val="en-GB"/>
        </w:rPr>
        <w:lastRenderedPageBreak/>
        <w:t>down to the greater depths in the western North Pacific Ocean. Deep-Sea Res. II, 49, 5513</w:t>
      </w:r>
      <w:r w:rsidR="003C0F32" w:rsidRPr="00E63E1C">
        <w:rPr>
          <w:lang w:val="en-GB"/>
        </w:rPr>
        <w:t>–</w:t>
      </w:r>
      <w:r w:rsidRPr="00E63E1C">
        <w:rPr>
          <w:lang w:val="en-GB"/>
        </w:rPr>
        <w:t>5529.</w:t>
      </w:r>
    </w:p>
    <w:p w:rsidR="00BE0DE8" w:rsidRPr="00E63E1C" w:rsidRDefault="00075FDE" w:rsidP="00BE0DE8">
      <w:pPr>
        <w:autoSpaceDE w:val="0"/>
        <w:autoSpaceDN w:val="0"/>
        <w:adjustRightInd w:val="0"/>
        <w:spacing w:after="120"/>
        <w:ind w:left="284" w:hanging="284"/>
        <w:jc w:val="both"/>
        <w:rPr>
          <w:lang w:val="en-GB"/>
        </w:rPr>
      </w:pPr>
      <w:r w:rsidRPr="00E63E1C">
        <w:rPr>
          <w:lang w:val="pt-BR"/>
        </w:rPr>
        <w:t xml:space="preserve">Yoshimura, K., Ogawa, T., Hama, T., 2009. </w:t>
      </w:r>
      <w:r w:rsidRPr="00E63E1C">
        <w:rPr>
          <w:lang w:val="en-GB"/>
        </w:rPr>
        <w:t>Degradation and dissolution properties of photosynthetically-produced phytoplankton lipid materials in early diagenesis. Mar. Chem. 114, 11</w:t>
      </w:r>
      <w:r w:rsidR="003C0F32" w:rsidRPr="00E63E1C">
        <w:rPr>
          <w:lang w:val="en-GB"/>
        </w:rPr>
        <w:t>–</w:t>
      </w:r>
      <w:r w:rsidRPr="00E63E1C">
        <w:rPr>
          <w:lang w:val="en-GB"/>
        </w:rPr>
        <w:t xml:space="preserve">18. </w:t>
      </w:r>
    </w:p>
    <w:p w:rsidR="00F402CB" w:rsidRPr="00E63E1C" w:rsidRDefault="00F402CB" w:rsidP="00BE0DE8">
      <w:pPr>
        <w:autoSpaceDE w:val="0"/>
        <w:autoSpaceDN w:val="0"/>
        <w:adjustRightInd w:val="0"/>
        <w:spacing w:after="120"/>
        <w:ind w:left="284" w:hanging="284"/>
        <w:jc w:val="both"/>
        <w:rPr>
          <w:lang w:val="en-GB"/>
        </w:rPr>
      </w:pPr>
    </w:p>
    <w:p w:rsidR="00F402CB" w:rsidRPr="00E63E1C" w:rsidRDefault="00F402CB" w:rsidP="00BE0DE8">
      <w:pPr>
        <w:autoSpaceDE w:val="0"/>
        <w:autoSpaceDN w:val="0"/>
        <w:adjustRightInd w:val="0"/>
        <w:spacing w:after="120"/>
        <w:ind w:left="284" w:hanging="284"/>
        <w:jc w:val="both"/>
        <w:rPr>
          <w:b/>
          <w:lang w:val="en-GB"/>
        </w:rPr>
      </w:pPr>
      <w:r w:rsidRPr="00E63E1C">
        <w:rPr>
          <w:lang w:val="en-GB"/>
        </w:rPr>
        <w:br w:type="page"/>
      </w:r>
      <w:r w:rsidRPr="00E63E1C">
        <w:rPr>
          <w:b/>
          <w:lang w:val="en-GB"/>
        </w:rPr>
        <w:lastRenderedPageBreak/>
        <w:t>Figure captions</w:t>
      </w:r>
    </w:p>
    <w:p w:rsidR="00F402CB" w:rsidRPr="00E63E1C" w:rsidRDefault="00F402CB" w:rsidP="00BE0DE8">
      <w:pPr>
        <w:autoSpaceDE w:val="0"/>
        <w:autoSpaceDN w:val="0"/>
        <w:adjustRightInd w:val="0"/>
        <w:spacing w:after="120"/>
        <w:ind w:left="284" w:hanging="284"/>
        <w:jc w:val="both"/>
        <w:rPr>
          <w:lang w:val="en-GB"/>
        </w:rPr>
      </w:pPr>
    </w:p>
    <w:p w:rsidR="007776CF" w:rsidRPr="00E63E1C" w:rsidRDefault="007776CF" w:rsidP="007776CF">
      <w:pPr>
        <w:spacing w:after="120" w:line="360" w:lineRule="auto"/>
        <w:jc w:val="both"/>
        <w:rPr>
          <w:lang w:val="en-GB"/>
        </w:rPr>
      </w:pPr>
      <w:r w:rsidRPr="00E63E1C">
        <w:rPr>
          <w:lang w:val="en-GB"/>
        </w:rPr>
        <w:t xml:space="preserve">Fig. 1. Depth distribution of (a) temperature (T) (b) salinity (S) and (c) chlorophyll fluorescence (as a measure of Chl </w:t>
      </w:r>
      <w:r w:rsidRPr="00E63E1C">
        <w:rPr>
          <w:i/>
          <w:lang w:val="en-GB"/>
        </w:rPr>
        <w:t>a</w:t>
      </w:r>
      <w:r w:rsidRPr="00E63E1C">
        <w:rPr>
          <w:lang w:val="en-GB"/>
        </w:rPr>
        <w:t xml:space="preserve"> concentration).</w:t>
      </w:r>
      <w:r w:rsidR="002C5133" w:rsidRPr="00E63E1C">
        <w:rPr>
          <w:lang w:val="en-GB"/>
        </w:rPr>
        <w:t xml:space="preserve"> </w:t>
      </w:r>
      <w:r w:rsidR="002C5133" w:rsidRPr="00E63E1C">
        <w:t>Marked are depths of lipid samples (squares).</w:t>
      </w:r>
    </w:p>
    <w:p w:rsidR="00F402CB" w:rsidRPr="00E63E1C" w:rsidRDefault="00F402CB" w:rsidP="005A64A6">
      <w:pPr>
        <w:spacing w:after="120" w:line="360" w:lineRule="auto"/>
        <w:jc w:val="both"/>
        <w:rPr>
          <w:lang w:val="en-GB"/>
        </w:rPr>
      </w:pPr>
      <w:r w:rsidRPr="00E63E1C">
        <w:rPr>
          <w:lang w:val="en-GB"/>
        </w:rPr>
        <w:t xml:space="preserve">Fig. </w:t>
      </w:r>
      <w:r w:rsidR="007776CF" w:rsidRPr="00E63E1C">
        <w:rPr>
          <w:lang w:val="en-GB"/>
        </w:rPr>
        <w:t>2</w:t>
      </w:r>
      <w:r w:rsidRPr="00E63E1C">
        <w:rPr>
          <w:lang w:val="en-GB"/>
        </w:rPr>
        <w:t>. Depth distribution of (</w:t>
      </w:r>
      <w:r w:rsidRPr="00E63E1C">
        <w:rPr>
          <w:bCs/>
          <w:lang w:val="en-GB"/>
        </w:rPr>
        <w:t xml:space="preserve">a) </w:t>
      </w:r>
      <w:r w:rsidR="005A64A6" w:rsidRPr="00E63E1C">
        <w:rPr>
          <w:bCs/>
          <w:lang w:val="en-GB"/>
        </w:rPr>
        <w:t>Iatroscan</w:t>
      </w:r>
      <w:r w:rsidR="005A64A6" w:rsidRPr="00E63E1C">
        <w:rPr>
          <w:lang w:val="en-GB"/>
        </w:rPr>
        <w:t xml:space="preserve"> </w:t>
      </w:r>
      <w:r w:rsidR="005A64A6" w:rsidRPr="00E63E1C">
        <w:rPr>
          <w:bCs/>
          <w:lang w:val="en-GB"/>
        </w:rPr>
        <w:t>determined</w:t>
      </w:r>
      <w:r w:rsidR="005A64A6" w:rsidRPr="00E63E1C">
        <w:rPr>
          <w:lang w:val="en-GB"/>
        </w:rPr>
        <w:t xml:space="preserve"> </w:t>
      </w:r>
      <w:r w:rsidRPr="00E63E1C">
        <w:rPr>
          <w:bCs/>
          <w:lang w:val="en-GB"/>
        </w:rPr>
        <w:t>total lipid (</w:t>
      </w:r>
      <w:r w:rsidRPr="00E63E1C">
        <w:rPr>
          <w:lang w:val="en-GB"/>
        </w:rPr>
        <w:t>squares), tri</w:t>
      </w:r>
      <w:r w:rsidR="00AE2D1B" w:rsidRPr="00E63E1C">
        <w:rPr>
          <w:lang w:val="en-GB"/>
        </w:rPr>
        <w:t>acylglycerol</w:t>
      </w:r>
      <w:r w:rsidRPr="00E63E1C">
        <w:rPr>
          <w:lang w:val="en-GB"/>
        </w:rPr>
        <w:t xml:space="preserve"> (TG) (circles), di</w:t>
      </w:r>
      <w:r w:rsidR="00AE2D1B" w:rsidRPr="00E63E1C">
        <w:rPr>
          <w:lang w:val="en-GB"/>
        </w:rPr>
        <w:t>acylglycerol</w:t>
      </w:r>
      <w:r w:rsidRPr="00E63E1C">
        <w:rPr>
          <w:lang w:val="en-GB"/>
        </w:rPr>
        <w:t xml:space="preserve"> (DG) (up</w:t>
      </w:r>
      <w:r w:rsidR="00D93DD6" w:rsidRPr="00E63E1C">
        <w:rPr>
          <w:lang w:val="en-GB"/>
        </w:rPr>
        <w:t>ward</w:t>
      </w:r>
      <w:r w:rsidRPr="00E63E1C">
        <w:rPr>
          <w:lang w:val="en-GB"/>
        </w:rPr>
        <w:t xml:space="preserve"> triangles), mono</w:t>
      </w:r>
      <w:r w:rsidR="00AE2D1B" w:rsidRPr="00E63E1C">
        <w:rPr>
          <w:lang w:val="en-GB"/>
        </w:rPr>
        <w:t>acylglycerol</w:t>
      </w:r>
      <w:r w:rsidRPr="00E63E1C">
        <w:rPr>
          <w:lang w:val="en-GB"/>
        </w:rPr>
        <w:t xml:space="preserve"> (MG) (</w:t>
      </w:r>
      <w:r w:rsidR="00D93DD6" w:rsidRPr="00E63E1C">
        <w:rPr>
          <w:lang w:val="en-GB"/>
        </w:rPr>
        <w:t>diamonds</w:t>
      </w:r>
      <w:r w:rsidRPr="00E63E1C">
        <w:rPr>
          <w:lang w:val="en-GB"/>
        </w:rPr>
        <w:t>) and free fatty acid (FFA) (stars) concentrations; (b) the contribution of TG (circles), DG (up triangles), MG (</w:t>
      </w:r>
      <w:r w:rsidR="00D93DD6" w:rsidRPr="00E63E1C">
        <w:rPr>
          <w:lang w:val="en-GB"/>
        </w:rPr>
        <w:t>diamonds</w:t>
      </w:r>
      <w:r w:rsidRPr="00E63E1C">
        <w:rPr>
          <w:lang w:val="en-GB"/>
        </w:rPr>
        <w:t xml:space="preserve">) and FFA (stars) to total lipids; (c) </w:t>
      </w:r>
      <w:r w:rsidR="007776CF" w:rsidRPr="00E63E1C">
        <w:rPr>
          <w:lang w:val="en-GB"/>
        </w:rPr>
        <w:t>particulate organic carbon</w:t>
      </w:r>
      <w:r w:rsidR="00D506AF" w:rsidRPr="00E63E1C">
        <w:rPr>
          <w:lang w:val="en-GB"/>
        </w:rPr>
        <w:t xml:space="preserve"> (POC)</w:t>
      </w:r>
      <w:r w:rsidRPr="00E63E1C">
        <w:rPr>
          <w:lang w:val="en-GB"/>
        </w:rPr>
        <w:t>; and (d) Lipolysis Index (LI).</w:t>
      </w:r>
    </w:p>
    <w:p w:rsidR="00F402CB" w:rsidRPr="00E63E1C" w:rsidRDefault="00F402CB" w:rsidP="00D93DD6">
      <w:pPr>
        <w:spacing w:after="120" w:line="360" w:lineRule="auto"/>
        <w:jc w:val="both"/>
        <w:rPr>
          <w:lang w:val="en-GB"/>
        </w:rPr>
      </w:pPr>
      <w:r w:rsidRPr="00E63E1C">
        <w:rPr>
          <w:lang w:val="en-GB"/>
        </w:rPr>
        <w:t xml:space="preserve">Fig. </w:t>
      </w:r>
      <w:r w:rsidR="007776CF" w:rsidRPr="00E63E1C">
        <w:rPr>
          <w:lang w:val="en-GB"/>
        </w:rPr>
        <w:t>3</w:t>
      </w:r>
      <w:r w:rsidRPr="00E63E1C">
        <w:rPr>
          <w:lang w:val="en-GB"/>
        </w:rPr>
        <w:t>. Cumulative signal magnitude (a, d), and relative abundance (b, e) and the contribution of each lipid class to the total lipid signal (c, f) as a function of sampling depth derived from positive (upper panels) and negative (lower panels) ion ESI FT-ICR MS. Lipid classes are denoted as (a-c) TG (</w:t>
      </w:r>
      <w:r w:rsidR="00D93DD6" w:rsidRPr="00E63E1C">
        <w:rPr>
          <w:lang w:val="en-GB"/>
        </w:rPr>
        <w:t>diamonds</w:t>
      </w:r>
      <w:r w:rsidRPr="00E63E1C">
        <w:rPr>
          <w:lang w:val="en-GB"/>
        </w:rPr>
        <w:t xml:space="preserve">), oddTG (stars), DG (right triangles), MG (down triangles), and (d-f) unsaturated fatty acids (UFA) (up triangles), branched fatty acids (BrFA) (squares) and saturated fatty acids (SAFA) (circles). </w:t>
      </w:r>
    </w:p>
    <w:p w:rsidR="00F402CB" w:rsidRPr="00E63E1C" w:rsidRDefault="00F402CB" w:rsidP="00D93DD6">
      <w:pPr>
        <w:spacing w:after="120" w:line="360" w:lineRule="auto"/>
        <w:jc w:val="both"/>
        <w:rPr>
          <w:lang w:val="en-GB"/>
        </w:rPr>
      </w:pPr>
      <w:r w:rsidRPr="00E63E1C">
        <w:rPr>
          <w:lang w:val="en-GB"/>
        </w:rPr>
        <w:t xml:space="preserve">Fig. </w:t>
      </w:r>
      <w:r w:rsidR="007776CF" w:rsidRPr="00E63E1C">
        <w:rPr>
          <w:lang w:val="en-GB"/>
        </w:rPr>
        <w:t>4</w:t>
      </w:r>
      <w:r w:rsidRPr="00E63E1C">
        <w:rPr>
          <w:lang w:val="en-GB"/>
        </w:rPr>
        <w:t>. Number (No.) of lipid elemental compositions that correspond to given lipid classes as a function of sampling depth for (a) TG (</w:t>
      </w:r>
      <w:r w:rsidR="00D93DD6" w:rsidRPr="00E63E1C">
        <w:rPr>
          <w:lang w:val="en-GB"/>
        </w:rPr>
        <w:t>diamonds</w:t>
      </w:r>
      <w:r w:rsidRPr="00E63E1C">
        <w:rPr>
          <w:lang w:val="en-GB"/>
        </w:rPr>
        <w:t>), oddTG (stars), DG (right triangles) and MG (down triangles); and (b) UFA (up triangles), BrFA (squares) and SAFA (circles).</w:t>
      </w:r>
    </w:p>
    <w:p w:rsidR="00F402CB" w:rsidRPr="00E63E1C" w:rsidRDefault="00F402CB" w:rsidP="00662E46">
      <w:pPr>
        <w:spacing w:after="120" w:line="360" w:lineRule="auto"/>
        <w:jc w:val="both"/>
        <w:rPr>
          <w:lang w:val="en-GB"/>
        </w:rPr>
      </w:pPr>
      <w:r w:rsidRPr="00E63E1C">
        <w:rPr>
          <w:lang w:val="en-GB"/>
        </w:rPr>
        <w:t xml:space="preserve">Fig. </w:t>
      </w:r>
      <w:r w:rsidR="007776CF" w:rsidRPr="00E63E1C">
        <w:rPr>
          <w:lang w:val="en-GB"/>
        </w:rPr>
        <w:t>5</w:t>
      </w:r>
      <w:r w:rsidRPr="00E63E1C">
        <w:rPr>
          <w:lang w:val="en-GB"/>
        </w:rPr>
        <w:t>. Average molecular mass (Da) (a, c); and acyl carbon number (No.) (b, d) as a function of sampling depth for (a, b) TG (</w:t>
      </w:r>
      <w:r w:rsidR="00D93DD6" w:rsidRPr="00E63E1C">
        <w:rPr>
          <w:lang w:val="en-GB"/>
        </w:rPr>
        <w:t>diamonds</w:t>
      </w:r>
      <w:r w:rsidRPr="00E63E1C">
        <w:rPr>
          <w:lang w:val="en-GB"/>
        </w:rPr>
        <w:t xml:space="preserve">), oddTG (stars), DG (right triangles), MG (down triangles), and (c, d) unsaturated fatty acids (UFA) (up triangles), branched fatty acids (BrFA) (squares) and saturated fatty acids (SAFA) (circles). The average carbon number per acyl chain for TG, oddTG, DG and MG are calculated by subtracting three carbon atoms (for the </w:t>
      </w:r>
      <w:r w:rsidR="00662E46" w:rsidRPr="00E63E1C">
        <w:rPr>
          <w:lang w:val="en-GB"/>
        </w:rPr>
        <w:t>backbone</w:t>
      </w:r>
      <w:r w:rsidRPr="00E63E1C">
        <w:rPr>
          <w:lang w:val="en-GB"/>
        </w:rPr>
        <w:t>) from the total carbon number and dividing by the number of acyl chains in the lipid molecule.</w:t>
      </w:r>
    </w:p>
    <w:p w:rsidR="00F402CB" w:rsidRPr="00E63E1C" w:rsidRDefault="00F402CB" w:rsidP="00D93DD6">
      <w:pPr>
        <w:spacing w:after="120" w:line="360" w:lineRule="auto"/>
        <w:jc w:val="both"/>
        <w:rPr>
          <w:lang w:val="en-GB"/>
        </w:rPr>
      </w:pPr>
      <w:r w:rsidRPr="00E63E1C">
        <w:rPr>
          <w:lang w:val="en-GB"/>
        </w:rPr>
        <w:t xml:space="preserve">Fig. </w:t>
      </w:r>
      <w:r w:rsidR="007776CF" w:rsidRPr="00E63E1C">
        <w:rPr>
          <w:lang w:val="en-GB"/>
        </w:rPr>
        <w:t>6</w:t>
      </w:r>
      <w:r w:rsidRPr="00E63E1C">
        <w:rPr>
          <w:lang w:val="en-GB"/>
        </w:rPr>
        <w:t>. Double bond equivalents (DBE) as a function of sampling depth of (a) TG (</w:t>
      </w:r>
      <w:r w:rsidR="00D93DD6" w:rsidRPr="00E63E1C">
        <w:rPr>
          <w:lang w:val="en-GB"/>
        </w:rPr>
        <w:t>diamonds</w:t>
      </w:r>
      <w:r w:rsidRPr="00E63E1C">
        <w:rPr>
          <w:lang w:val="en-GB"/>
        </w:rPr>
        <w:t>), oddTG (stars), DG (right triangles) and MG (down triangles), and (b) UFA (up triangles), and BrFA (squares). Acyl DBE for TG and oddTG are calculated by subtracting 3 DBE from the total DBE calculated from the molecular formula. Acyl DBE for DG and MG are calculated by subtracting 2 and 1 DBE, respectively from the total DBE.</w:t>
      </w:r>
    </w:p>
    <w:p w:rsidR="00CC41D7" w:rsidRPr="00E63E1C" w:rsidRDefault="00CC41D7" w:rsidP="00CC41D7">
      <w:pPr>
        <w:spacing w:after="120"/>
        <w:jc w:val="both"/>
        <w:rPr>
          <w:lang w:val="en-GB"/>
        </w:rPr>
      </w:pPr>
      <w:r w:rsidRPr="00E63E1C">
        <w:rPr>
          <w:lang w:val="en-GB"/>
        </w:rPr>
        <w:br w:type="page"/>
      </w:r>
      <w:r w:rsidRPr="00E63E1C">
        <w:rPr>
          <w:lang w:val="en-GB"/>
        </w:rPr>
        <w:lastRenderedPageBreak/>
        <w:t>Table 1. The elemental composition, average carbon number and average double bond equivalents (DBE) of the acyl groups, and their contribution to the class for the most abundant lipids found at epipelagic (0-200 m) and below epipelagic (200-4800 m) zone. Bold formulae are observed dominant in the whole water column.</w:t>
      </w:r>
    </w:p>
    <w:p w:rsidR="00CC41D7" w:rsidRPr="00E63E1C" w:rsidRDefault="00CC41D7" w:rsidP="00CC41D7">
      <w:pPr>
        <w:spacing w:after="120"/>
        <w:rPr>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1260"/>
        <w:gridCol w:w="720"/>
        <w:gridCol w:w="900"/>
        <w:gridCol w:w="1350"/>
        <w:gridCol w:w="1350"/>
        <w:gridCol w:w="720"/>
        <w:gridCol w:w="900"/>
        <w:gridCol w:w="1350"/>
      </w:tblGrid>
      <w:tr w:rsidR="00CC41D7" w:rsidRPr="00E63E1C" w:rsidTr="00B138A3">
        <w:tc>
          <w:tcPr>
            <w:tcW w:w="918" w:type="dxa"/>
            <w:vMerge w:val="restart"/>
            <w:shd w:val="clear" w:color="auto" w:fill="auto"/>
          </w:tcPr>
          <w:p w:rsidR="00CC41D7" w:rsidRPr="00E63E1C" w:rsidRDefault="00CC41D7" w:rsidP="00B138A3">
            <w:pPr>
              <w:spacing w:after="120"/>
              <w:jc w:val="both"/>
              <w:rPr>
                <w:sz w:val="22"/>
                <w:szCs w:val="22"/>
                <w:lang w:val="en-GB"/>
              </w:rPr>
            </w:pPr>
          </w:p>
        </w:tc>
        <w:tc>
          <w:tcPr>
            <w:tcW w:w="1260" w:type="dxa"/>
            <w:shd w:val="clear" w:color="auto" w:fill="auto"/>
          </w:tcPr>
          <w:p w:rsidR="00CC41D7" w:rsidRPr="00E63E1C" w:rsidRDefault="00CC41D7" w:rsidP="00B138A3">
            <w:pPr>
              <w:spacing w:after="120"/>
              <w:jc w:val="center"/>
              <w:rPr>
                <w:sz w:val="22"/>
                <w:szCs w:val="22"/>
                <w:lang w:val="en-GB"/>
              </w:rPr>
            </w:pPr>
            <w:r w:rsidRPr="00E63E1C">
              <w:rPr>
                <w:sz w:val="22"/>
                <w:szCs w:val="22"/>
                <w:lang w:val="en-GB"/>
              </w:rPr>
              <w:t>Elemental composition</w:t>
            </w:r>
          </w:p>
        </w:tc>
        <w:tc>
          <w:tcPr>
            <w:tcW w:w="720" w:type="dxa"/>
            <w:shd w:val="clear" w:color="auto" w:fill="auto"/>
          </w:tcPr>
          <w:p w:rsidR="00CC41D7" w:rsidRPr="00E63E1C" w:rsidRDefault="00CC41D7" w:rsidP="00B138A3">
            <w:pPr>
              <w:spacing w:after="120"/>
              <w:jc w:val="center"/>
              <w:rPr>
                <w:sz w:val="22"/>
                <w:szCs w:val="22"/>
                <w:vertAlign w:val="superscript"/>
                <w:lang w:val="en-GB"/>
              </w:rPr>
            </w:pPr>
            <w:r w:rsidRPr="00E63E1C">
              <w:rPr>
                <w:sz w:val="22"/>
                <w:szCs w:val="22"/>
                <w:lang w:val="en-GB"/>
              </w:rPr>
              <w:t>Acyl DBE</w:t>
            </w:r>
          </w:p>
        </w:tc>
        <w:tc>
          <w:tcPr>
            <w:tcW w:w="900" w:type="dxa"/>
          </w:tcPr>
          <w:p w:rsidR="00CC41D7" w:rsidRPr="00E63E1C" w:rsidRDefault="00CC41D7" w:rsidP="00B138A3">
            <w:pPr>
              <w:spacing w:after="120"/>
              <w:jc w:val="center"/>
              <w:rPr>
                <w:sz w:val="22"/>
                <w:szCs w:val="22"/>
                <w:lang w:val="en-GB"/>
              </w:rPr>
            </w:pPr>
            <w:r w:rsidRPr="00E63E1C">
              <w:rPr>
                <w:sz w:val="22"/>
                <w:szCs w:val="22"/>
                <w:lang w:val="en-GB"/>
              </w:rPr>
              <w:t xml:space="preserve">Acyl C number </w:t>
            </w:r>
          </w:p>
        </w:tc>
        <w:tc>
          <w:tcPr>
            <w:tcW w:w="1350" w:type="dxa"/>
            <w:shd w:val="clear" w:color="auto" w:fill="auto"/>
          </w:tcPr>
          <w:p w:rsidR="00CC41D7" w:rsidRPr="00E63E1C" w:rsidRDefault="00CC41D7" w:rsidP="00B138A3">
            <w:pPr>
              <w:spacing w:after="120"/>
              <w:jc w:val="center"/>
              <w:rPr>
                <w:sz w:val="22"/>
                <w:szCs w:val="22"/>
                <w:lang w:val="en-GB"/>
              </w:rPr>
            </w:pPr>
            <w:r w:rsidRPr="00E63E1C">
              <w:rPr>
                <w:sz w:val="22"/>
                <w:szCs w:val="22"/>
                <w:lang w:val="en-GB"/>
              </w:rPr>
              <w:t>Contribution to the lipid class (%)</w:t>
            </w:r>
          </w:p>
        </w:tc>
        <w:tc>
          <w:tcPr>
            <w:tcW w:w="1350" w:type="dxa"/>
            <w:shd w:val="clear" w:color="auto" w:fill="auto"/>
          </w:tcPr>
          <w:p w:rsidR="00CC41D7" w:rsidRPr="00E63E1C" w:rsidRDefault="00CC41D7" w:rsidP="00B138A3">
            <w:pPr>
              <w:spacing w:after="120"/>
              <w:jc w:val="center"/>
              <w:rPr>
                <w:sz w:val="22"/>
                <w:szCs w:val="22"/>
                <w:lang w:val="en-GB"/>
              </w:rPr>
            </w:pPr>
            <w:r w:rsidRPr="00E63E1C">
              <w:rPr>
                <w:sz w:val="22"/>
                <w:szCs w:val="22"/>
                <w:lang w:val="en-GB"/>
              </w:rPr>
              <w:t>Elemental composition</w:t>
            </w:r>
          </w:p>
        </w:tc>
        <w:tc>
          <w:tcPr>
            <w:tcW w:w="720" w:type="dxa"/>
            <w:shd w:val="clear" w:color="auto" w:fill="auto"/>
          </w:tcPr>
          <w:p w:rsidR="00CC41D7" w:rsidRPr="00E63E1C" w:rsidRDefault="00CC41D7" w:rsidP="00B138A3">
            <w:pPr>
              <w:spacing w:after="120"/>
              <w:jc w:val="center"/>
              <w:rPr>
                <w:sz w:val="22"/>
                <w:szCs w:val="22"/>
                <w:lang w:val="en-GB"/>
              </w:rPr>
            </w:pPr>
            <w:r w:rsidRPr="00E63E1C">
              <w:rPr>
                <w:sz w:val="22"/>
                <w:szCs w:val="22"/>
                <w:lang w:val="en-GB"/>
              </w:rPr>
              <w:t>Acyl DBE</w:t>
            </w:r>
          </w:p>
        </w:tc>
        <w:tc>
          <w:tcPr>
            <w:tcW w:w="900" w:type="dxa"/>
          </w:tcPr>
          <w:p w:rsidR="00CC41D7" w:rsidRPr="00E63E1C" w:rsidRDefault="00CC41D7" w:rsidP="00B138A3">
            <w:pPr>
              <w:spacing w:after="120"/>
              <w:jc w:val="center"/>
              <w:rPr>
                <w:sz w:val="22"/>
                <w:szCs w:val="22"/>
                <w:lang w:val="en-GB"/>
              </w:rPr>
            </w:pPr>
            <w:r w:rsidRPr="00E63E1C">
              <w:rPr>
                <w:sz w:val="22"/>
                <w:szCs w:val="22"/>
                <w:lang w:val="en-GB"/>
              </w:rPr>
              <w:t>Acyl C number</w:t>
            </w:r>
          </w:p>
        </w:tc>
        <w:tc>
          <w:tcPr>
            <w:tcW w:w="1350" w:type="dxa"/>
            <w:shd w:val="clear" w:color="auto" w:fill="auto"/>
          </w:tcPr>
          <w:p w:rsidR="00CC41D7" w:rsidRPr="00E63E1C" w:rsidRDefault="00CC41D7" w:rsidP="00B138A3">
            <w:pPr>
              <w:spacing w:after="120"/>
              <w:jc w:val="center"/>
              <w:rPr>
                <w:sz w:val="22"/>
                <w:szCs w:val="22"/>
                <w:lang w:val="en-GB"/>
              </w:rPr>
            </w:pPr>
            <w:r w:rsidRPr="00E63E1C">
              <w:rPr>
                <w:sz w:val="22"/>
                <w:szCs w:val="22"/>
                <w:lang w:val="en-GB"/>
              </w:rPr>
              <w:t>Contribution to the lipid class (%)</w:t>
            </w:r>
          </w:p>
        </w:tc>
      </w:tr>
      <w:tr w:rsidR="00CC41D7" w:rsidRPr="00E63E1C" w:rsidTr="00B138A3">
        <w:tc>
          <w:tcPr>
            <w:tcW w:w="918" w:type="dxa"/>
            <w:vMerge/>
            <w:shd w:val="clear" w:color="auto" w:fill="auto"/>
          </w:tcPr>
          <w:p w:rsidR="00CC41D7" w:rsidRPr="00E63E1C" w:rsidRDefault="00CC41D7" w:rsidP="00B138A3">
            <w:pPr>
              <w:jc w:val="both"/>
              <w:rPr>
                <w:sz w:val="22"/>
                <w:szCs w:val="22"/>
                <w:lang w:val="en-GB"/>
              </w:rPr>
            </w:pPr>
          </w:p>
        </w:tc>
        <w:tc>
          <w:tcPr>
            <w:tcW w:w="4230" w:type="dxa"/>
            <w:gridSpan w:val="4"/>
            <w:shd w:val="clear" w:color="auto" w:fill="auto"/>
          </w:tcPr>
          <w:p w:rsidR="00CC41D7" w:rsidRPr="00E63E1C" w:rsidRDefault="00CC41D7" w:rsidP="00B138A3">
            <w:pPr>
              <w:rPr>
                <w:sz w:val="22"/>
                <w:szCs w:val="22"/>
                <w:lang w:val="en-GB"/>
              </w:rPr>
            </w:pPr>
            <w:r w:rsidRPr="00E63E1C">
              <w:rPr>
                <w:sz w:val="22"/>
                <w:szCs w:val="22"/>
                <w:lang w:val="en-GB"/>
              </w:rPr>
              <w:t>0-200 m</w:t>
            </w:r>
          </w:p>
        </w:tc>
        <w:tc>
          <w:tcPr>
            <w:tcW w:w="4320" w:type="dxa"/>
            <w:gridSpan w:val="4"/>
            <w:shd w:val="clear" w:color="auto" w:fill="auto"/>
          </w:tcPr>
          <w:p w:rsidR="00CC41D7" w:rsidRPr="00E63E1C" w:rsidRDefault="00CC41D7" w:rsidP="00B138A3">
            <w:pPr>
              <w:rPr>
                <w:sz w:val="22"/>
                <w:szCs w:val="22"/>
                <w:lang w:val="en-GB"/>
              </w:rPr>
            </w:pPr>
            <w:r w:rsidRPr="00E63E1C">
              <w:rPr>
                <w:sz w:val="22"/>
                <w:szCs w:val="22"/>
                <w:lang w:val="en-GB"/>
              </w:rPr>
              <w:t>200-4800 m</w:t>
            </w:r>
          </w:p>
        </w:tc>
      </w:tr>
      <w:tr w:rsidR="00CC41D7" w:rsidRPr="00E63E1C" w:rsidTr="00B138A3">
        <w:trPr>
          <w:cantSplit/>
          <w:trHeight w:val="863"/>
        </w:trPr>
        <w:tc>
          <w:tcPr>
            <w:tcW w:w="918" w:type="dxa"/>
            <w:shd w:val="clear" w:color="auto" w:fill="auto"/>
          </w:tcPr>
          <w:p w:rsidR="00CC41D7" w:rsidRPr="00E63E1C" w:rsidRDefault="00CC41D7" w:rsidP="00B138A3">
            <w:pPr>
              <w:jc w:val="both"/>
              <w:rPr>
                <w:sz w:val="22"/>
                <w:szCs w:val="22"/>
                <w:lang w:val="en-GB"/>
              </w:rPr>
            </w:pPr>
            <w:r w:rsidRPr="00E63E1C">
              <w:rPr>
                <w:sz w:val="22"/>
                <w:szCs w:val="22"/>
                <w:lang w:val="en-GB"/>
              </w:rPr>
              <w:t>TG</w:t>
            </w:r>
          </w:p>
        </w:tc>
        <w:tc>
          <w:tcPr>
            <w:tcW w:w="1260" w:type="dxa"/>
            <w:shd w:val="clear" w:color="auto" w:fill="auto"/>
          </w:tcPr>
          <w:p w:rsidR="00CC41D7" w:rsidRPr="00E63E1C" w:rsidRDefault="00CC41D7" w:rsidP="00B138A3">
            <w:pPr>
              <w:jc w:val="center"/>
              <w:rPr>
                <w:sz w:val="22"/>
                <w:szCs w:val="22"/>
                <w:lang w:val="en-GB"/>
              </w:rPr>
            </w:pPr>
          </w:p>
          <w:p w:rsidR="00CC41D7" w:rsidRPr="00E63E1C" w:rsidRDefault="00CC41D7" w:rsidP="00B138A3">
            <w:pPr>
              <w:jc w:val="center"/>
              <w:rPr>
                <w:b/>
                <w:sz w:val="22"/>
                <w:szCs w:val="22"/>
                <w:lang w:val="en-GB"/>
              </w:rPr>
            </w:pPr>
            <w:r w:rsidRPr="00E63E1C">
              <w:rPr>
                <w:b/>
                <w:sz w:val="22"/>
                <w:szCs w:val="22"/>
                <w:lang w:val="en-GB"/>
              </w:rPr>
              <w:t>C</w:t>
            </w:r>
            <w:r w:rsidRPr="00E63E1C">
              <w:rPr>
                <w:b/>
                <w:sz w:val="22"/>
                <w:szCs w:val="22"/>
                <w:vertAlign w:val="subscript"/>
                <w:lang w:val="en-GB"/>
              </w:rPr>
              <w:t>49</w:t>
            </w:r>
            <w:r w:rsidRPr="00E63E1C">
              <w:rPr>
                <w:b/>
                <w:sz w:val="22"/>
                <w:szCs w:val="22"/>
                <w:lang w:val="en-GB"/>
              </w:rPr>
              <w:t>H</w:t>
            </w:r>
            <w:r w:rsidRPr="00E63E1C">
              <w:rPr>
                <w:b/>
                <w:sz w:val="22"/>
                <w:szCs w:val="22"/>
                <w:vertAlign w:val="subscript"/>
                <w:lang w:val="en-GB"/>
              </w:rPr>
              <w:t>92</w:t>
            </w:r>
            <w:r w:rsidRPr="00E63E1C">
              <w:rPr>
                <w:b/>
                <w:sz w:val="22"/>
                <w:szCs w:val="22"/>
                <w:lang w:val="en-GB"/>
              </w:rPr>
              <w:t>O</w:t>
            </w:r>
            <w:r w:rsidRPr="00E63E1C">
              <w:rPr>
                <w:b/>
                <w:sz w:val="22"/>
                <w:szCs w:val="22"/>
                <w:vertAlign w:val="subscript"/>
                <w:lang w:val="en-GB"/>
              </w:rPr>
              <w:t>6</w:t>
            </w:r>
          </w:p>
          <w:p w:rsidR="00CC41D7" w:rsidRPr="00E63E1C" w:rsidRDefault="00CC41D7" w:rsidP="00B138A3">
            <w:pPr>
              <w:jc w:val="center"/>
              <w:rPr>
                <w:b/>
                <w:sz w:val="22"/>
                <w:szCs w:val="22"/>
                <w:lang w:val="en-GB"/>
              </w:rPr>
            </w:pPr>
            <w:r w:rsidRPr="00E63E1C">
              <w:rPr>
                <w:b/>
                <w:sz w:val="22"/>
                <w:szCs w:val="22"/>
                <w:lang w:val="en-GB"/>
              </w:rPr>
              <w:t>C</w:t>
            </w:r>
            <w:r w:rsidRPr="00E63E1C">
              <w:rPr>
                <w:b/>
                <w:sz w:val="22"/>
                <w:szCs w:val="22"/>
                <w:vertAlign w:val="subscript"/>
                <w:lang w:val="en-GB"/>
              </w:rPr>
              <w:t>51</w:t>
            </w:r>
            <w:r w:rsidRPr="00E63E1C">
              <w:rPr>
                <w:b/>
                <w:sz w:val="22"/>
                <w:szCs w:val="22"/>
                <w:lang w:val="en-GB"/>
              </w:rPr>
              <w:t>H</w:t>
            </w:r>
            <w:r w:rsidRPr="00E63E1C">
              <w:rPr>
                <w:b/>
                <w:sz w:val="22"/>
                <w:szCs w:val="22"/>
                <w:vertAlign w:val="subscript"/>
                <w:lang w:val="en-GB"/>
              </w:rPr>
              <w:t>96</w:t>
            </w:r>
            <w:r w:rsidRPr="00E63E1C">
              <w:rPr>
                <w:b/>
                <w:sz w:val="22"/>
                <w:szCs w:val="22"/>
                <w:lang w:val="en-GB"/>
              </w:rPr>
              <w:t>O</w:t>
            </w:r>
            <w:r w:rsidRPr="00E63E1C">
              <w:rPr>
                <w:b/>
                <w:sz w:val="22"/>
                <w:szCs w:val="22"/>
                <w:vertAlign w:val="subscript"/>
                <w:lang w:val="en-GB"/>
              </w:rPr>
              <w:t>6</w:t>
            </w:r>
          </w:p>
          <w:p w:rsidR="00CC41D7" w:rsidRPr="00E63E1C" w:rsidRDefault="00CC41D7" w:rsidP="00B138A3">
            <w:pPr>
              <w:jc w:val="center"/>
              <w:rPr>
                <w:sz w:val="22"/>
                <w:szCs w:val="22"/>
                <w:lang w:val="en-GB"/>
              </w:rPr>
            </w:pPr>
            <w:r w:rsidRPr="00E63E1C">
              <w:rPr>
                <w:sz w:val="22"/>
                <w:szCs w:val="22"/>
                <w:lang w:val="en-GB"/>
              </w:rPr>
              <w:t>C</w:t>
            </w:r>
            <w:r w:rsidRPr="00E63E1C">
              <w:rPr>
                <w:sz w:val="22"/>
                <w:szCs w:val="22"/>
                <w:vertAlign w:val="subscript"/>
                <w:lang w:val="en-GB"/>
              </w:rPr>
              <w:t>53</w:t>
            </w:r>
            <w:r w:rsidRPr="00E63E1C">
              <w:rPr>
                <w:sz w:val="22"/>
                <w:szCs w:val="22"/>
                <w:lang w:val="en-GB"/>
              </w:rPr>
              <w:t>H</w:t>
            </w:r>
            <w:r w:rsidRPr="00E63E1C">
              <w:rPr>
                <w:sz w:val="22"/>
                <w:szCs w:val="22"/>
                <w:vertAlign w:val="subscript"/>
                <w:lang w:val="en-GB"/>
              </w:rPr>
              <w:t>100</w:t>
            </w:r>
            <w:r w:rsidRPr="00E63E1C">
              <w:rPr>
                <w:sz w:val="22"/>
                <w:szCs w:val="22"/>
                <w:lang w:val="en-GB"/>
              </w:rPr>
              <w:t>O</w:t>
            </w:r>
            <w:r w:rsidRPr="00E63E1C">
              <w:rPr>
                <w:sz w:val="22"/>
                <w:szCs w:val="22"/>
                <w:vertAlign w:val="subscript"/>
                <w:lang w:val="en-GB"/>
              </w:rPr>
              <w:t>6</w:t>
            </w:r>
          </w:p>
        </w:tc>
        <w:tc>
          <w:tcPr>
            <w:tcW w:w="720" w:type="dxa"/>
            <w:shd w:val="clear" w:color="auto" w:fill="auto"/>
          </w:tcPr>
          <w:p w:rsidR="00CC41D7" w:rsidRPr="00E63E1C" w:rsidRDefault="00CC41D7" w:rsidP="00B138A3">
            <w:pPr>
              <w:jc w:val="center"/>
              <w:rPr>
                <w:sz w:val="22"/>
                <w:szCs w:val="22"/>
                <w:lang w:val="en-GB"/>
              </w:rPr>
            </w:pPr>
          </w:p>
          <w:p w:rsidR="00CC41D7" w:rsidRPr="00E63E1C" w:rsidRDefault="00CC41D7" w:rsidP="00B138A3">
            <w:pPr>
              <w:jc w:val="center"/>
              <w:rPr>
                <w:sz w:val="22"/>
                <w:szCs w:val="22"/>
                <w:lang w:val="en-GB"/>
              </w:rPr>
            </w:pPr>
            <w:r w:rsidRPr="00E63E1C">
              <w:rPr>
                <w:sz w:val="22"/>
                <w:szCs w:val="22"/>
                <w:lang w:val="en-GB"/>
              </w:rPr>
              <w:t>1</w:t>
            </w:r>
          </w:p>
          <w:p w:rsidR="00CC41D7" w:rsidRPr="00E63E1C" w:rsidRDefault="00CC41D7" w:rsidP="00B138A3">
            <w:pPr>
              <w:jc w:val="center"/>
              <w:rPr>
                <w:sz w:val="22"/>
                <w:szCs w:val="22"/>
                <w:lang w:val="en-GB"/>
              </w:rPr>
            </w:pPr>
            <w:r w:rsidRPr="00E63E1C">
              <w:rPr>
                <w:sz w:val="22"/>
                <w:szCs w:val="22"/>
                <w:lang w:val="en-GB"/>
              </w:rPr>
              <w:t>1</w:t>
            </w:r>
          </w:p>
          <w:p w:rsidR="00CC41D7" w:rsidRPr="00E63E1C" w:rsidRDefault="00CC41D7" w:rsidP="00B138A3">
            <w:pPr>
              <w:jc w:val="center"/>
              <w:rPr>
                <w:sz w:val="22"/>
                <w:szCs w:val="22"/>
                <w:lang w:val="en-GB"/>
              </w:rPr>
            </w:pPr>
            <w:r w:rsidRPr="00E63E1C">
              <w:rPr>
                <w:sz w:val="22"/>
                <w:szCs w:val="22"/>
                <w:lang w:val="en-GB"/>
              </w:rPr>
              <w:t>1</w:t>
            </w:r>
          </w:p>
        </w:tc>
        <w:tc>
          <w:tcPr>
            <w:tcW w:w="900" w:type="dxa"/>
          </w:tcPr>
          <w:p w:rsidR="00CC41D7" w:rsidRPr="00E63E1C" w:rsidRDefault="00CC41D7" w:rsidP="00B138A3">
            <w:pPr>
              <w:jc w:val="center"/>
              <w:rPr>
                <w:sz w:val="22"/>
                <w:szCs w:val="22"/>
                <w:lang w:val="en-GB"/>
              </w:rPr>
            </w:pPr>
          </w:p>
          <w:p w:rsidR="00CC41D7" w:rsidRPr="00E63E1C" w:rsidRDefault="00CC41D7" w:rsidP="00B138A3">
            <w:pPr>
              <w:jc w:val="center"/>
              <w:rPr>
                <w:sz w:val="22"/>
                <w:szCs w:val="22"/>
                <w:lang w:val="en-GB"/>
              </w:rPr>
            </w:pPr>
            <w:r w:rsidRPr="00E63E1C">
              <w:rPr>
                <w:sz w:val="22"/>
                <w:szCs w:val="22"/>
                <w:lang w:val="en-GB"/>
              </w:rPr>
              <w:t>15.3</w:t>
            </w:r>
          </w:p>
          <w:p w:rsidR="00CC41D7" w:rsidRPr="00E63E1C" w:rsidRDefault="00CC41D7" w:rsidP="00B138A3">
            <w:pPr>
              <w:jc w:val="center"/>
              <w:rPr>
                <w:sz w:val="22"/>
                <w:szCs w:val="22"/>
                <w:lang w:val="en-GB"/>
              </w:rPr>
            </w:pPr>
            <w:r w:rsidRPr="00E63E1C">
              <w:rPr>
                <w:sz w:val="22"/>
                <w:szCs w:val="22"/>
                <w:lang w:val="en-GB"/>
              </w:rPr>
              <w:t>16</w:t>
            </w:r>
          </w:p>
          <w:p w:rsidR="00CC41D7" w:rsidRPr="00E63E1C" w:rsidRDefault="00CC41D7" w:rsidP="00B138A3">
            <w:pPr>
              <w:jc w:val="center"/>
              <w:rPr>
                <w:sz w:val="22"/>
                <w:szCs w:val="22"/>
                <w:lang w:val="en-GB"/>
              </w:rPr>
            </w:pPr>
            <w:r w:rsidRPr="00E63E1C">
              <w:rPr>
                <w:sz w:val="22"/>
                <w:szCs w:val="22"/>
                <w:lang w:val="en-GB"/>
              </w:rPr>
              <w:t>16.7</w:t>
            </w:r>
          </w:p>
        </w:tc>
        <w:tc>
          <w:tcPr>
            <w:tcW w:w="1350" w:type="dxa"/>
            <w:shd w:val="clear" w:color="auto" w:fill="auto"/>
          </w:tcPr>
          <w:p w:rsidR="00CC41D7" w:rsidRPr="00E63E1C" w:rsidRDefault="00CC41D7" w:rsidP="00B138A3">
            <w:pPr>
              <w:jc w:val="center"/>
              <w:rPr>
                <w:sz w:val="22"/>
                <w:szCs w:val="22"/>
                <w:lang w:val="en-GB"/>
              </w:rPr>
            </w:pPr>
          </w:p>
          <w:p w:rsidR="00CC41D7" w:rsidRPr="00E63E1C" w:rsidRDefault="00CC41D7" w:rsidP="00B138A3">
            <w:pPr>
              <w:jc w:val="center"/>
              <w:rPr>
                <w:sz w:val="22"/>
                <w:szCs w:val="22"/>
                <w:lang w:val="en-GB"/>
              </w:rPr>
            </w:pPr>
          </w:p>
          <w:p w:rsidR="00CC41D7" w:rsidRPr="00E63E1C" w:rsidRDefault="00CC41D7" w:rsidP="00B138A3">
            <w:pPr>
              <w:jc w:val="center"/>
              <w:rPr>
                <w:sz w:val="22"/>
                <w:szCs w:val="22"/>
                <w:lang w:val="en-GB"/>
              </w:rPr>
            </w:pPr>
            <w:r w:rsidRPr="00E63E1C">
              <w:rPr>
                <w:sz w:val="22"/>
                <w:szCs w:val="22"/>
                <w:lang w:val="en-GB"/>
              </w:rPr>
              <w:t>14-25</w:t>
            </w:r>
          </w:p>
        </w:tc>
        <w:tc>
          <w:tcPr>
            <w:tcW w:w="1350" w:type="dxa"/>
            <w:shd w:val="clear" w:color="auto" w:fill="auto"/>
          </w:tcPr>
          <w:p w:rsidR="00CC41D7" w:rsidRPr="00E63E1C" w:rsidRDefault="00CC41D7" w:rsidP="00B138A3">
            <w:pPr>
              <w:jc w:val="center"/>
              <w:rPr>
                <w:sz w:val="22"/>
                <w:szCs w:val="22"/>
                <w:lang w:val="en-GB"/>
              </w:rPr>
            </w:pPr>
            <w:r w:rsidRPr="00E63E1C">
              <w:rPr>
                <w:sz w:val="22"/>
                <w:szCs w:val="22"/>
                <w:lang w:val="en-GB"/>
              </w:rPr>
              <w:t>C</w:t>
            </w:r>
            <w:r w:rsidRPr="00E63E1C">
              <w:rPr>
                <w:sz w:val="22"/>
                <w:szCs w:val="22"/>
                <w:vertAlign w:val="subscript"/>
                <w:lang w:val="en-GB"/>
              </w:rPr>
              <w:t>9</w:t>
            </w:r>
            <w:r w:rsidRPr="00E63E1C">
              <w:rPr>
                <w:sz w:val="22"/>
                <w:szCs w:val="22"/>
                <w:lang w:val="en-GB"/>
              </w:rPr>
              <w:t>H</w:t>
            </w:r>
            <w:r w:rsidRPr="00E63E1C">
              <w:rPr>
                <w:sz w:val="22"/>
                <w:szCs w:val="22"/>
                <w:vertAlign w:val="subscript"/>
                <w:lang w:val="en-GB"/>
              </w:rPr>
              <w:t>14</w:t>
            </w:r>
            <w:r w:rsidRPr="00E63E1C">
              <w:rPr>
                <w:sz w:val="22"/>
                <w:szCs w:val="22"/>
                <w:lang w:val="en-GB"/>
              </w:rPr>
              <w:t>O</w:t>
            </w:r>
            <w:r w:rsidRPr="00E63E1C">
              <w:rPr>
                <w:sz w:val="22"/>
                <w:szCs w:val="22"/>
                <w:vertAlign w:val="subscript"/>
                <w:lang w:val="en-GB"/>
              </w:rPr>
              <w:t>6</w:t>
            </w:r>
          </w:p>
          <w:p w:rsidR="00CC41D7" w:rsidRPr="00E63E1C" w:rsidRDefault="00CC41D7" w:rsidP="00B138A3">
            <w:pPr>
              <w:jc w:val="center"/>
              <w:rPr>
                <w:b/>
                <w:sz w:val="22"/>
                <w:szCs w:val="22"/>
                <w:lang w:val="en-GB"/>
              </w:rPr>
            </w:pPr>
            <w:r w:rsidRPr="00E63E1C">
              <w:rPr>
                <w:b/>
                <w:sz w:val="22"/>
                <w:szCs w:val="22"/>
                <w:lang w:val="en-GB"/>
              </w:rPr>
              <w:t>C</w:t>
            </w:r>
            <w:r w:rsidRPr="00E63E1C">
              <w:rPr>
                <w:b/>
                <w:sz w:val="22"/>
                <w:szCs w:val="22"/>
                <w:vertAlign w:val="subscript"/>
                <w:lang w:val="en-GB"/>
              </w:rPr>
              <w:t>49</w:t>
            </w:r>
            <w:r w:rsidRPr="00E63E1C">
              <w:rPr>
                <w:b/>
                <w:sz w:val="22"/>
                <w:szCs w:val="22"/>
                <w:lang w:val="en-GB"/>
              </w:rPr>
              <w:t>H</w:t>
            </w:r>
            <w:r w:rsidRPr="00E63E1C">
              <w:rPr>
                <w:b/>
                <w:sz w:val="22"/>
                <w:szCs w:val="22"/>
                <w:vertAlign w:val="subscript"/>
                <w:lang w:val="en-GB"/>
              </w:rPr>
              <w:t>92</w:t>
            </w:r>
            <w:r w:rsidRPr="00E63E1C">
              <w:rPr>
                <w:b/>
                <w:sz w:val="22"/>
                <w:szCs w:val="22"/>
                <w:lang w:val="en-GB"/>
              </w:rPr>
              <w:t>O</w:t>
            </w:r>
            <w:r w:rsidRPr="00E63E1C">
              <w:rPr>
                <w:b/>
                <w:sz w:val="22"/>
                <w:szCs w:val="22"/>
                <w:vertAlign w:val="subscript"/>
                <w:lang w:val="en-GB"/>
              </w:rPr>
              <w:t>6</w:t>
            </w:r>
          </w:p>
          <w:p w:rsidR="00CC41D7" w:rsidRPr="00E63E1C" w:rsidRDefault="00CC41D7" w:rsidP="00B138A3">
            <w:pPr>
              <w:jc w:val="center"/>
              <w:rPr>
                <w:b/>
                <w:sz w:val="22"/>
                <w:szCs w:val="22"/>
                <w:lang w:val="en-GB"/>
              </w:rPr>
            </w:pPr>
            <w:r w:rsidRPr="00E63E1C">
              <w:rPr>
                <w:b/>
                <w:sz w:val="22"/>
                <w:szCs w:val="22"/>
                <w:lang w:val="en-GB"/>
              </w:rPr>
              <w:t>C</w:t>
            </w:r>
            <w:r w:rsidRPr="00E63E1C">
              <w:rPr>
                <w:b/>
                <w:sz w:val="22"/>
                <w:szCs w:val="22"/>
                <w:vertAlign w:val="subscript"/>
                <w:lang w:val="en-GB"/>
              </w:rPr>
              <w:t>51</w:t>
            </w:r>
            <w:r w:rsidRPr="00E63E1C">
              <w:rPr>
                <w:b/>
                <w:sz w:val="22"/>
                <w:szCs w:val="22"/>
                <w:lang w:val="en-GB"/>
              </w:rPr>
              <w:t>H</w:t>
            </w:r>
            <w:r w:rsidRPr="00E63E1C">
              <w:rPr>
                <w:b/>
                <w:sz w:val="22"/>
                <w:szCs w:val="22"/>
                <w:vertAlign w:val="subscript"/>
                <w:lang w:val="en-GB"/>
              </w:rPr>
              <w:t>96</w:t>
            </w:r>
            <w:r w:rsidRPr="00E63E1C">
              <w:rPr>
                <w:b/>
                <w:sz w:val="22"/>
                <w:szCs w:val="22"/>
                <w:lang w:val="en-GB"/>
              </w:rPr>
              <w:t>O</w:t>
            </w:r>
            <w:r w:rsidRPr="00E63E1C">
              <w:rPr>
                <w:b/>
                <w:sz w:val="22"/>
                <w:szCs w:val="22"/>
                <w:vertAlign w:val="subscript"/>
                <w:lang w:val="en-GB"/>
              </w:rPr>
              <w:t>6</w:t>
            </w:r>
          </w:p>
          <w:p w:rsidR="00CC41D7" w:rsidRPr="00E63E1C" w:rsidRDefault="00CC41D7" w:rsidP="00B138A3">
            <w:pPr>
              <w:jc w:val="center"/>
              <w:rPr>
                <w:sz w:val="22"/>
                <w:szCs w:val="22"/>
                <w:lang w:val="en-GB"/>
              </w:rPr>
            </w:pPr>
            <w:r w:rsidRPr="00E63E1C">
              <w:rPr>
                <w:sz w:val="22"/>
                <w:szCs w:val="22"/>
                <w:lang w:val="en-GB"/>
              </w:rPr>
              <w:t>C</w:t>
            </w:r>
            <w:r w:rsidRPr="00E63E1C">
              <w:rPr>
                <w:sz w:val="22"/>
                <w:szCs w:val="22"/>
                <w:vertAlign w:val="subscript"/>
                <w:lang w:val="en-GB"/>
              </w:rPr>
              <w:t>57</w:t>
            </w:r>
            <w:r w:rsidRPr="00E63E1C">
              <w:rPr>
                <w:sz w:val="22"/>
                <w:szCs w:val="22"/>
                <w:lang w:val="en-GB"/>
              </w:rPr>
              <w:t>H</w:t>
            </w:r>
            <w:r w:rsidRPr="00E63E1C">
              <w:rPr>
                <w:sz w:val="22"/>
                <w:szCs w:val="22"/>
                <w:vertAlign w:val="subscript"/>
                <w:lang w:val="en-GB"/>
              </w:rPr>
              <w:t>104</w:t>
            </w:r>
            <w:r w:rsidRPr="00E63E1C">
              <w:rPr>
                <w:sz w:val="22"/>
                <w:szCs w:val="22"/>
                <w:lang w:val="en-GB"/>
              </w:rPr>
              <w:t>O</w:t>
            </w:r>
            <w:r w:rsidRPr="00E63E1C">
              <w:rPr>
                <w:sz w:val="22"/>
                <w:szCs w:val="22"/>
                <w:vertAlign w:val="subscript"/>
                <w:lang w:val="en-GB"/>
              </w:rPr>
              <w:t>6</w:t>
            </w:r>
          </w:p>
        </w:tc>
        <w:tc>
          <w:tcPr>
            <w:tcW w:w="720" w:type="dxa"/>
            <w:shd w:val="clear" w:color="auto" w:fill="auto"/>
          </w:tcPr>
          <w:p w:rsidR="00CC41D7" w:rsidRPr="00E63E1C" w:rsidRDefault="00CC41D7" w:rsidP="00B138A3">
            <w:pPr>
              <w:jc w:val="center"/>
              <w:rPr>
                <w:sz w:val="22"/>
                <w:szCs w:val="22"/>
                <w:lang w:val="en-GB"/>
              </w:rPr>
            </w:pPr>
            <w:r w:rsidRPr="00E63E1C">
              <w:rPr>
                <w:sz w:val="22"/>
                <w:szCs w:val="22"/>
                <w:lang w:val="en-GB"/>
              </w:rPr>
              <w:t>0</w:t>
            </w:r>
          </w:p>
          <w:p w:rsidR="00CC41D7" w:rsidRPr="00E63E1C" w:rsidRDefault="00CC41D7" w:rsidP="00B138A3">
            <w:pPr>
              <w:jc w:val="center"/>
              <w:rPr>
                <w:sz w:val="22"/>
                <w:szCs w:val="22"/>
                <w:lang w:val="en-GB"/>
              </w:rPr>
            </w:pPr>
            <w:r w:rsidRPr="00E63E1C">
              <w:rPr>
                <w:sz w:val="22"/>
                <w:szCs w:val="22"/>
                <w:lang w:val="en-GB"/>
              </w:rPr>
              <w:t>1</w:t>
            </w:r>
          </w:p>
          <w:p w:rsidR="00CC41D7" w:rsidRPr="00E63E1C" w:rsidRDefault="00CC41D7" w:rsidP="00B138A3">
            <w:pPr>
              <w:jc w:val="center"/>
              <w:rPr>
                <w:sz w:val="22"/>
                <w:szCs w:val="22"/>
                <w:lang w:val="en-GB"/>
              </w:rPr>
            </w:pPr>
            <w:r w:rsidRPr="00E63E1C">
              <w:rPr>
                <w:sz w:val="22"/>
                <w:szCs w:val="22"/>
                <w:lang w:val="en-GB"/>
              </w:rPr>
              <w:t>1</w:t>
            </w:r>
          </w:p>
          <w:p w:rsidR="00CC41D7" w:rsidRPr="00E63E1C" w:rsidRDefault="00CC41D7" w:rsidP="00B138A3">
            <w:pPr>
              <w:jc w:val="center"/>
              <w:rPr>
                <w:sz w:val="22"/>
                <w:szCs w:val="22"/>
                <w:lang w:val="en-GB"/>
              </w:rPr>
            </w:pPr>
            <w:r w:rsidRPr="00E63E1C">
              <w:rPr>
                <w:sz w:val="22"/>
                <w:szCs w:val="22"/>
                <w:lang w:val="en-GB"/>
              </w:rPr>
              <w:t>3</w:t>
            </w:r>
          </w:p>
        </w:tc>
        <w:tc>
          <w:tcPr>
            <w:tcW w:w="900" w:type="dxa"/>
          </w:tcPr>
          <w:p w:rsidR="00CC41D7" w:rsidRPr="00E63E1C" w:rsidRDefault="00CC41D7" w:rsidP="00B138A3">
            <w:pPr>
              <w:jc w:val="center"/>
              <w:rPr>
                <w:sz w:val="22"/>
                <w:szCs w:val="22"/>
                <w:lang w:val="en-GB"/>
              </w:rPr>
            </w:pPr>
            <w:r w:rsidRPr="00E63E1C">
              <w:rPr>
                <w:sz w:val="22"/>
                <w:szCs w:val="22"/>
                <w:lang w:val="en-GB"/>
              </w:rPr>
              <w:t>3</w:t>
            </w:r>
          </w:p>
          <w:p w:rsidR="00CC41D7" w:rsidRPr="00E63E1C" w:rsidRDefault="00CC41D7" w:rsidP="00B138A3">
            <w:pPr>
              <w:jc w:val="center"/>
              <w:rPr>
                <w:sz w:val="22"/>
                <w:szCs w:val="22"/>
                <w:lang w:val="en-GB"/>
              </w:rPr>
            </w:pPr>
            <w:r w:rsidRPr="00E63E1C">
              <w:rPr>
                <w:sz w:val="22"/>
                <w:szCs w:val="22"/>
                <w:lang w:val="en-GB"/>
              </w:rPr>
              <w:t>15.3</w:t>
            </w:r>
          </w:p>
          <w:p w:rsidR="00CC41D7" w:rsidRPr="00E63E1C" w:rsidRDefault="00CC41D7" w:rsidP="00B138A3">
            <w:pPr>
              <w:jc w:val="center"/>
              <w:rPr>
                <w:sz w:val="22"/>
                <w:szCs w:val="22"/>
                <w:lang w:val="en-GB"/>
              </w:rPr>
            </w:pPr>
            <w:r w:rsidRPr="00E63E1C">
              <w:rPr>
                <w:sz w:val="22"/>
                <w:szCs w:val="22"/>
                <w:lang w:val="en-GB"/>
              </w:rPr>
              <w:t>16</w:t>
            </w:r>
          </w:p>
          <w:p w:rsidR="00CC41D7" w:rsidRPr="00E63E1C" w:rsidRDefault="00CC41D7" w:rsidP="00B138A3">
            <w:pPr>
              <w:jc w:val="center"/>
              <w:rPr>
                <w:sz w:val="22"/>
                <w:szCs w:val="22"/>
                <w:lang w:val="en-GB"/>
              </w:rPr>
            </w:pPr>
            <w:r w:rsidRPr="00E63E1C">
              <w:rPr>
                <w:sz w:val="22"/>
                <w:szCs w:val="22"/>
                <w:lang w:val="en-GB"/>
              </w:rPr>
              <w:t>18</w:t>
            </w:r>
          </w:p>
        </w:tc>
        <w:tc>
          <w:tcPr>
            <w:tcW w:w="1350" w:type="dxa"/>
            <w:shd w:val="clear" w:color="auto" w:fill="auto"/>
          </w:tcPr>
          <w:p w:rsidR="00CC41D7" w:rsidRPr="00E63E1C" w:rsidRDefault="00CC41D7" w:rsidP="00B138A3">
            <w:pPr>
              <w:jc w:val="center"/>
              <w:rPr>
                <w:sz w:val="22"/>
                <w:szCs w:val="22"/>
                <w:lang w:val="en-GB"/>
              </w:rPr>
            </w:pPr>
          </w:p>
          <w:p w:rsidR="00CC41D7" w:rsidRPr="00E63E1C" w:rsidRDefault="00CC41D7" w:rsidP="00B138A3">
            <w:pPr>
              <w:jc w:val="center"/>
              <w:rPr>
                <w:sz w:val="22"/>
                <w:szCs w:val="22"/>
                <w:lang w:val="en-GB"/>
              </w:rPr>
            </w:pPr>
            <w:r w:rsidRPr="00E63E1C">
              <w:rPr>
                <w:sz w:val="22"/>
                <w:szCs w:val="22"/>
                <w:lang w:val="en-GB"/>
              </w:rPr>
              <w:t>15-55</w:t>
            </w:r>
          </w:p>
        </w:tc>
      </w:tr>
      <w:tr w:rsidR="00CC41D7" w:rsidRPr="00E63E1C" w:rsidTr="00B138A3">
        <w:trPr>
          <w:cantSplit/>
          <w:trHeight w:val="755"/>
        </w:trPr>
        <w:tc>
          <w:tcPr>
            <w:tcW w:w="918" w:type="dxa"/>
            <w:shd w:val="clear" w:color="auto" w:fill="auto"/>
          </w:tcPr>
          <w:p w:rsidR="00CC41D7" w:rsidRPr="00E63E1C" w:rsidRDefault="00CC41D7" w:rsidP="00B138A3">
            <w:pPr>
              <w:jc w:val="both"/>
              <w:rPr>
                <w:sz w:val="22"/>
                <w:szCs w:val="22"/>
                <w:lang w:val="en-GB"/>
              </w:rPr>
            </w:pPr>
            <w:r w:rsidRPr="00E63E1C">
              <w:rPr>
                <w:sz w:val="22"/>
                <w:szCs w:val="22"/>
                <w:lang w:val="en-GB"/>
              </w:rPr>
              <w:t>oddTG</w:t>
            </w:r>
          </w:p>
        </w:tc>
        <w:tc>
          <w:tcPr>
            <w:tcW w:w="1260" w:type="dxa"/>
            <w:shd w:val="clear" w:color="auto" w:fill="auto"/>
          </w:tcPr>
          <w:p w:rsidR="00CC41D7" w:rsidRPr="00E63E1C" w:rsidRDefault="00CC41D7" w:rsidP="00B138A3">
            <w:pPr>
              <w:jc w:val="center"/>
              <w:rPr>
                <w:b/>
                <w:sz w:val="22"/>
                <w:szCs w:val="22"/>
                <w:lang w:val="en-GB"/>
              </w:rPr>
            </w:pPr>
            <w:r w:rsidRPr="00E63E1C">
              <w:rPr>
                <w:b/>
                <w:sz w:val="22"/>
                <w:szCs w:val="22"/>
                <w:lang w:val="en-GB"/>
              </w:rPr>
              <w:t>C</w:t>
            </w:r>
            <w:r w:rsidRPr="00E63E1C">
              <w:rPr>
                <w:b/>
                <w:sz w:val="22"/>
                <w:szCs w:val="22"/>
                <w:vertAlign w:val="subscript"/>
                <w:lang w:val="en-GB"/>
              </w:rPr>
              <w:t>48</w:t>
            </w:r>
            <w:r w:rsidRPr="00E63E1C">
              <w:rPr>
                <w:b/>
                <w:sz w:val="22"/>
                <w:szCs w:val="22"/>
                <w:lang w:val="en-GB"/>
              </w:rPr>
              <w:t>H</w:t>
            </w:r>
            <w:r w:rsidRPr="00E63E1C">
              <w:rPr>
                <w:b/>
                <w:sz w:val="22"/>
                <w:szCs w:val="22"/>
                <w:vertAlign w:val="subscript"/>
                <w:lang w:val="en-GB"/>
              </w:rPr>
              <w:t>92</w:t>
            </w:r>
            <w:r w:rsidRPr="00E63E1C">
              <w:rPr>
                <w:b/>
                <w:sz w:val="22"/>
                <w:szCs w:val="22"/>
                <w:lang w:val="en-GB"/>
              </w:rPr>
              <w:t>O</w:t>
            </w:r>
            <w:r w:rsidRPr="00E63E1C">
              <w:rPr>
                <w:b/>
                <w:sz w:val="22"/>
                <w:szCs w:val="22"/>
                <w:vertAlign w:val="subscript"/>
                <w:lang w:val="en-GB"/>
              </w:rPr>
              <w:t>6</w:t>
            </w:r>
          </w:p>
          <w:p w:rsidR="00CC41D7" w:rsidRPr="00E63E1C" w:rsidRDefault="00CC41D7" w:rsidP="00B138A3">
            <w:pPr>
              <w:jc w:val="center"/>
              <w:rPr>
                <w:b/>
                <w:sz w:val="22"/>
                <w:szCs w:val="22"/>
                <w:lang w:val="en-GB"/>
              </w:rPr>
            </w:pPr>
            <w:r w:rsidRPr="00E63E1C">
              <w:rPr>
                <w:b/>
                <w:sz w:val="22"/>
                <w:szCs w:val="22"/>
                <w:lang w:val="en-GB"/>
              </w:rPr>
              <w:t>C</w:t>
            </w:r>
            <w:r w:rsidRPr="00E63E1C">
              <w:rPr>
                <w:b/>
                <w:sz w:val="22"/>
                <w:szCs w:val="22"/>
                <w:vertAlign w:val="subscript"/>
                <w:lang w:val="en-GB"/>
              </w:rPr>
              <w:t>50</w:t>
            </w:r>
            <w:r w:rsidRPr="00E63E1C">
              <w:rPr>
                <w:b/>
                <w:sz w:val="22"/>
                <w:szCs w:val="22"/>
                <w:lang w:val="en-GB"/>
              </w:rPr>
              <w:t>H</w:t>
            </w:r>
            <w:r w:rsidRPr="00E63E1C">
              <w:rPr>
                <w:b/>
                <w:sz w:val="22"/>
                <w:szCs w:val="22"/>
                <w:vertAlign w:val="subscript"/>
                <w:lang w:val="en-GB"/>
              </w:rPr>
              <w:t>96</w:t>
            </w:r>
            <w:r w:rsidRPr="00E63E1C">
              <w:rPr>
                <w:b/>
                <w:sz w:val="22"/>
                <w:szCs w:val="22"/>
                <w:lang w:val="en-GB"/>
              </w:rPr>
              <w:t>O</w:t>
            </w:r>
            <w:r w:rsidRPr="00E63E1C">
              <w:rPr>
                <w:b/>
                <w:sz w:val="22"/>
                <w:szCs w:val="22"/>
                <w:vertAlign w:val="subscript"/>
                <w:lang w:val="en-GB"/>
              </w:rPr>
              <w:t>6</w:t>
            </w:r>
          </w:p>
          <w:p w:rsidR="00CC41D7" w:rsidRPr="00E63E1C" w:rsidRDefault="00CC41D7" w:rsidP="00B138A3">
            <w:pPr>
              <w:jc w:val="center"/>
              <w:rPr>
                <w:sz w:val="22"/>
                <w:szCs w:val="22"/>
                <w:lang w:val="en-GB"/>
              </w:rPr>
            </w:pPr>
            <w:r w:rsidRPr="00E63E1C">
              <w:rPr>
                <w:b/>
                <w:sz w:val="22"/>
                <w:szCs w:val="22"/>
                <w:lang w:val="en-GB"/>
              </w:rPr>
              <w:t>C</w:t>
            </w:r>
            <w:r w:rsidRPr="00E63E1C">
              <w:rPr>
                <w:b/>
                <w:sz w:val="22"/>
                <w:szCs w:val="22"/>
                <w:vertAlign w:val="subscript"/>
                <w:lang w:val="en-GB"/>
              </w:rPr>
              <w:t>50</w:t>
            </w:r>
            <w:r w:rsidRPr="00E63E1C">
              <w:rPr>
                <w:b/>
                <w:sz w:val="22"/>
                <w:szCs w:val="22"/>
                <w:lang w:val="en-GB"/>
              </w:rPr>
              <w:t>H</w:t>
            </w:r>
            <w:r w:rsidRPr="00E63E1C">
              <w:rPr>
                <w:b/>
                <w:sz w:val="22"/>
                <w:szCs w:val="22"/>
                <w:vertAlign w:val="subscript"/>
                <w:lang w:val="en-GB"/>
              </w:rPr>
              <w:t>94</w:t>
            </w:r>
            <w:r w:rsidRPr="00E63E1C">
              <w:rPr>
                <w:b/>
                <w:sz w:val="22"/>
                <w:szCs w:val="22"/>
                <w:lang w:val="en-GB"/>
              </w:rPr>
              <w:t>O</w:t>
            </w:r>
            <w:r w:rsidRPr="00E63E1C">
              <w:rPr>
                <w:b/>
                <w:sz w:val="22"/>
                <w:szCs w:val="22"/>
                <w:vertAlign w:val="subscript"/>
                <w:lang w:val="en-GB"/>
              </w:rPr>
              <w:t>6</w:t>
            </w:r>
          </w:p>
        </w:tc>
        <w:tc>
          <w:tcPr>
            <w:tcW w:w="720" w:type="dxa"/>
            <w:shd w:val="clear" w:color="auto" w:fill="auto"/>
          </w:tcPr>
          <w:p w:rsidR="00CC41D7" w:rsidRPr="00E63E1C" w:rsidRDefault="00CC41D7" w:rsidP="00B138A3">
            <w:pPr>
              <w:jc w:val="center"/>
              <w:rPr>
                <w:sz w:val="22"/>
                <w:szCs w:val="22"/>
                <w:lang w:val="en-GB"/>
              </w:rPr>
            </w:pPr>
            <w:r w:rsidRPr="00E63E1C">
              <w:rPr>
                <w:sz w:val="22"/>
                <w:szCs w:val="22"/>
                <w:lang w:val="en-GB"/>
              </w:rPr>
              <w:t>0</w:t>
            </w:r>
          </w:p>
          <w:p w:rsidR="00CC41D7" w:rsidRPr="00E63E1C" w:rsidRDefault="00CC41D7" w:rsidP="00B138A3">
            <w:pPr>
              <w:jc w:val="center"/>
              <w:rPr>
                <w:sz w:val="22"/>
                <w:szCs w:val="22"/>
                <w:lang w:val="en-GB"/>
              </w:rPr>
            </w:pPr>
            <w:r w:rsidRPr="00E63E1C">
              <w:rPr>
                <w:sz w:val="22"/>
                <w:szCs w:val="22"/>
                <w:lang w:val="en-GB"/>
              </w:rPr>
              <w:t>0</w:t>
            </w:r>
          </w:p>
          <w:p w:rsidR="00CC41D7" w:rsidRPr="00E63E1C" w:rsidRDefault="00CC41D7" w:rsidP="00B138A3">
            <w:pPr>
              <w:jc w:val="center"/>
              <w:rPr>
                <w:sz w:val="22"/>
                <w:szCs w:val="22"/>
                <w:lang w:val="en-GB"/>
              </w:rPr>
            </w:pPr>
            <w:r w:rsidRPr="00E63E1C">
              <w:rPr>
                <w:sz w:val="22"/>
                <w:szCs w:val="22"/>
                <w:lang w:val="en-GB"/>
              </w:rPr>
              <w:t>1</w:t>
            </w:r>
          </w:p>
        </w:tc>
        <w:tc>
          <w:tcPr>
            <w:tcW w:w="900" w:type="dxa"/>
          </w:tcPr>
          <w:p w:rsidR="00CC41D7" w:rsidRPr="00E63E1C" w:rsidRDefault="00CC41D7" w:rsidP="00B138A3">
            <w:pPr>
              <w:jc w:val="center"/>
              <w:rPr>
                <w:sz w:val="22"/>
                <w:szCs w:val="22"/>
                <w:lang w:val="en-GB"/>
              </w:rPr>
            </w:pPr>
            <w:r w:rsidRPr="00E63E1C">
              <w:rPr>
                <w:sz w:val="22"/>
                <w:szCs w:val="22"/>
                <w:lang w:val="en-GB"/>
              </w:rPr>
              <w:t>15</w:t>
            </w:r>
          </w:p>
          <w:p w:rsidR="00CC41D7" w:rsidRPr="00E63E1C" w:rsidRDefault="00CC41D7" w:rsidP="00B138A3">
            <w:pPr>
              <w:jc w:val="center"/>
              <w:rPr>
                <w:sz w:val="22"/>
                <w:szCs w:val="22"/>
                <w:lang w:val="en-GB"/>
              </w:rPr>
            </w:pPr>
            <w:r w:rsidRPr="00E63E1C">
              <w:rPr>
                <w:sz w:val="22"/>
                <w:szCs w:val="22"/>
                <w:lang w:val="en-GB"/>
              </w:rPr>
              <w:t>15.7</w:t>
            </w:r>
          </w:p>
          <w:p w:rsidR="00CC41D7" w:rsidRPr="00E63E1C" w:rsidRDefault="00CC41D7" w:rsidP="00B138A3">
            <w:pPr>
              <w:jc w:val="center"/>
              <w:rPr>
                <w:sz w:val="22"/>
                <w:szCs w:val="22"/>
                <w:lang w:val="en-GB"/>
              </w:rPr>
            </w:pPr>
            <w:r w:rsidRPr="00E63E1C">
              <w:rPr>
                <w:sz w:val="22"/>
                <w:szCs w:val="22"/>
                <w:lang w:val="en-GB"/>
              </w:rPr>
              <w:t>15.7</w:t>
            </w:r>
          </w:p>
        </w:tc>
        <w:tc>
          <w:tcPr>
            <w:tcW w:w="1350" w:type="dxa"/>
            <w:shd w:val="clear" w:color="auto" w:fill="auto"/>
          </w:tcPr>
          <w:p w:rsidR="00CC41D7" w:rsidRPr="00E63E1C" w:rsidRDefault="00CC41D7" w:rsidP="00B138A3">
            <w:pPr>
              <w:jc w:val="center"/>
              <w:rPr>
                <w:sz w:val="22"/>
                <w:szCs w:val="22"/>
                <w:lang w:val="en-GB"/>
              </w:rPr>
            </w:pPr>
          </w:p>
          <w:p w:rsidR="00CC41D7" w:rsidRPr="00E63E1C" w:rsidRDefault="00CC41D7" w:rsidP="00B138A3">
            <w:pPr>
              <w:jc w:val="center"/>
              <w:rPr>
                <w:sz w:val="22"/>
                <w:szCs w:val="22"/>
                <w:lang w:val="en-GB"/>
              </w:rPr>
            </w:pPr>
            <w:r w:rsidRPr="00E63E1C">
              <w:rPr>
                <w:sz w:val="22"/>
                <w:szCs w:val="22"/>
                <w:lang w:val="en-GB"/>
              </w:rPr>
              <w:t>15-25</w:t>
            </w:r>
          </w:p>
        </w:tc>
        <w:tc>
          <w:tcPr>
            <w:tcW w:w="1350" w:type="dxa"/>
            <w:shd w:val="clear" w:color="auto" w:fill="auto"/>
          </w:tcPr>
          <w:p w:rsidR="00CC41D7" w:rsidRPr="00E63E1C" w:rsidRDefault="00CC41D7" w:rsidP="00B138A3">
            <w:pPr>
              <w:jc w:val="center"/>
              <w:rPr>
                <w:b/>
                <w:sz w:val="22"/>
                <w:szCs w:val="22"/>
                <w:lang w:val="en-GB"/>
              </w:rPr>
            </w:pPr>
            <w:r w:rsidRPr="00E63E1C">
              <w:rPr>
                <w:b/>
                <w:sz w:val="22"/>
                <w:szCs w:val="22"/>
                <w:lang w:val="en-GB"/>
              </w:rPr>
              <w:t>C</w:t>
            </w:r>
            <w:r w:rsidRPr="00E63E1C">
              <w:rPr>
                <w:b/>
                <w:sz w:val="22"/>
                <w:szCs w:val="22"/>
                <w:vertAlign w:val="subscript"/>
                <w:lang w:val="en-GB"/>
              </w:rPr>
              <w:t>48</w:t>
            </w:r>
            <w:r w:rsidRPr="00E63E1C">
              <w:rPr>
                <w:b/>
                <w:sz w:val="22"/>
                <w:szCs w:val="22"/>
                <w:lang w:val="en-GB"/>
              </w:rPr>
              <w:t>H</w:t>
            </w:r>
            <w:r w:rsidRPr="00E63E1C">
              <w:rPr>
                <w:b/>
                <w:sz w:val="22"/>
                <w:szCs w:val="22"/>
                <w:vertAlign w:val="subscript"/>
                <w:lang w:val="en-GB"/>
              </w:rPr>
              <w:t>92</w:t>
            </w:r>
            <w:r w:rsidRPr="00E63E1C">
              <w:rPr>
                <w:b/>
                <w:sz w:val="22"/>
                <w:szCs w:val="22"/>
                <w:lang w:val="en-GB"/>
              </w:rPr>
              <w:t>O</w:t>
            </w:r>
            <w:r w:rsidRPr="00E63E1C">
              <w:rPr>
                <w:b/>
                <w:sz w:val="22"/>
                <w:szCs w:val="22"/>
                <w:vertAlign w:val="subscript"/>
                <w:lang w:val="en-GB"/>
              </w:rPr>
              <w:t>6</w:t>
            </w:r>
          </w:p>
          <w:p w:rsidR="00CC41D7" w:rsidRPr="00E63E1C" w:rsidRDefault="00CC41D7" w:rsidP="00B138A3">
            <w:pPr>
              <w:jc w:val="center"/>
              <w:rPr>
                <w:b/>
                <w:sz w:val="22"/>
                <w:szCs w:val="22"/>
                <w:lang w:val="en-GB"/>
              </w:rPr>
            </w:pPr>
            <w:r w:rsidRPr="00E63E1C">
              <w:rPr>
                <w:b/>
                <w:sz w:val="22"/>
                <w:szCs w:val="22"/>
                <w:lang w:val="en-GB"/>
              </w:rPr>
              <w:t>C</w:t>
            </w:r>
            <w:r w:rsidRPr="00E63E1C">
              <w:rPr>
                <w:b/>
                <w:sz w:val="22"/>
                <w:szCs w:val="22"/>
                <w:vertAlign w:val="subscript"/>
                <w:lang w:val="en-GB"/>
              </w:rPr>
              <w:t>50</w:t>
            </w:r>
            <w:r w:rsidRPr="00E63E1C">
              <w:rPr>
                <w:b/>
                <w:sz w:val="22"/>
                <w:szCs w:val="22"/>
                <w:lang w:val="en-GB"/>
              </w:rPr>
              <w:t>H</w:t>
            </w:r>
            <w:r w:rsidRPr="00E63E1C">
              <w:rPr>
                <w:b/>
                <w:sz w:val="22"/>
                <w:szCs w:val="22"/>
                <w:vertAlign w:val="subscript"/>
                <w:lang w:val="en-GB"/>
              </w:rPr>
              <w:t>96</w:t>
            </w:r>
            <w:r w:rsidRPr="00E63E1C">
              <w:rPr>
                <w:b/>
                <w:sz w:val="22"/>
                <w:szCs w:val="22"/>
                <w:lang w:val="en-GB"/>
              </w:rPr>
              <w:t>O</w:t>
            </w:r>
            <w:r w:rsidRPr="00E63E1C">
              <w:rPr>
                <w:b/>
                <w:sz w:val="22"/>
                <w:szCs w:val="22"/>
                <w:vertAlign w:val="subscript"/>
                <w:lang w:val="en-GB"/>
              </w:rPr>
              <w:t>6</w:t>
            </w:r>
          </w:p>
          <w:p w:rsidR="00CC41D7" w:rsidRPr="00E63E1C" w:rsidRDefault="00CC41D7" w:rsidP="00B138A3">
            <w:pPr>
              <w:jc w:val="center"/>
              <w:rPr>
                <w:sz w:val="22"/>
                <w:szCs w:val="22"/>
                <w:lang w:val="en-GB"/>
              </w:rPr>
            </w:pPr>
            <w:r w:rsidRPr="00E63E1C">
              <w:rPr>
                <w:b/>
                <w:sz w:val="22"/>
                <w:szCs w:val="22"/>
                <w:lang w:val="en-GB"/>
              </w:rPr>
              <w:t>C</w:t>
            </w:r>
            <w:r w:rsidRPr="00E63E1C">
              <w:rPr>
                <w:b/>
                <w:sz w:val="22"/>
                <w:szCs w:val="22"/>
                <w:vertAlign w:val="subscript"/>
                <w:lang w:val="en-GB"/>
              </w:rPr>
              <w:t>50</w:t>
            </w:r>
            <w:r w:rsidRPr="00E63E1C">
              <w:rPr>
                <w:b/>
                <w:sz w:val="22"/>
                <w:szCs w:val="22"/>
                <w:lang w:val="en-GB"/>
              </w:rPr>
              <w:t>H</w:t>
            </w:r>
            <w:r w:rsidRPr="00E63E1C">
              <w:rPr>
                <w:b/>
                <w:sz w:val="22"/>
                <w:szCs w:val="22"/>
                <w:vertAlign w:val="subscript"/>
                <w:lang w:val="en-GB"/>
              </w:rPr>
              <w:t>94</w:t>
            </w:r>
            <w:r w:rsidRPr="00E63E1C">
              <w:rPr>
                <w:b/>
                <w:sz w:val="22"/>
                <w:szCs w:val="22"/>
                <w:lang w:val="en-GB"/>
              </w:rPr>
              <w:t>O</w:t>
            </w:r>
            <w:r w:rsidRPr="00E63E1C">
              <w:rPr>
                <w:b/>
                <w:sz w:val="22"/>
                <w:szCs w:val="22"/>
                <w:vertAlign w:val="subscript"/>
                <w:lang w:val="en-GB"/>
              </w:rPr>
              <w:t>6</w:t>
            </w:r>
          </w:p>
        </w:tc>
        <w:tc>
          <w:tcPr>
            <w:tcW w:w="720" w:type="dxa"/>
            <w:shd w:val="clear" w:color="auto" w:fill="auto"/>
          </w:tcPr>
          <w:p w:rsidR="00CC41D7" w:rsidRPr="00E63E1C" w:rsidRDefault="00CC41D7" w:rsidP="00B138A3">
            <w:pPr>
              <w:jc w:val="center"/>
              <w:rPr>
                <w:sz w:val="22"/>
                <w:szCs w:val="22"/>
                <w:lang w:val="en-GB"/>
              </w:rPr>
            </w:pPr>
            <w:r w:rsidRPr="00E63E1C">
              <w:rPr>
                <w:sz w:val="22"/>
                <w:szCs w:val="22"/>
                <w:lang w:val="en-GB"/>
              </w:rPr>
              <w:t>0</w:t>
            </w:r>
          </w:p>
          <w:p w:rsidR="00CC41D7" w:rsidRPr="00E63E1C" w:rsidRDefault="00CC41D7" w:rsidP="00B138A3">
            <w:pPr>
              <w:jc w:val="center"/>
              <w:rPr>
                <w:sz w:val="22"/>
                <w:szCs w:val="22"/>
                <w:lang w:val="en-GB"/>
              </w:rPr>
            </w:pPr>
            <w:r w:rsidRPr="00E63E1C">
              <w:rPr>
                <w:sz w:val="22"/>
                <w:szCs w:val="22"/>
                <w:lang w:val="en-GB"/>
              </w:rPr>
              <w:t>0</w:t>
            </w:r>
          </w:p>
          <w:p w:rsidR="00CC41D7" w:rsidRPr="00E63E1C" w:rsidRDefault="00CC41D7" w:rsidP="00B138A3">
            <w:pPr>
              <w:jc w:val="center"/>
              <w:rPr>
                <w:sz w:val="22"/>
                <w:szCs w:val="22"/>
                <w:lang w:val="en-GB"/>
              </w:rPr>
            </w:pPr>
            <w:r w:rsidRPr="00E63E1C">
              <w:rPr>
                <w:sz w:val="22"/>
                <w:szCs w:val="22"/>
                <w:lang w:val="en-GB"/>
              </w:rPr>
              <w:t>1</w:t>
            </w:r>
          </w:p>
        </w:tc>
        <w:tc>
          <w:tcPr>
            <w:tcW w:w="900" w:type="dxa"/>
          </w:tcPr>
          <w:p w:rsidR="00CC41D7" w:rsidRPr="00E63E1C" w:rsidRDefault="00CC41D7" w:rsidP="00B138A3">
            <w:pPr>
              <w:jc w:val="center"/>
              <w:rPr>
                <w:sz w:val="22"/>
                <w:szCs w:val="22"/>
                <w:lang w:val="en-GB"/>
              </w:rPr>
            </w:pPr>
            <w:r w:rsidRPr="00E63E1C">
              <w:rPr>
                <w:sz w:val="22"/>
                <w:szCs w:val="22"/>
                <w:lang w:val="en-GB"/>
              </w:rPr>
              <w:t>15</w:t>
            </w:r>
          </w:p>
          <w:p w:rsidR="00CC41D7" w:rsidRPr="00E63E1C" w:rsidRDefault="00CC41D7" w:rsidP="00B138A3">
            <w:pPr>
              <w:jc w:val="center"/>
              <w:rPr>
                <w:sz w:val="22"/>
                <w:szCs w:val="22"/>
                <w:lang w:val="en-GB"/>
              </w:rPr>
            </w:pPr>
            <w:r w:rsidRPr="00E63E1C">
              <w:rPr>
                <w:sz w:val="22"/>
                <w:szCs w:val="22"/>
                <w:lang w:val="en-GB"/>
              </w:rPr>
              <w:t>15.7</w:t>
            </w:r>
          </w:p>
          <w:p w:rsidR="00CC41D7" w:rsidRPr="00E63E1C" w:rsidRDefault="00CC41D7" w:rsidP="00B138A3">
            <w:pPr>
              <w:jc w:val="center"/>
              <w:rPr>
                <w:sz w:val="22"/>
                <w:szCs w:val="22"/>
                <w:lang w:val="en-GB"/>
              </w:rPr>
            </w:pPr>
            <w:r w:rsidRPr="00E63E1C">
              <w:rPr>
                <w:sz w:val="22"/>
                <w:szCs w:val="22"/>
                <w:lang w:val="en-GB"/>
              </w:rPr>
              <w:t>15.7</w:t>
            </w:r>
          </w:p>
        </w:tc>
        <w:tc>
          <w:tcPr>
            <w:tcW w:w="1350" w:type="dxa"/>
            <w:shd w:val="clear" w:color="auto" w:fill="auto"/>
          </w:tcPr>
          <w:p w:rsidR="00CC41D7" w:rsidRPr="00E63E1C" w:rsidRDefault="00CC41D7" w:rsidP="00B138A3">
            <w:pPr>
              <w:jc w:val="center"/>
              <w:rPr>
                <w:sz w:val="22"/>
                <w:szCs w:val="22"/>
                <w:lang w:val="en-GB"/>
              </w:rPr>
            </w:pPr>
          </w:p>
          <w:p w:rsidR="00CC41D7" w:rsidRPr="00E63E1C" w:rsidRDefault="00CC41D7" w:rsidP="00B138A3">
            <w:pPr>
              <w:jc w:val="center"/>
              <w:rPr>
                <w:sz w:val="22"/>
                <w:szCs w:val="22"/>
                <w:lang w:val="en-GB"/>
              </w:rPr>
            </w:pPr>
            <w:r w:rsidRPr="00E63E1C">
              <w:rPr>
                <w:sz w:val="22"/>
                <w:szCs w:val="22"/>
                <w:lang w:val="en-GB"/>
              </w:rPr>
              <w:t>21-46</w:t>
            </w:r>
          </w:p>
        </w:tc>
      </w:tr>
      <w:tr w:rsidR="00CC41D7" w:rsidRPr="00E63E1C" w:rsidTr="00B138A3">
        <w:trPr>
          <w:cantSplit/>
          <w:trHeight w:val="710"/>
        </w:trPr>
        <w:tc>
          <w:tcPr>
            <w:tcW w:w="918" w:type="dxa"/>
            <w:shd w:val="clear" w:color="auto" w:fill="auto"/>
          </w:tcPr>
          <w:p w:rsidR="00CC41D7" w:rsidRPr="00E63E1C" w:rsidRDefault="00CC41D7" w:rsidP="00B138A3">
            <w:pPr>
              <w:jc w:val="both"/>
              <w:rPr>
                <w:sz w:val="22"/>
                <w:szCs w:val="22"/>
                <w:lang w:val="en-GB"/>
              </w:rPr>
            </w:pPr>
            <w:r w:rsidRPr="00E63E1C">
              <w:rPr>
                <w:sz w:val="22"/>
                <w:szCs w:val="22"/>
                <w:lang w:val="en-GB"/>
              </w:rPr>
              <w:t>DG</w:t>
            </w:r>
          </w:p>
        </w:tc>
        <w:tc>
          <w:tcPr>
            <w:tcW w:w="1260" w:type="dxa"/>
            <w:shd w:val="clear" w:color="auto" w:fill="auto"/>
          </w:tcPr>
          <w:p w:rsidR="00CC41D7" w:rsidRPr="00E63E1C" w:rsidRDefault="00CC41D7" w:rsidP="00B138A3">
            <w:pPr>
              <w:jc w:val="center"/>
              <w:rPr>
                <w:sz w:val="22"/>
                <w:szCs w:val="22"/>
                <w:lang w:val="en-GB"/>
              </w:rPr>
            </w:pPr>
            <w:r w:rsidRPr="00E63E1C">
              <w:rPr>
                <w:sz w:val="22"/>
                <w:szCs w:val="22"/>
                <w:lang w:val="en-GB"/>
              </w:rPr>
              <w:t>C</w:t>
            </w:r>
            <w:r w:rsidRPr="00E63E1C">
              <w:rPr>
                <w:sz w:val="22"/>
                <w:szCs w:val="22"/>
                <w:vertAlign w:val="subscript"/>
                <w:lang w:val="en-GB"/>
              </w:rPr>
              <w:t>37</w:t>
            </w:r>
            <w:r w:rsidRPr="00E63E1C">
              <w:rPr>
                <w:sz w:val="22"/>
                <w:szCs w:val="22"/>
                <w:lang w:val="en-GB"/>
              </w:rPr>
              <w:t>H</w:t>
            </w:r>
            <w:r w:rsidRPr="00E63E1C">
              <w:rPr>
                <w:sz w:val="22"/>
                <w:szCs w:val="22"/>
                <w:vertAlign w:val="subscript"/>
                <w:lang w:val="en-GB"/>
              </w:rPr>
              <w:t>64</w:t>
            </w:r>
            <w:r w:rsidRPr="00E63E1C">
              <w:rPr>
                <w:sz w:val="22"/>
                <w:szCs w:val="22"/>
                <w:lang w:val="en-GB"/>
              </w:rPr>
              <w:t>O</w:t>
            </w:r>
            <w:r w:rsidRPr="00E63E1C">
              <w:rPr>
                <w:sz w:val="22"/>
                <w:szCs w:val="22"/>
                <w:vertAlign w:val="subscript"/>
                <w:lang w:val="en-GB"/>
              </w:rPr>
              <w:t>5</w:t>
            </w:r>
          </w:p>
          <w:p w:rsidR="00CC41D7" w:rsidRPr="00E63E1C" w:rsidRDefault="00CC41D7" w:rsidP="00B138A3">
            <w:pPr>
              <w:jc w:val="center"/>
              <w:rPr>
                <w:sz w:val="22"/>
                <w:szCs w:val="22"/>
                <w:lang w:val="en-GB"/>
              </w:rPr>
            </w:pPr>
            <w:r w:rsidRPr="00E63E1C">
              <w:rPr>
                <w:sz w:val="22"/>
                <w:szCs w:val="22"/>
                <w:lang w:val="en-GB"/>
              </w:rPr>
              <w:t>C</w:t>
            </w:r>
            <w:r w:rsidRPr="00E63E1C">
              <w:rPr>
                <w:sz w:val="22"/>
                <w:szCs w:val="22"/>
                <w:vertAlign w:val="subscript"/>
                <w:lang w:val="en-GB"/>
              </w:rPr>
              <w:t>41</w:t>
            </w:r>
            <w:r w:rsidRPr="00E63E1C">
              <w:rPr>
                <w:sz w:val="22"/>
                <w:szCs w:val="22"/>
                <w:lang w:val="en-GB"/>
              </w:rPr>
              <w:t>H</w:t>
            </w:r>
            <w:r w:rsidRPr="00E63E1C">
              <w:rPr>
                <w:sz w:val="22"/>
                <w:szCs w:val="22"/>
                <w:vertAlign w:val="subscript"/>
                <w:lang w:val="en-GB"/>
              </w:rPr>
              <w:t>68</w:t>
            </w:r>
            <w:r w:rsidRPr="00E63E1C">
              <w:rPr>
                <w:sz w:val="22"/>
                <w:szCs w:val="22"/>
                <w:lang w:val="en-GB"/>
              </w:rPr>
              <w:t>O</w:t>
            </w:r>
            <w:r w:rsidRPr="00E63E1C">
              <w:rPr>
                <w:sz w:val="22"/>
                <w:szCs w:val="22"/>
                <w:vertAlign w:val="subscript"/>
                <w:lang w:val="en-GB"/>
              </w:rPr>
              <w:t>5</w:t>
            </w:r>
          </w:p>
        </w:tc>
        <w:tc>
          <w:tcPr>
            <w:tcW w:w="720" w:type="dxa"/>
            <w:shd w:val="clear" w:color="auto" w:fill="auto"/>
          </w:tcPr>
          <w:p w:rsidR="00CC41D7" w:rsidRPr="00E63E1C" w:rsidRDefault="00CC41D7" w:rsidP="00B138A3">
            <w:pPr>
              <w:jc w:val="center"/>
              <w:rPr>
                <w:sz w:val="22"/>
                <w:szCs w:val="22"/>
                <w:lang w:val="en-GB"/>
              </w:rPr>
            </w:pPr>
            <w:r w:rsidRPr="00E63E1C">
              <w:rPr>
                <w:sz w:val="22"/>
                <w:szCs w:val="22"/>
                <w:lang w:val="en-GB"/>
              </w:rPr>
              <w:t>4</w:t>
            </w:r>
          </w:p>
          <w:p w:rsidR="00CC41D7" w:rsidRPr="00E63E1C" w:rsidRDefault="00CC41D7" w:rsidP="00B138A3">
            <w:pPr>
              <w:jc w:val="center"/>
              <w:rPr>
                <w:sz w:val="22"/>
                <w:szCs w:val="22"/>
                <w:lang w:val="en-GB"/>
              </w:rPr>
            </w:pPr>
            <w:r w:rsidRPr="00E63E1C">
              <w:rPr>
                <w:sz w:val="22"/>
                <w:szCs w:val="22"/>
                <w:lang w:val="en-GB"/>
              </w:rPr>
              <w:t>6</w:t>
            </w:r>
          </w:p>
        </w:tc>
        <w:tc>
          <w:tcPr>
            <w:tcW w:w="900" w:type="dxa"/>
          </w:tcPr>
          <w:p w:rsidR="00CC41D7" w:rsidRPr="00E63E1C" w:rsidRDefault="00CC41D7" w:rsidP="00B138A3">
            <w:pPr>
              <w:jc w:val="center"/>
              <w:rPr>
                <w:sz w:val="22"/>
                <w:szCs w:val="22"/>
                <w:lang w:val="en-GB"/>
              </w:rPr>
            </w:pPr>
            <w:r w:rsidRPr="00E63E1C">
              <w:rPr>
                <w:sz w:val="22"/>
                <w:szCs w:val="22"/>
                <w:lang w:val="en-GB"/>
              </w:rPr>
              <w:t>17</w:t>
            </w:r>
          </w:p>
          <w:p w:rsidR="00CC41D7" w:rsidRPr="00E63E1C" w:rsidRDefault="00CC41D7" w:rsidP="00B138A3">
            <w:pPr>
              <w:jc w:val="center"/>
              <w:rPr>
                <w:sz w:val="22"/>
                <w:szCs w:val="22"/>
                <w:lang w:val="en-GB"/>
              </w:rPr>
            </w:pPr>
            <w:r w:rsidRPr="00E63E1C">
              <w:rPr>
                <w:sz w:val="22"/>
                <w:szCs w:val="22"/>
                <w:lang w:val="en-GB"/>
              </w:rPr>
              <w:t>19</w:t>
            </w:r>
          </w:p>
        </w:tc>
        <w:tc>
          <w:tcPr>
            <w:tcW w:w="1350" w:type="dxa"/>
            <w:shd w:val="clear" w:color="auto" w:fill="auto"/>
          </w:tcPr>
          <w:p w:rsidR="00CC41D7" w:rsidRPr="00E63E1C" w:rsidRDefault="00CC41D7" w:rsidP="00B138A3">
            <w:pPr>
              <w:jc w:val="center"/>
              <w:rPr>
                <w:sz w:val="22"/>
                <w:szCs w:val="22"/>
                <w:lang w:val="en-GB"/>
              </w:rPr>
            </w:pPr>
            <w:r w:rsidRPr="00E63E1C">
              <w:rPr>
                <w:sz w:val="22"/>
                <w:szCs w:val="22"/>
                <w:lang w:val="en-GB"/>
              </w:rPr>
              <w:t>11-23</w:t>
            </w:r>
          </w:p>
        </w:tc>
        <w:tc>
          <w:tcPr>
            <w:tcW w:w="1350" w:type="dxa"/>
            <w:shd w:val="clear" w:color="auto" w:fill="auto"/>
          </w:tcPr>
          <w:p w:rsidR="00CC41D7" w:rsidRPr="00E63E1C" w:rsidRDefault="00CC41D7" w:rsidP="00B138A3">
            <w:pPr>
              <w:jc w:val="center"/>
              <w:rPr>
                <w:sz w:val="22"/>
                <w:szCs w:val="22"/>
                <w:lang w:val="en-GB"/>
              </w:rPr>
            </w:pPr>
            <w:r w:rsidRPr="00E63E1C">
              <w:rPr>
                <w:sz w:val="22"/>
                <w:szCs w:val="22"/>
                <w:lang w:val="en-GB"/>
              </w:rPr>
              <w:t>C</w:t>
            </w:r>
            <w:r w:rsidRPr="00E63E1C">
              <w:rPr>
                <w:sz w:val="22"/>
                <w:szCs w:val="22"/>
                <w:vertAlign w:val="subscript"/>
                <w:lang w:val="en-GB"/>
              </w:rPr>
              <w:t>35</w:t>
            </w:r>
            <w:r w:rsidRPr="00E63E1C">
              <w:rPr>
                <w:sz w:val="22"/>
                <w:szCs w:val="22"/>
                <w:lang w:val="en-GB"/>
              </w:rPr>
              <w:t>H</w:t>
            </w:r>
            <w:r w:rsidRPr="00E63E1C">
              <w:rPr>
                <w:sz w:val="22"/>
                <w:szCs w:val="22"/>
                <w:vertAlign w:val="subscript"/>
                <w:lang w:val="en-GB"/>
              </w:rPr>
              <w:t>68</w:t>
            </w:r>
            <w:r w:rsidRPr="00E63E1C">
              <w:rPr>
                <w:sz w:val="22"/>
                <w:szCs w:val="22"/>
                <w:lang w:val="en-GB"/>
              </w:rPr>
              <w:t>O</w:t>
            </w:r>
            <w:r w:rsidRPr="00E63E1C">
              <w:rPr>
                <w:sz w:val="22"/>
                <w:szCs w:val="22"/>
                <w:vertAlign w:val="subscript"/>
                <w:lang w:val="en-GB"/>
              </w:rPr>
              <w:t>5</w:t>
            </w:r>
          </w:p>
          <w:p w:rsidR="00CC41D7" w:rsidRPr="00E63E1C" w:rsidRDefault="00CC41D7" w:rsidP="00B138A3">
            <w:pPr>
              <w:jc w:val="center"/>
              <w:rPr>
                <w:sz w:val="22"/>
                <w:szCs w:val="22"/>
                <w:lang w:val="en-GB"/>
              </w:rPr>
            </w:pPr>
            <w:r w:rsidRPr="00E63E1C">
              <w:rPr>
                <w:sz w:val="22"/>
                <w:szCs w:val="22"/>
                <w:lang w:val="en-GB"/>
              </w:rPr>
              <w:t>C</w:t>
            </w:r>
            <w:r w:rsidRPr="00E63E1C">
              <w:rPr>
                <w:sz w:val="22"/>
                <w:szCs w:val="22"/>
                <w:vertAlign w:val="subscript"/>
                <w:lang w:val="en-GB"/>
              </w:rPr>
              <w:t>37</w:t>
            </w:r>
            <w:r w:rsidRPr="00E63E1C">
              <w:rPr>
                <w:sz w:val="22"/>
                <w:szCs w:val="22"/>
                <w:lang w:val="en-GB"/>
              </w:rPr>
              <w:t>H</w:t>
            </w:r>
            <w:r w:rsidRPr="00E63E1C">
              <w:rPr>
                <w:sz w:val="22"/>
                <w:szCs w:val="22"/>
                <w:vertAlign w:val="subscript"/>
                <w:lang w:val="en-GB"/>
              </w:rPr>
              <w:t>72</w:t>
            </w:r>
            <w:r w:rsidRPr="00E63E1C">
              <w:rPr>
                <w:sz w:val="22"/>
                <w:szCs w:val="22"/>
                <w:lang w:val="en-GB"/>
              </w:rPr>
              <w:t>O</w:t>
            </w:r>
            <w:r w:rsidRPr="00E63E1C">
              <w:rPr>
                <w:sz w:val="22"/>
                <w:szCs w:val="22"/>
                <w:vertAlign w:val="subscript"/>
                <w:lang w:val="en-GB"/>
              </w:rPr>
              <w:t>5</w:t>
            </w:r>
          </w:p>
          <w:p w:rsidR="00CC41D7" w:rsidRPr="00E63E1C" w:rsidRDefault="00CC41D7" w:rsidP="00B138A3">
            <w:pPr>
              <w:jc w:val="center"/>
              <w:rPr>
                <w:sz w:val="22"/>
                <w:szCs w:val="22"/>
                <w:lang w:val="en-GB"/>
              </w:rPr>
            </w:pPr>
            <w:r w:rsidRPr="00E63E1C">
              <w:rPr>
                <w:sz w:val="22"/>
                <w:szCs w:val="22"/>
                <w:lang w:val="en-GB"/>
              </w:rPr>
              <w:t>C</w:t>
            </w:r>
            <w:r w:rsidRPr="00E63E1C">
              <w:rPr>
                <w:sz w:val="22"/>
                <w:szCs w:val="22"/>
                <w:vertAlign w:val="subscript"/>
                <w:lang w:val="en-GB"/>
              </w:rPr>
              <w:t>39</w:t>
            </w:r>
            <w:r w:rsidRPr="00E63E1C">
              <w:rPr>
                <w:sz w:val="22"/>
                <w:szCs w:val="22"/>
                <w:lang w:val="en-GB"/>
              </w:rPr>
              <w:t>H</w:t>
            </w:r>
            <w:r w:rsidRPr="00E63E1C">
              <w:rPr>
                <w:sz w:val="22"/>
                <w:szCs w:val="22"/>
                <w:vertAlign w:val="subscript"/>
                <w:lang w:val="en-GB"/>
              </w:rPr>
              <w:t>76</w:t>
            </w:r>
            <w:r w:rsidRPr="00E63E1C">
              <w:rPr>
                <w:sz w:val="22"/>
                <w:szCs w:val="22"/>
                <w:lang w:val="en-GB"/>
              </w:rPr>
              <w:t>O</w:t>
            </w:r>
            <w:r w:rsidRPr="00E63E1C">
              <w:rPr>
                <w:sz w:val="22"/>
                <w:szCs w:val="22"/>
                <w:vertAlign w:val="subscript"/>
                <w:lang w:val="en-GB"/>
              </w:rPr>
              <w:t>5</w:t>
            </w:r>
          </w:p>
        </w:tc>
        <w:tc>
          <w:tcPr>
            <w:tcW w:w="720" w:type="dxa"/>
            <w:shd w:val="clear" w:color="auto" w:fill="auto"/>
          </w:tcPr>
          <w:p w:rsidR="00CC41D7" w:rsidRPr="00E63E1C" w:rsidRDefault="00CC41D7" w:rsidP="00B138A3">
            <w:pPr>
              <w:jc w:val="center"/>
              <w:rPr>
                <w:sz w:val="22"/>
                <w:szCs w:val="22"/>
                <w:lang w:val="en-GB"/>
              </w:rPr>
            </w:pPr>
            <w:r w:rsidRPr="00E63E1C">
              <w:rPr>
                <w:sz w:val="22"/>
                <w:szCs w:val="22"/>
                <w:lang w:val="en-GB"/>
              </w:rPr>
              <w:t>0</w:t>
            </w:r>
          </w:p>
          <w:p w:rsidR="00CC41D7" w:rsidRPr="00E63E1C" w:rsidRDefault="00CC41D7" w:rsidP="00B138A3">
            <w:pPr>
              <w:jc w:val="center"/>
              <w:rPr>
                <w:sz w:val="22"/>
                <w:szCs w:val="22"/>
                <w:lang w:val="en-GB"/>
              </w:rPr>
            </w:pPr>
            <w:r w:rsidRPr="00E63E1C">
              <w:rPr>
                <w:sz w:val="22"/>
                <w:szCs w:val="22"/>
                <w:lang w:val="en-GB"/>
              </w:rPr>
              <w:t>0</w:t>
            </w:r>
          </w:p>
          <w:p w:rsidR="00CC41D7" w:rsidRPr="00E63E1C" w:rsidRDefault="00CC41D7" w:rsidP="00B138A3">
            <w:pPr>
              <w:jc w:val="center"/>
              <w:rPr>
                <w:sz w:val="22"/>
                <w:szCs w:val="22"/>
                <w:lang w:val="en-GB"/>
              </w:rPr>
            </w:pPr>
            <w:r w:rsidRPr="00E63E1C">
              <w:rPr>
                <w:sz w:val="22"/>
                <w:szCs w:val="22"/>
                <w:lang w:val="en-GB"/>
              </w:rPr>
              <w:t>0</w:t>
            </w:r>
          </w:p>
        </w:tc>
        <w:tc>
          <w:tcPr>
            <w:tcW w:w="900" w:type="dxa"/>
          </w:tcPr>
          <w:p w:rsidR="00CC41D7" w:rsidRPr="00E63E1C" w:rsidRDefault="00CC41D7" w:rsidP="00B138A3">
            <w:pPr>
              <w:jc w:val="center"/>
              <w:rPr>
                <w:sz w:val="22"/>
                <w:szCs w:val="22"/>
                <w:lang w:val="en-GB"/>
              </w:rPr>
            </w:pPr>
            <w:r w:rsidRPr="00E63E1C">
              <w:rPr>
                <w:sz w:val="22"/>
                <w:szCs w:val="22"/>
                <w:lang w:val="en-GB"/>
              </w:rPr>
              <w:t>16</w:t>
            </w:r>
          </w:p>
          <w:p w:rsidR="00CC41D7" w:rsidRPr="00E63E1C" w:rsidRDefault="00CC41D7" w:rsidP="00B138A3">
            <w:pPr>
              <w:jc w:val="center"/>
              <w:rPr>
                <w:sz w:val="22"/>
                <w:szCs w:val="22"/>
                <w:lang w:val="en-GB"/>
              </w:rPr>
            </w:pPr>
            <w:r w:rsidRPr="00E63E1C">
              <w:rPr>
                <w:sz w:val="22"/>
                <w:szCs w:val="22"/>
                <w:lang w:val="en-GB"/>
              </w:rPr>
              <w:t>17</w:t>
            </w:r>
          </w:p>
          <w:p w:rsidR="00CC41D7" w:rsidRPr="00E63E1C" w:rsidRDefault="00CC41D7" w:rsidP="00B138A3">
            <w:pPr>
              <w:jc w:val="center"/>
              <w:rPr>
                <w:sz w:val="22"/>
                <w:szCs w:val="22"/>
                <w:lang w:val="en-GB"/>
              </w:rPr>
            </w:pPr>
            <w:r w:rsidRPr="00E63E1C">
              <w:rPr>
                <w:sz w:val="22"/>
                <w:szCs w:val="22"/>
                <w:lang w:val="en-GB"/>
              </w:rPr>
              <w:t>18</w:t>
            </w:r>
          </w:p>
        </w:tc>
        <w:tc>
          <w:tcPr>
            <w:tcW w:w="1350" w:type="dxa"/>
            <w:shd w:val="clear" w:color="auto" w:fill="auto"/>
          </w:tcPr>
          <w:p w:rsidR="00CC41D7" w:rsidRPr="00E63E1C" w:rsidRDefault="00CC41D7" w:rsidP="00B138A3">
            <w:pPr>
              <w:jc w:val="center"/>
              <w:rPr>
                <w:sz w:val="22"/>
                <w:szCs w:val="22"/>
                <w:lang w:val="en-GB"/>
              </w:rPr>
            </w:pPr>
          </w:p>
          <w:p w:rsidR="00CC41D7" w:rsidRPr="00E63E1C" w:rsidRDefault="00CC41D7" w:rsidP="00B138A3">
            <w:pPr>
              <w:jc w:val="center"/>
              <w:rPr>
                <w:sz w:val="22"/>
                <w:szCs w:val="22"/>
                <w:lang w:val="en-GB"/>
              </w:rPr>
            </w:pPr>
            <w:r w:rsidRPr="00E63E1C">
              <w:rPr>
                <w:sz w:val="22"/>
                <w:szCs w:val="22"/>
                <w:lang w:val="en-GB"/>
              </w:rPr>
              <w:t>16-60</w:t>
            </w:r>
          </w:p>
        </w:tc>
      </w:tr>
      <w:tr w:rsidR="00CC41D7" w:rsidRPr="00E63E1C" w:rsidTr="00B138A3">
        <w:trPr>
          <w:cantSplit/>
          <w:trHeight w:val="800"/>
        </w:trPr>
        <w:tc>
          <w:tcPr>
            <w:tcW w:w="918" w:type="dxa"/>
            <w:shd w:val="clear" w:color="auto" w:fill="auto"/>
          </w:tcPr>
          <w:p w:rsidR="00CC41D7" w:rsidRPr="00E63E1C" w:rsidRDefault="00CC41D7" w:rsidP="00B138A3">
            <w:pPr>
              <w:jc w:val="both"/>
              <w:rPr>
                <w:sz w:val="22"/>
                <w:szCs w:val="22"/>
                <w:lang w:val="en-GB"/>
              </w:rPr>
            </w:pPr>
            <w:r w:rsidRPr="00E63E1C">
              <w:rPr>
                <w:sz w:val="22"/>
                <w:szCs w:val="22"/>
                <w:lang w:val="en-GB"/>
              </w:rPr>
              <w:t>MG</w:t>
            </w:r>
          </w:p>
        </w:tc>
        <w:tc>
          <w:tcPr>
            <w:tcW w:w="1260" w:type="dxa"/>
            <w:shd w:val="clear" w:color="auto" w:fill="auto"/>
          </w:tcPr>
          <w:p w:rsidR="00CC41D7" w:rsidRPr="00E63E1C" w:rsidRDefault="00CC41D7" w:rsidP="00B138A3">
            <w:pPr>
              <w:jc w:val="center"/>
              <w:rPr>
                <w:b/>
                <w:sz w:val="22"/>
                <w:szCs w:val="22"/>
                <w:lang w:val="en-GB"/>
              </w:rPr>
            </w:pPr>
            <w:r w:rsidRPr="00E63E1C">
              <w:rPr>
                <w:b/>
                <w:sz w:val="22"/>
                <w:szCs w:val="22"/>
                <w:lang w:val="en-GB"/>
              </w:rPr>
              <w:t>C</w:t>
            </w:r>
            <w:r w:rsidRPr="00E63E1C">
              <w:rPr>
                <w:b/>
                <w:sz w:val="22"/>
                <w:szCs w:val="22"/>
                <w:vertAlign w:val="subscript"/>
                <w:lang w:val="en-GB"/>
              </w:rPr>
              <w:t>19</w:t>
            </w:r>
            <w:r w:rsidRPr="00E63E1C">
              <w:rPr>
                <w:b/>
                <w:sz w:val="22"/>
                <w:szCs w:val="22"/>
                <w:lang w:val="en-GB"/>
              </w:rPr>
              <w:t>H</w:t>
            </w:r>
            <w:r w:rsidRPr="00E63E1C">
              <w:rPr>
                <w:b/>
                <w:sz w:val="22"/>
                <w:szCs w:val="22"/>
                <w:vertAlign w:val="subscript"/>
                <w:lang w:val="en-GB"/>
              </w:rPr>
              <w:t>38</w:t>
            </w:r>
            <w:r w:rsidRPr="00E63E1C">
              <w:rPr>
                <w:b/>
                <w:sz w:val="22"/>
                <w:szCs w:val="22"/>
                <w:lang w:val="en-GB"/>
              </w:rPr>
              <w:t>O</w:t>
            </w:r>
            <w:r w:rsidRPr="00E63E1C">
              <w:rPr>
                <w:b/>
                <w:sz w:val="22"/>
                <w:szCs w:val="22"/>
                <w:vertAlign w:val="subscript"/>
                <w:lang w:val="en-GB"/>
              </w:rPr>
              <w:t>4</w:t>
            </w:r>
          </w:p>
          <w:p w:rsidR="00CC41D7" w:rsidRPr="00E63E1C" w:rsidRDefault="00CC41D7" w:rsidP="00B138A3">
            <w:pPr>
              <w:jc w:val="center"/>
              <w:rPr>
                <w:b/>
                <w:sz w:val="22"/>
                <w:szCs w:val="22"/>
                <w:lang w:val="en-GB"/>
              </w:rPr>
            </w:pPr>
            <w:r w:rsidRPr="00E63E1C">
              <w:rPr>
                <w:b/>
                <w:sz w:val="22"/>
                <w:szCs w:val="22"/>
                <w:lang w:val="en-GB"/>
              </w:rPr>
              <w:t>C</w:t>
            </w:r>
            <w:r w:rsidRPr="00E63E1C">
              <w:rPr>
                <w:b/>
                <w:sz w:val="22"/>
                <w:szCs w:val="22"/>
                <w:vertAlign w:val="subscript"/>
                <w:lang w:val="en-GB"/>
              </w:rPr>
              <w:t>21</w:t>
            </w:r>
            <w:r w:rsidRPr="00E63E1C">
              <w:rPr>
                <w:b/>
                <w:sz w:val="22"/>
                <w:szCs w:val="22"/>
                <w:lang w:val="en-GB"/>
              </w:rPr>
              <w:t>H</w:t>
            </w:r>
            <w:r w:rsidRPr="00E63E1C">
              <w:rPr>
                <w:b/>
                <w:sz w:val="22"/>
                <w:szCs w:val="22"/>
                <w:vertAlign w:val="subscript"/>
                <w:lang w:val="en-GB"/>
              </w:rPr>
              <w:t>42</w:t>
            </w:r>
            <w:r w:rsidRPr="00E63E1C">
              <w:rPr>
                <w:b/>
                <w:sz w:val="22"/>
                <w:szCs w:val="22"/>
                <w:lang w:val="en-GB"/>
              </w:rPr>
              <w:t>O</w:t>
            </w:r>
            <w:r w:rsidRPr="00E63E1C">
              <w:rPr>
                <w:b/>
                <w:sz w:val="22"/>
                <w:szCs w:val="22"/>
                <w:vertAlign w:val="subscript"/>
                <w:lang w:val="en-GB"/>
              </w:rPr>
              <w:t>4</w:t>
            </w:r>
          </w:p>
          <w:p w:rsidR="00CC41D7" w:rsidRPr="00E63E1C" w:rsidRDefault="00CC41D7" w:rsidP="00B138A3">
            <w:pPr>
              <w:jc w:val="center"/>
              <w:rPr>
                <w:sz w:val="22"/>
                <w:szCs w:val="22"/>
                <w:lang w:val="en-GB"/>
              </w:rPr>
            </w:pPr>
            <w:r w:rsidRPr="00E63E1C">
              <w:rPr>
                <w:b/>
                <w:sz w:val="22"/>
                <w:szCs w:val="22"/>
                <w:lang w:val="en-GB"/>
              </w:rPr>
              <w:t>C</w:t>
            </w:r>
            <w:r w:rsidRPr="00E63E1C">
              <w:rPr>
                <w:b/>
                <w:sz w:val="22"/>
                <w:szCs w:val="22"/>
                <w:vertAlign w:val="subscript"/>
                <w:lang w:val="en-GB"/>
              </w:rPr>
              <w:t>23</w:t>
            </w:r>
            <w:r w:rsidRPr="00E63E1C">
              <w:rPr>
                <w:b/>
                <w:sz w:val="22"/>
                <w:szCs w:val="22"/>
                <w:lang w:val="en-GB"/>
              </w:rPr>
              <w:t>H</w:t>
            </w:r>
            <w:r w:rsidRPr="00E63E1C">
              <w:rPr>
                <w:b/>
                <w:sz w:val="22"/>
                <w:szCs w:val="22"/>
                <w:vertAlign w:val="subscript"/>
                <w:lang w:val="en-GB"/>
              </w:rPr>
              <w:t>46</w:t>
            </w:r>
            <w:r w:rsidRPr="00E63E1C">
              <w:rPr>
                <w:b/>
                <w:sz w:val="22"/>
                <w:szCs w:val="22"/>
                <w:lang w:val="en-GB"/>
              </w:rPr>
              <w:t>O</w:t>
            </w:r>
            <w:r w:rsidRPr="00E63E1C">
              <w:rPr>
                <w:b/>
                <w:sz w:val="22"/>
                <w:szCs w:val="22"/>
                <w:vertAlign w:val="subscript"/>
                <w:lang w:val="en-GB"/>
              </w:rPr>
              <w:t>4</w:t>
            </w:r>
          </w:p>
        </w:tc>
        <w:tc>
          <w:tcPr>
            <w:tcW w:w="720" w:type="dxa"/>
            <w:shd w:val="clear" w:color="auto" w:fill="auto"/>
          </w:tcPr>
          <w:p w:rsidR="00CC41D7" w:rsidRPr="00E63E1C" w:rsidRDefault="00CC41D7" w:rsidP="00B138A3">
            <w:pPr>
              <w:jc w:val="center"/>
              <w:rPr>
                <w:sz w:val="22"/>
                <w:szCs w:val="22"/>
                <w:lang w:val="en-GB"/>
              </w:rPr>
            </w:pPr>
            <w:r w:rsidRPr="00E63E1C">
              <w:rPr>
                <w:sz w:val="22"/>
                <w:szCs w:val="22"/>
                <w:lang w:val="en-GB"/>
              </w:rPr>
              <w:t>0</w:t>
            </w:r>
          </w:p>
          <w:p w:rsidR="00CC41D7" w:rsidRPr="00E63E1C" w:rsidRDefault="00CC41D7" w:rsidP="00B138A3">
            <w:pPr>
              <w:jc w:val="center"/>
              <w:rPr>
                <w:sz w:val="22"/>
                <w:szCs w:val="22"/>
                <w:lang w:val="en-GB"/>
              </w:rPr>
            </w:pPr>
            <w:r w:rsidRPr="00E63E1C">
              <w:rPr>
                <w:sz w:val="22"/>
                <w:szCs w:val="22"/>
                <w:lang w:val="en-GB"/>
              </w:rPr>
              <w:t>0</w:t>
            </w:r>
          </w:p>
          <w:p w:rsidR="00CC41D7" w:rsidRPr="00E63E1C" w:rsidRDefault="00CC41D7" w:rsidP="00B138A3">
            <w:pPr>
              <w:jc w:val="center"/>
              <w:rPr>
                <w:sz w:val="22"/>
                <w:szCs w:val="22"/>
                <w:lang w:val="en-GB"/>
              </w:rPr>
            </w:pPr>
            <w:r w:rsidRPr="00E63E1C">
              <w:rPr>
                <w:sz w:val="22"/>
                <w:szCs w:val="22"/>
                <w:lang w:val="en-GB"/>
              </w:rPr>
              <w:t>0</w:t>
            </w:r>
          </w:p>
        </w:tc>
        <w:tc>
          <w:tcPr>
            <w:tcW w:w="900" w:type="dxa"/>
          </w:tcPr>
          <w:p w:rsidR="00CC41D7" w:rsidRPr="00E63E1C" w:rsidRDefault="00CC41D7" w:rsidP="00B138A3">
            <w:pPr>
              <w:jc w:val="center"/>
              <w:rPr>
                <w:sz w:val="22"/>
                <w:szCs w:val="22"/>
                <w:lang w:val="en-GB"/>
              </w:rPr>
            </w:pPr>
            <w:r w:rsidRPr="00E63E1C">
              <w:rPr>
                <w:sz w:val="22"/>
                <w:szCs w:val="22"/>
                <w:lang w:val="en-GB"/>
              </w:rPr>
              <w:t>16</w:t>
            </w:r>
          </w:p>
          <w:p w:rsidR="00CC41D7" w:rsidRPr="00E63E1C" w:rsidRDefault="00CC41D7" w:rsidP="00B138A3">
            <w:pPr>
              <w:jc w:val="center"/>
              <w:rPr>
                <w:sz w:val="22"/>
                <w:szCs w:val="22"/>
                <w:lang w:val="en-GB"/>
              </w:rPr>
            </w:pPr>
            <w:r w:rsidRPr="00E63E1C">
              <w:rPr>
                <w:sz w:val="22"/>
                <w:szCs w:val="22"/>
                <w:lang w:val="en-GB"/>
              </w:rPr>
              <w:t>18</w:t>
            </w:r>
          </w:p>
          <w:p w:rsidR="00CC41D7" w:rsidRPr="00E63E1C" w:rsidRDefault="00CC41D7" w:rsidP="00B138A3">
            <w:pPr>
              <w:jc w:val="center"/>
              <w:rPr>
                <w:sz w:val="22"/>
                <w:szCs w:val="22"/>
                <w:lang w:val="en-GB"/>
              </w:rPr>
            </w:pPr>
            <w:r w:rsidRPr="00E63E1C">
              <w:rPr>
                <w:sz w:val="22"/>
                <w:szCs w:val="22"/>
                <w:lang w:val="en-GB"/>
              </w:rPr>
              <w:t>20</w:t>
            </w:r>
          </w:p>
        </w:tc>
        <w:tc>
          <w:tcPr>
            <w:tcW w:w="1350" w:type="dxa"/>
            <w:shd w:val="clear" w:color="auto" w:fill="auto"/>
          </w:tcPr>
          <w:p w:rsidR="00CC41D7" w:rsidRPr="00E63E1C" w:rsidRDefault="00CC41D7" w:rsidP="00B138A3">
            <w:pPr>
              <w:jc w:val="center"/>
              <w:rPr>
                <w:sz w:val="22"/>
                <w:szCs w:val="22"/>
                <w:lang w:val="en-GB"/>
              </w:rPr>
            </w:pPr>
          </w:p>
          <w:p w:rsidR="00CC41D7" w:rsidRPr="00E63E1C" w:rsidRDefault="00CC41D7" w:rsidP="00B138A3">
            <w:pPr>
              <w:jc w:val="center"/>
              <w:rPr>
                <w:sz w:val="22"/>
                <w:szCs w:val="22"/>
                <w:lang w:val="en-GB"/>
              </w:rPr>
            </w:pPr>
            <w:r w:rsidRPr="00E63E1C">
              <w:rPr>
                <w:sz w:val="22"/>
                <w:szCs w:val="22"/>
                <w:lang w:val="en-GB"/>
              </w:rPr>
              <w:t>85-93</w:t>
            </w:r>
          </w:p>
        </w:tc>
        <w:tc>
          <w:tcPr>
            <w:tcW w:w="1350" w:type="dxa"/>
            <w:shd w:val="clear" w:color="auto" w:fill="auto"/>
          </w:tcPr>
          <w:p w:rsidR="00CC41D7" w:rsidRPr="00E63E1C" w:rsidRDefault="00CC41D7" w:rsidP="00B138A3">
            <w:pPr>
              <w:jc w:val="center"/>
              <w:rPr>
                <w:b/>
                <w:sz w:val="22"/>
                <w:szCs w:val="22"/>
                <w:lang w:val="en-GB"/>
              </w:rPr>
            </w:pPr>
            <w:r w:rsidRPr="00E63E1C">
              <w:rPr>
                <w:b/>
                <w:sz w:val="22"/>
                <w:szCs w:val="22"/>
                <w:lang w:val="en-GB"/>
              </w:rPr>
              <w:t>C</w:t>
            </w:r>
            <w:r w:rsidRPr="00E63E1C">
              <w:rPr>
                <w:b/>
                <w:sz w:val="22"/>
                <w:szCs w:val="22"/>
                <w:vertAlign w:val="subscript"/>
                <w:lang w:val="en-GB"/>
              </w:rPr>
              <w:t>19</w:t>
            </w:r>
            <w:r w:rsidRPr="00E63E1C">
              <w:rPr>
                <w:b/>
                <w:sz w:val="22"/>
                <w:szCs w:val="22"/>
                <w:lang w:val="en-GB"/>
              </w:rPr>
              <w:t>H</w:t>
            </w:r>
            <w:r w:rsidRPr="00E63E1C">
              <w:rPr>
                <w:b/>
                <w:sz w:val="22"/>
                <w:szCs w:val="22"/>
                <w:vertAlign w:val="subscript"/>
                <w:lang w:val="en-GB"/>
              </w:rPr>
              <w:t>38</w:t>
            </w:r>
            <w:r w:rsidRPr="00E63E1C">
              <w:rPr>
                <w:b/>
                <w:sz w:val="22"/>
                <w:szCs w:val="22"/>
                <w:lang w:val="en-GB"/>
              </w:rPr>
              <w:t>O</w:t>
            </w:r>
            <w:r w:rsidRPr="00E63E1C">
              <w:rPr>
                <w:b/>
                <w:sz w:val="22"/>
                <w:szCs w:val="22"/>
                <w:vertAlign w:val="subscript"/>
                <w:lang w:val="en-GB"/>
              </w:rPr>
              <w:t>4</w:t>
            </w:r>
          </w:p>
          <w:p w:rsidR="00CC41D7" w:rsidRPr="00E63E1C" w:rsidRDefault="00CC41D7" w:rsidP="00B138A3">
            <w:pPr>
              <w:jc w:val="center"/>
              <w:rPr>
                <w:b/>
                <w:sz w:val="22"/>
                <w:szCs w:val="22"/>
                <w:lang w:val="en-GB"/>
              </w:rPr>
            </w:pPr>
            <w:r w:rsidRPr="00E63E1C">
              <w:rPr>
                <w:b/>
                <w:sz w:val="22"/>
                <w:szCs w:val="22"/>
                <w:lang w:val="en-GB"/>
              </w:rPr>
              <w:t>C</w:t>
            </w:r>
            <w:r w:rsidRPr="00E63E1C">
              <w:rPr>
                <w:b/>
                <w:sz w:val="22"/>
                <w:szCs w:val="22"/>
                <w:vertAlign w:val="subscript"/>
                <w:lang w:val="en-GB"/>
              </w:rPr>
              <w:t>21</w:t>
            </w:r>
            <w:r w:rsidRPr="00E63E1C">
              <w:rPr>
                <w:b/>
                <w:sz w:val="22"/>
                <w:szCs w:val="22"/>
                <w:lang w:val="en-GB"/>
              </w:rPr>
              <w:t>H</w:t>
            </w:r>
            <w:r w:rsidRPr="00E63E1C">
              <w:rPr>
                <w:b/>
                <w:sz w:val="22"/>
                <w:szCs w:val="22"/>
                <w:vertAlign w:val="subscript"/>
                <w:lang w:val="en-GB"/>
              </w:rPr>
              <w:t>42</w:t>
            </w:r>
            <w:r w:rsidRPr="00E63E1C">
              <w:rPr>
                <w:b/>
                <w:sz w:val="22"/>
                <w:szCs w:val="22"/>
                <w:lang w:val="en-GB"/>
              </w:rPr>
              <w:t>O</w:t>
            </w:r>
            <w:r w:rsidRPr="00E63E1C">
              <w:rPr>
                <w:b/>
                <w:sz w:val="22"/>
                <w:szCs w:val="22"/>
                <w:vertAlign w:val="subscript"/>
                <w:lang w:val="en-GB"/>
              </w:rPr>
              <w:t>4</w:t>
            </w:r>
          </w:p>
          <w:p w:rsidR="00CC41D7" w:rsidRPr="00E63E1C" w:rsidRDefault="00CC41D7" w:rsidP="00B138A3">
            <w:pPr>
              <w:jc w:val="center"/>
              <w:rPr>
                <w:sz w:val="22"/>
                <w:szCs w:val="22"/>
                <w:lang w:val="en-GB"/>
              </w:rPr>
            </w:pPr>
            <w:r w:rsidRPr="00E63E1C">
              <w:rPr>
                <w:b/>
                <w:sz w:val="22"/>
                <w:szCs w:val="22"/>
                <w:lang w:val="en-GB"/>
              </w:rPr>
              <w:t>C</w:t>
            </w:r>
            <w:r w:rsidRPr="00E63E1C">
              <w:rPr>
                <w:b/>
                <w:sz w:val="22"/>
                <w:szCs w:val="22"/>
                <w:vertAlign w:val="subscript"/>
                <w:lang w:val="en-GB"/>
              </w:rPr>
              <w:t>23</w:t>
            </w:r>
            <w:r w:rsidRPr="00E63E1C">
              <w:rPr>
                <w:b/>
                <w:sz w:val="22"/>
                <w:szCs w:val="22"/>
                <w:lang w:val="en-GB"/>
              </w:rPr>
              <w:t>H</w:t>
            </w:r>
            <w:r w:rsidRPr="00E63E1C">
              <w:rPr>
                <w:b/>
                <w:sz w:val="22"/>
                <w:szCs w:val="22"/>
                <w:vertAlign w:val="subscript"/>
                <w:lang w:val="en-GB"/>
              </w:rPr>
              <w:t>46</w:t>
            </w:r>
            <w:r w:rsidRPr="00E63E1C">
              <w:rPr>
                <w:b/>
                <w:sz w:val="22"/>
                <w:szCs w:val="22"/>
                <w:lang w:val="en-GB"/>
              </w:rPr>
              <w:t>O</w:t>
            </w:r>
            <w:r w:rsidRPr="00E63E1C">
              <w:rPr>
                <w:b/>
                <w:sz w:val="22"/>
                <w:szCs w:val="22"/>
                <w:vertAlign w:val="subscript"/>
                <w:lang w:val="en-GB"/>
              </w:rPr>
              <w:t>4</w:t>
            </w:r>
          </w:p>
        </w:tc>
        <w:tc>
          <w:tcPr>
            <w:tcW w:w="720" w:type="dxa"/>
            <w:shd w:val="clear" w:color="auto" w:fill="auto"/>
          </w:tcPr>
          <w:p w:rsidR="00CC41D7" w:rsidRPr="00E63E1C" w:rsidRDefault="00CC41D7" w:rsidP="00B138A3">
            <w:pPr>
              <w:jc w:val="center"/>
              <w:rPr>
                <w:sz w:val="22"/>
                <w:szCs w:val="22"/>
                <w:lang w:val="en-GB"/>
              </w:rPr>
            </w:pPr>
            <w:r w:rsidRPr="00E63E1C">
              <w:rPr>
                <w:sz w:val="22"/>
                <w:szCs w:val="22"/>
                <w:lang w:val="en-GB"/>
              </w:rPr>
              <w:t>0</w:t>
            </w:r>
          </w:p>
          <w:p w:rsidR="00CC41D7" w:rsidRPr="00E63E1C" w:rsidRDefault="00CC41D7" w:rsidP="00B138A3">
            <w:pPr>
              <w:jc w:val="center"/>
              <w:rPr>
                <w:sz w:val="22"/>
                <w:szCs w:val="22"/>
                <w:lang w:val="en-GB"/>
              </w:rPr>
            </w:pPr>
            <w:r w:rsidRPr="00E63E1C">
              <w:rPr>
                <w:sz w:val="22"/>
                <w:szCs w:val="22"/>
                <w:lang w:val="en-GB"/>
              </w:rPr>
              <w:t>0</w:t>
            </w:r>
          </w:p>
          <w:p w:rsidR="00CC41D7" w:rsidRPr="00E63E1C" w:rsidRDefault="00CC41D7" w:rsidP="00B138A3">
            <w:pPr>
              <w:jc w:val="center"/>
              <w:rPr>
                <w:sz w:val="22"/>
                <w:szCs w:val="22"/>
                <w:lang w:val="en-GB"/>
              </w:rPr>
            </w:pPr>
            <w:r w:rsidRPr="00E63E1C">
              <w:rPr>
                <w:sz w:val="22"/>
                <w:szCs w:val="22"/>
                <w:lang w:val="en-GB"/>
              </w:rPr>
              <w:t>0</w:t>
            </w:r>
          </w:p>
        </w:tc>
        <w:tc>
          <w:tcPr>
            <w:tcW w:w="900" w:type="dxa"/>
          </w:tcPr>
          <w:p w:rsidR="00CC41D7" w:rsidRPr="00E63E1C" w:rsidRDefault="00CC41D7" w:rsidP="00B138A3">
            <w:pPr>
              <w:jc w:val="center"/>
              <w:rPr>
                <w:sz w:val="22"/>
                <w:szCs w:val="22"/>
                <w:lang w:val="en-GB"/>
              </w:rPr>
            </w:pPr>
            <w:r w:rsidRPr="00E63E1C">
              <w:rPr>
                <w:sz w:val="22"/>
                <w:szCs w:val="22"/>
                <w:lang w:val="en-GB"/>
              </w:rPr>
              <w:t>16</w:t>
            </w:r>
          </w:p>
          <w:p w:rsidR="00CC41D7" w:rsidRPr="00E63E1C" w:rsidRDefault="00CC41D7" w:rsidP="00B138A3">
            <w:pPr>
              <w:jc w:val="center"/>
              <w:rPr>
                <w:sz w:val="22"/>
                <w:szCs w:val="22"/>
                <w:lang w:val="en-GB"/>
              </w:rPr>
            </w:pPr>
            <w:r w:rsidRPr="00E63E1C">
              <w:rPr>
                <w:sz w:val="22"/>
                <w:szCs w:val="22"/>
                <w:lang w:val="en-GB"/>
              </w:rPr>
              <w:t>18</w:t>
            </w:r>
          </w:p>
          <w:p w:rsidR="00CC41D7" w:rsidRPr="00E63E1C" w:rsidRDefault="00CC41D7" w:rsidP="00B138A3">
            <w:pPr>
              <w:jc w:val="center"/>
              <w:rPr>
                <w:sz w:val="22"/>
                <w:szCs w:val="22"/>
                <w:lang w:val="en-GB"/>
              </w:rPr>
            </w:pPr>
            <w:r w:rsidRPr="00E63E1C">
              <w:rPr>
                <w:sz w:val="22"/>
                <w:szCs w:val="22"/>
                <w:lang w:val="en-GB"/>
              </w:rPr>
              <w:t>20</w:t>
            </w:r>
          </w:p>
        </w:tc>
        <w:tc>
          <w:tcPr>
            <w:tcW w:w="1350" w:type="dxa"/>
            <w:shd w:val="clear" w:color="auto" w:fill="auto"/>
          </w:tcPr>
          <w:p w:rsidR="00CC41D7" w:rsidRPr="00E63E1C" w:rsidRDefault="00CC41D7" w:rsidP="00B138A3">
            <w:pPr>
              <w:jc w:val="center"/>
              <w:rPr>
                <w:sz w:val="22"/>
                <w:szCs w:val="22"/>
                <w:lang w:val="en-GB"/>
              </w:rPr>
            </w:pPr>
          </w:p>
          <w:p w:rsidR="00CC41D7" w:rsidRPr="00E63E1C" w:rsidRDefault="00CC41D7" w:rsidP="00B138A3">
            <w:pPr>
              <w:jc w:val="center"/>
              <w:rPr>
                <w:sz w:val="22"/>
                <w:szCs w:val="22"/>
                <w:lang w:val="en-GB"/>
              </w:rPr>
            </w:pPr>
            <w:r w:rsidRPr="00E63E1C">
              <w:rPr>
                <w:sz w:val="22"/>
                <w:szCs w:val="22"/>
                <w:lang w:val="en-GB"/>
              </w:rPr>
              <w:t>92-100</w:t>
            </w:r>
          </w:p>
        </w:tc>
      </w:tr>
      <w:tr w:rsidR="00CC41D7" w:rsidRPr="00E63E1C" w:rsidTr="00B138A3">
        <w:trPr>
          <w:cantSplit/>
          <w:trHeight w:val="710"/>
        </w:trPr>
        <w:tc>
          <w:tcPr>
            <w:tcW w:w="918" w:type="dxa"/>
            <w:shd w:val="clear" w:color="auto" w:fill="auto"/>
          </w:tcPr>
          <w:p w:rsidR="00CC41D7" w:rsidRPr="00E63E1C" w:rsidRDefault="00CC41D7" w:rsidP="00B138A3">
            <w:pPr>
              <w:jc w:val="both"/>
              <w:rPr>
                <w:sz w:val="22"/>
                <w:szCs w:val="22"/>
                <w:lang w:val="en-GB"/>
              </w:rPr>
            </w:pPr>
            <w:r w:rsidRPr="00E63E1C">
              <w:rPr>
                <w:sz w:val="22"/>
                <w:szCs w:val="22"/>
                <w:lang w:val="en-GB"/>
              </w:rPr>
              <w:t>UFA</w:t>
            </w:r>
          </w:p>
        </w:tc>
        <w:tc>
          <w:tcPr>
            <w:tcW w:w="1260" w:type="dxa"/>
            <w:shd w:val="clear" w:color="auto" w:fill="auto"/>
          </w:tcPr>
          <w:p w:rsidR="00CC41D7" w:rsidRPr="00E63E1C" w:rsidRDefault="00CC41D7" w:rsidP="00B138A3">
            <w:pPr>
              <w:jc w:val="center"/>
              <w:rPr>
                <w:sz w:val="22"/>
                <w:szCs w:val="22"/>
                <w:lang w:val="en-GB"/>
              </w:rPr>
            </w:pPr>
            <w:r w:rsidRPr="00E63E1C">
              <w:rPr>
                <w:sz w:val="22"/>
                <w:szCs w:val="22"/>
                <w:lang w:val="en-GB"/>
              </w:rPr>
              <w:t>C</w:t>
            </w:r>
            <w:r w:rsidRPr="00E63E1C">
              <w:rPr>
                <w:sz w:val="22"/>
                <w:szCs w:val="22"/>
                <w:vertAlign w:val="subscript"/>
                <w:lang w:val="en-GB"/>
              </w:rPr>
              <w:t>16</w:t>
            </w:r>
            <w:r w:rsidRPr="00E63E1C">
              <w:rPr>
                <w:sz w:val="22"/>
                <w:szCs w:val="22"/>
                <w:lang w:val="en-GB"/>
              </w:rPr>
              <w:t>H</w:t>
            </w:r>
            <w:r w:rsidRPr="00E63E1C">
              <w:rPr>
                <w:sz w:val="22"/>
                <w:szCs w:val="22"/>
                <w:vertAlign w:val="subscript"/>
                <w:lang w:val="en-GB"/>
              </w:rPr>
              <w:t>28</w:t>
            </w:r>
            <w:r w:rsidRPr="00E63E1C">
              <w:rPr>
                <w:sz w:val="22"/>
                <w:szCs w:val="22"/>
                <w:lang w:val="en-GB"/>
              </w:rPr>
              <w:t>O</w:t>
            </w:r>
            <w:r w:rsidRPr="00E63E1C">
              <w:rPr>
                <w:sz w:val="22"/>
                <w:szCs w:val="22"/>
                <w:vertAlign w:val="subscript"/>
                <w:lang w:val="en-GB"/>
              </w:rPr>
              <w:t>2</w:t>
            </w:r>
          </w:p>
          <w:p w:rsidR="00CC41D7" w:rsidRPr="00E63E1C" w:rsidRDefault="00CC41D7" w:rsidP="00B138A3">
            <w:pPr>
              <w:jc w:val="center"/>
              <w:rPr>
                <w:sz w:val="22"/>
                <w:szCs w:val="22"/>
                <w:lang w:val="en-GB"/>
              </w:rPr>
            </w:pPr>
            <w:r w:rsidRPr="00E63E1C">
              <w:rPr>
                <w:sz w:val="22"/>
                <w:szCs w:val="22"/>
                <w:lang w:val="en-GB"/>
              </w:rPr>
              <w:t>C</w:t>
            </w:r>
            <w:r w:rsidRPr="00E63E1C">
              <w:rPr>
                <w:sz w:val="22"/>
                <w:szCs w:val="22"/>
                <w:vertAlign w:val="subscript"/>
                <w:lang w:val="en-GB"/>
              </w:rPr>
              <w:t>16</w:t>
            </w:r>
            <w:r w:rsidRPr="00E63E1C">
              <w:rPr>
                <w:sz w:val="22"/>
                <w:szCs w:val="22"/>
                <w:lang w:val="en-GB"/>
              </w:rPr>
              <w:t>H</w:t>
            </w:r>
            <w:r w:rsidRPr="00E63E1C">
              <w:rPr>
                <w:sz w:val="22"/>
                <w:szCs w:val="22"/>
                <w:vertAlign w:val="subscript"/>
                <w:lang w:val="en-GB"/>
              </w:rPr>
              <w:t>24</w:t>
            </w:r>
            <w:r w:rsidRPr="00E63E1C">
              <w:rPr>
                <w:sz w:val="22"/>
                <w:szCs w:val="22"/>
                <w:lang w:val="en-GB"/>
              </w:rPr>
              <w:t>O</w:t>
            </w:r>
            <w:r w:rsidRPr="00E63E1C">
              <w:rPr>
                <w:sz w:val="22"/>
                <w:szCs w:val="22"/>
                <w:vertAlign w:val="subscript"/>
                <w:lang w:val="en-GB"/>
              </w:rPr>
              <w:t>2</w:t>
            </w:r>
          </w:p>
          <w:p w:rsidR="00CC41D7" w:rsidRPr="00E63E1C" w:rsidRDefault="00CC41D7" w:rsidP="00B138A3">
            <w:pPr>
              <w:jc w:val="center"/>
              <w:rPr>
                <w:sz w:val="22"/>
                <w:szCs w:val="22"/>
                <w:lang w:val="en-GB"/>
              </w:rPr>
            </w:pPr>
            <w:r w:rsidRPr="00E63E1C">
              <w:rPr>
                <w:sz w:val="22"/>
                <w:szCs w:val="22"/>
                <w:lang w:val="en-GB"/>
              </w:rPr>
              <w:t>C</w:t>
            </w:r>
            <w:r w:rsidRPr="00E63E1C">
              <w:rPr>
                <w:sz w:val="22"/>
                <w:szCs w:val="22"/>
                <w:vertAlign w:val="subscript"/>
                <w:lang w:val="en-GB"/>
              </w:rPr>
              <w:t>28</w:t>
            </w:r>
            <w:r w:rsidRPr="00E63E1C">
              <w:rPr>
                <w:sz w:val="22"/>
                <w:szCs w:val="22"/>
                <w:lang w:val="en-GB"/>
              </w:rPr>
              <w:t>H</w:t>
            </w:r>
            <w:r w:rsidRPr="00E63E1C">
              <w:rPr>
                <w:sz w:val="22"/>
                <w:szCs w:val="22"/>
                <w:vertAlign w:val="subscript"/>
                <w:lang w:val="en-GB"/>
              </w:rPr>
              <w:t>40</w:t>
            </w:r>
            <w:r w:rsidRPr="00E63E1C">
              <w:rPr>
                <w:sz w:val="22"/>
                <w:szCs w:val="22"/>
                <w:lang w:val="en-GB"/>
              </w:rPr>
              <w:t>O</w:t>
            </w:r>
            <w:r w:rsidRPr="00E63E1C">
              <w:rPr>
                <w:sz w:val="22"/>
                <w:szCs w:val="22"/>
                <w:vertAlign w:val="subscript"/>
                <w:lang w:val="en-GB"/>
              </w:rPr>
              <w:t>2</w:t>
            </w:r>
          </w:p>
        </w:tc>
        <w:tc>
          <w:tcPr>
            <w:tcW w:w="720" w:type="dxa"/>
            <w:shd w:val="clear" w:color="auto" w:fill="auto"/>
          </w:tcPr>
          <w:p w:rsidR="00CC41D7" w:rsidRPr="00E63E1C" w:rsidRDefault="00CC41D7" w:rsidP="00B138A3">
            <w:pPr>
              <w:jc w:val="center"/>
              <w:rPr>
                <w:sz w:val="22"/>
                <w:szCs w:val="22"/>
                <w:lang w:val="en-GB"/>
              </w:rPr>
            </w:pPr>
            <w:r w:rsidRPr="00E63E1C">
              <w:rPr>
                <w:sz w:val="22"/>
                <w:szCs w:val="22"/>
                <w:lang w:val="en-GB"/>
              </w:rPr>
              <w:t>2</w:t>
            </w:r>
          </w:p>
          <w:p w:rsidR="00CC41D7" w:rsidRPr="00E63E1C" w:rsidRDefault="00CC41D7" w:rsidP="00B138A3">
            <w:pPr>
              <w:jc w:val="center"/>
              <w:rPr>
                <w:sz w:val="22"/>
                <w:szCs w:val="22"/>
                <w:lang w:val="en-GB"/>
              </w:rPr>
            </w:pPr>
            <w:r w:rsidRPr="00E63E1C">
              <w:rPr>
                <w:sz w:val="22"/>
                <w:szCs w:val="22"/>
                <w:lang w:val="en-GB"/>
              </w:rPr>
              <w:t>4</w:t>
            </w:r>
          </w:p>
          <w:p w:rsidR="00CC41D7" w:rsidRPr="00E63E1C" w:rsidRDefault="00CC41D7" w:rsidP="00B138A3">
            <w:pPr>
              <w:jc w:val="center"/>
              <w:rPr>
                <w:sz w:val="22"/>
                <w:szCs w:val="22"/>
                <w:lang w:val="en-GB"/>
              </w:rPr>
            </w:pPr>
            <w:r w:rsidRPr="00E63E1C">
              <w:rPr>
                <w:sz w:val="22"/>
                <w:szCs w:val="22"/>
                <w:lang w:val="en-GB"/>
              </w:rPr>
              <w:t>8</w:t>
            </w:r>
          </w:p>
        </w:tc>
        <w:tc>
          <w:tcPr>
            <w:tcW w:w="900" w:type="dxa"/>
            <w:textDirection w:val="tbRl"/>
          </w:tcPr>
          <w:p w:rsidR="00CC41D7" w:rsidRPr="00E63E1C" w:rsidRDefault="00CC41D7" w:rsidP="00B138A3">
            <w:pPr>
              <w:ind w:left="113" w:right="113"/>
              <w:jc w:val="center"/>
              <w:rPr>
                <w:sz w:val="22"/>
                <w:szCs w:val="22"/>
                <w:lang w:val="en-GB"/>
              </w:rPr>
            </w:pPr>
          </w:p>
        </w:tc>
        <w:tc>
          <w:tcPr>
            <w:tcW w:w="1350" w:type="dxa"/>
            <w:shd w:val="clear" w:color="auto" w:fill="auto"/>
          </w:tcPr>
          <w:p w:rsidR="00CC41D7" w:rsidRPr="00E63E1C" w:rsidRDefault="00CC41D7" w:rsidP="00B138A3">
            <w:pPr>
              <w:jc w:val="center"/>
              <w:rPr>
                <w:sz w:val="22"/>
                <w:szCs w:val="22"/>
                <w:lang w:val="en-GB"/>
              </w:rPr>
            </w:pPr>
          </w:p>
          <w:p w:rsidR="00CC41D7" w:rsidRPr="00E63E1C" w:rsidRDefault="00CC41D7" w:rsidP="00B138A3">
            <w:pPr>
              <w:jc w:val="center"/>
              <w:rPr>
                <w:sz w:val="22"/>
                <w:szCs w:val="22"/>
                <w:lang w:val="en-GB"/>
              </w:rPr>
            </w:pPr>
            <w:r w:rsidRPr="00E63E1C">
              <w:rPr>
                <w:sz w:val="22"/>
                <w:szCs w:val="22"/>
                <w:lang w:val="en-GB"/>
              </w:rPr>
              <w:t>89-90</w:t>
            </w:r>
          </w:p>
        </w:tc>
        <w:tc>
          <w:tcPr>
            <w:tcW w:w="1350" w:type="dxa"/>
            <w:shd w:val="clear" w:color="auto" w:fill="auto"/>
          </w:tcPr>
          <w:p w:rsidR="00CC41D7" w:rsidRPr="00E63E1C" w:rsidRDefault="00CC41D7" w:rsidP="00B138A3">
            <w:pPr>
              <w:jc w:val="center"/>
              <w:rPr>
                <w:sz w:val="22"/>
                <w:szCs w:val="22"/>
                <w:lang w:val="en-GB"/>
              </w:rPr>
            </w:pPr>
          </w:p>
          <w:p w:rsidR="00CC41D7" w:rsidRPr="00E63E1C" w:rsidRDefault="00CC41D7" w:rsidP="00B138A3">
            <w:pPr>
              <w:rPr>
                <w:sz w:val="22"/>
                <w:szCs w:val="22"/>
                <w:lang w:val="en-GB"/>
              </w:rPr>
            </w:pPr>
          </w:p>
          <w:p w:rsidR="00CC41D7" w:rsidRPr="00E63E1C" w:rsidRDefault="00CC41D7" w:rsidP="00B138A3">
            <w:pPr>
              <w:jc w:val="center"/>
              <w:rPr>
                <w:sz w:val="22"/>
                <w:szCs w:val="22"/>
                <w:lang w:val="en-GB"/>
              </w:rPr>
            </w:pPr>
          </w:p>
        </w:tc>
        <w:tc>
          <w:tcPr>
            <w:tcW w:w="720" w:type="dxa"/>
            <w:shd w:val="clear" w:color="auto" w:fill="auto"/>
          </w:tcPr>
          <w:p w:rsidR="00CC41D7" w:rsidRPr="00E63E1C" w:rsidRDefault="00CC41D7" w:rsidP="00B138A3">
            <w:pPr>
              <w:jc w:val="center"/>
              <w:rPr>
                <w:sz w:val="22"/>
                <w:szCs w:val="22"/>
                <w:lang w:val="en-GB"/>
              </w:rPr>
            </w:pPr>
          </w:p>
        </w:tc>
        <w:tc>
          <w:tcPr>
            <w:tcW w:w="900" w:type="dxa"/>
          </w:tcPr>
          <w:p w:rsidR="00CC41D7" w:rsidRPr="00E63E1C" w:rsidRDefault="00CC41D7" w:rsidP="00B138A3">
            <w:pPr>
              <w:jc w:val="center"/>
              <w:rPr>
                <w:sz w:val="22"/>
                <w:szCs w:val="22"/>
                <w:lang w:val="en-GB"/>
              </w:rPr>
            </w:pPr>
          </w:p>
        </w:tc>
        <w:tc>
          <w:tcPr>
            <w:tcW w:w="1350" w:type="dxa"/>
            <w:shd w:val="clear" w:color="auto" w:fill="auto"/>
          </w:tcPr>
          <w:p w:rsidR="00CC41D7" w:rsidRPr="00E63E1C" w:rsidRDefault="00CC41D7" w:rsidP="00B138A3">
            <w:pPr>
              <w:jc w:val="center"/>
              <w:rPr>
                <w:sz w:val="22"/>
                <w:szCs w:val="22"/>
                <w:lang w:val="en-GB"/>
              </w:rPr>
            </w:pPr>
          </w:p>
        </w:tc>
      </w:tr>
      <w:tr w:rsidR="00CC41D7" w:rsidRPr="00E63E1C" w:rsidTr="00B138A3">
        <w:trPr>
          <w:cantSplit/>
          <w:trHeight w:val="697"/>
        </w:trPr>
        <w:tc>
          <w:tcPr>
            <w:tcW w:w="918" w:type="dxa"/>
            <w:shd w:val="clear" w:color="auto" w:fill="auto"/>
          </w:tcPr>
          <w:p w:rsidR="00CC41D7" w:rsidRPr="00E63E1C" w:rsidRDefault="00CC41D7" w:rsidP="00B138A3">
            <w:pPr>
              <w:jc w:val="both"/>
              <w:rPr>
                <w:sz w:val="22"/>
                <w:szCs w:val="22"/>
                <w:lang w:val="en-GB"/>
              </w:rPr>
            </w:pPr>
            <w:r w:rsidRPr="00E63E1C">
              <w:rPr>
                <w:sz w:val="22"/>
                <w:szCs w:val="22"/>
                <w:lang w:val="en-GB"/>
              </w:rPr>
              <w:t>BrFA</w:t>
            </w:r>
          </w:p>
        </w:tc>
        <w:tc>
          <w:tcPr>
            <w:tcW w:w="1260" w:type="dxa"/>
            <w:shd w:val="clear" w:color="auto" w:fill="auto"/>
          </w:tcPr>
          <w:p w:rsidR="00CC41D7" w:rsidRPr="00E63E1C" w:rsidRDefault="00CC41D7" w:rsidP="00B138A3">
            <w:pPr>
              <w:jc w:val="center"/>
              <w:rPr>
                <w:b/>
                <w:sz w:val="22"/>
                <w:szCs w:val="22"/>
                <w:lang w:val="en-GB"/>
              </w:rPr>
            </w:pPr>
            <w:r w:rsidRPr="00E63E1C">
              <w:rPr>
                <w:b/>
                <w:sz w:val="22"/>
                <w:szCs w:val="22"/>
                <w:lang w:val="en-GB"/>
              </w:rPr>
              <w:t>C</w:t>
            </w:r>
            <w:r w:rsidRPr="00E63E1C">
              <w:rPr>
                <w:b/>
                <w:sz w:val="22"/>
                <w:szCs w:val="22"/>
                <w:vertAlign w:val="subscript"/>
                <w:lang w:val="en-GB"/>
              </w:rPr>
              <w:t>16</w:t>
            </w:r>
            <w:r w:rsidRPr="00E63E1C">
              <w:rPr>
                <w:b/>
                <w:sz w:val="22"/>
                <w:szCs w:val="22"/>
                <w:lang w:val="en-GB"/>
              </w:rPr>
              <w:t>H</w:t>
            </w:r>
            <w:r w:rsidRPr="00E63E1C">
              <w:rPr>
                <w:b/>
                <w:sz w:val="22"/>
                <w:szCs w:val="22"/>
                <w:vertAlign w:val="subscript"/>
                <w:lang w:val="en-GB"/>
              </w:rPr>
              <w:t>30</w:t>
            </w:r>
            <w:r w:rsidRPr="00E63E1C">
              <w:rPr>
                <w:b/>
                <w:sz w:val="22"/>
                <w:szCs w:val="22"/>
                <w:lang w:val="en-GB"/>
              </w:rPr>
              <w:t>O</w:t>
            </w:r>
            <w:r w:rsidRPr="00E63E1C">
              <w:rPr>
                <w:b/>
                <w:sz w:val="22"/>
                <w:szCs w:val="22"/>
                <w:vertAlign w:val="subscript"/>
                <w:lang w:val="en-GB"/>
              </w:rPr>
              <w:t>2</w:t>
            </w:r>
          </w:p>
          <w:p w:rsidR="00CC41D7" w:rsidRPr="00E63E1C" w:rsidRDefault="00CC41D7" w:rsidP="00B138A3">
            <w:pPr>
              <w:jc w:val="center"/>
              <w:rPr>
                <w:b/>
                <w:sz w:val="22"/>
                <w:szCs w:val="22"/>
                <w:lang w:val="en-GB"/>
              </w:rPr>
            </w:pPr>
            <w:r w:rsidRPr="00E63E1C">
              <w:rPr>
                <w:b/>
                <w:sz w:val="22"/>
                <w:szCs w:val="22"/>
                <w:lang w:val="en-GB"/>
              </w:rPr>
              <w:t>C</w:t>
            </w:r>
            <w:r w:rsidRPr="00E63E1C">
              <w:rPr>
                <w:b/>
                <w:sz w:val="22"/>
                <w:szCs w:val="22"/>
                <w:vertAlign w:val="subscript"/>
                <w:lang w:val="en-GB"/>
              </w:rPr>
              <w:t>18</w:t>
            </w:r>
            <w:r w:rsidRPr="00E63E1C">
              <w:rPr>
                <w:b/>
                <w:sz w:val="22"/>
                <w:szCs w:val="22"/>
                <w:lang w:val="en-GB"/>
              </w:rPr>
              <w:t>H</w:t>
            </w:r>
            <w:r w:rsidRPr="00E63E1C">
              <w:rPr>
                <w:b/>
                <w:sz w:val="22"/>
                <w:szCs w:val="22"/>
                <w:vertAlign w:val="subscript"/>
                <w:lang w:val="en-GB"/>
              </w:rPr>
              <w:t>34</w:t>
            </w:r>
            <w:r w:rsidRPr="00E63E1C">
              <w:rPr>
                <w:b/>
                <w:sz w:val="22"/>
                <w:szCs w:val="22"/>
                <w:lang w:val="en-GB"/>
              </w:rPr>
              <w:t>O</w:t>
            </w:r>
            <w:r w:rsidRPr="00E63E1C">
              <w:rPr>
                <w:b/>
                <w:sz w:val="22"/>
                <w:szCs w:val="22"/>
                <w:vertAlign w:val="subscript"/>
                <w:lang w:val="en-GB"/>
              </w:rPr>
              <w:t>2</w:t>
            </w:r>
          </w:p>
          <w:p w:rsidR="00CC41D7" w:rsidRPr="00E63E1C" w:rsidRDefault="00CC41D7" w:rsidP="00B138A3">
            <w:pPr>
              <w:jc w:val="center"/>
              <w:rPr>
                <w:sz w:val="22"/>
                <w:szCs w:val="22"/>
                <w:lang w:val="en-GB"/>
              </w:rPr>
            </w:pPr>
            <w:r w:rsidRPr="00E63E1C">
              <w:rPr>
                <w:sz w:val="22"/>
                <w:szCs w:val="22"/>
                <w:lang w:val="en-GB"/>
              </w:rPr>
              <w:t>C</w:t>
            </w:r>
            <w:r w:rsidRPr="00E63E1C">
              <w:rPr>
                <w:sz w:val="22"/>
                <w:szCs w:val="22"/>
                <w:vertAlign w:val="subscript"/>
                <w:lang w:val="en-GB"/>
              </w:rPr>
              <w:t>22</w:t>
            </w:r>
            <w:r w:rsidRPr="00E63E1C">
              <w:rPr>
                <w:sz w:val="22"/>
                <w:szCs w:val="22"/>
                <w:lang w:val="en-GB"/>
              </w:rPr>
              <w:t>H</w:t>
            </w:r>
            <w:r w:rsidRPr="00E63E1C">
              <w:rPr>
                <w:sz w:val="22"/>
                <w:szCs w:val="22"/>
                <w:vertAlign w:val="subscript"/>
                <w:lang w:val="en-GB"/>
              </w:rPr>
              <w:t>32</w:t>
            </w:r>
            <w:r w:rsidRPr="00E63E1C">
              <w:rPr>
                <w:sz w:val="22"/>
                <w:szCs w:val="22"/>
                <w:lang w:val="en-GB"/>
              </w:rPr>
              <w:t>O</w:t>
            </w:r>
            <w:r w:rsidRPr="00E63E1C">
              <w:rPr>
                <w:sz w:val="22"/>
                <w:szCs w:val="22"/>
                <w:vertAlign w:val="subscript"/>
                <w:lang w:val="en-GB"/>
              </w:rPr>
              <w:t>4</w:t>
            </w:r>
          </w:p>
        </w:tc>
        <w:tc>
          <w:tcPr>
            <w:tcW w:w="720" w:type="dxa"/>
            <w:shd w:val="clear" w:color="auto" w:fill="auto"/>
          </w:tcPr>
          <w:p w:rsidR="00CC41D7" w:rsidRPr="00E63E1C" w:rsidRDefault="00CC41D7" w:rsidP="00B138A3">
            <w:pPr>
              <w:jc w:val="center"/>
              <w:rPr>
                <w:sz w:val="22"/>
                <w:szCs w:val="22"/>
                <w:lang w:val="en-GB"/>
              </w:rPr>
            </w:pPr>
            <w:r w:rsidRPr="00E63E1C">
              <w:rPr>
                <w:sz w:val="22"/>
                <w:szCs w:val="22"/>
                <w:lang w:val="en-GB"/>
              </w:rPr>
              <w:t>1</w:t>
            </w:r>
          </w:p>
          <w:p w:rsidR="00CC41D7" w:rsidRPr="00E63E1C" w:rsidRDefault="00CC41D7" w:rsidP="00B138A3">
            <w:pPr>
              <w:jc w:val="center"/>
              <w:rPr>
                <w:sz w:val="22"/>
                <w:szCs w:val="22"/>
                <w:lang w:val="en-GB"/>
              </w:rPr>
            </w:pPr>
            <w:r w:rsidRPr="00E63E1C">
              <w:rPr>
                <w:sz w:val="22"/>
                <w:szCs w:val="22"/>
                <w:lang w:val="en-GB"/>
              </w:rPr>
              <w:t>1</w:t>
            </w:r>
          </w:p>
          <w:p w:rsidR="00CC41D7" w:rsidRPr="00E63E1C" w:rsidRDefault="00CC41D7" w:rsidP="00B138A3">
            <w:pPr>
              <w:jc w:val="center"/>
              <w:rPr>
                <w:sz w:val="22"/>
                <w:szCs w:val="22"/>
                <w:lang w:val="en-GB"/>
              </w:rPr>
            </w:pPr>
            <w:r w:rsidRPr="00E63E1C">
              <w:rPr>
                <w:sz w:val="22"/>
                <w:szCs w:val="22"/>
                <w:lang w:val="en-GB"/>
              </w:rPr>
              <w:t>6</w:t>
            </w:r>
          </w:p>
        </w:tc>
        <w:tc>
          <w:tcPr>
            <w:tcW w:w="900" w:type="dxa"/>
            <w:textDirection w:val="tbRl"/>
          </w:tcPr>
          <w:p w:rsidR="00CC41D7" w:rsidRPr="00E63E1C" w:rsidRDefault="00CC41D7" w:rsidP="00B138A3">
            <w:pPr>
              <w:ind w:left="113" w:right="113"/>
              <w:jc w:val="center"/>
              <w:rPr>
                <w:sz w:val="22"/>
                <w:szCs w:val="22"/>
                <w:lang w:val="en-GB"/>
              </w:rPr>
            </w:pPr>
          </w:p>
        </w:tc>
        <w:tc>
          <w:tcPr>
            <w:tcW w:w="1350" w:type="dxa"/>
            <w:shd w:val="clear" w:color="auto" w:fill="auto"/>
          </w:tcPr>
          <w:p w:rsidR="00CC41D7" w:rsidRPr="00E63E1C" w:rsidRDefault="00CC41D7" w:rsidP="00B138A3">
            <w:pPr>
              <w:jc w:val="center"/>
              <w:rPr>
                <w:sz w:val="22"/>
                <w:szCs w:val="22"/>
                <w:lang w:val="en-GB"/>
              </w:rPr>
            </w:pPr>
          </w:p>
          <w:p w:rsidR="00CC41D7" w:rsidRPr="00E63E1C" w:rsidRDefault="00CC41D7" w:rsidP="00B138A3">
            <w:pPr>
              <w:jc w:val="center"/>
              <w:rPr>
                <w:sz w:val="22"/>
                <w:szCs w:val="22"/>
                <w:lang w:val="en-GB"/>
              </w:rPr>
            </w:pPr>
            <w:r w:rsidRPr="00E63E1C">
              <w:rPr>
                <w:sz w:val="22"/>
                <w:szCs w:val="22"/>
                <w:lang w:val="en-GB"/>
              </w:rPr>
              <w:t>90-94</w:t>
            </w:r>
          </w:p>
        </w:tc>
        <w:tc>
          <w:tcPr>
            <w:tcW w:w="1350" w:type="dxa"/>
            <w:shd w:val="clear" w:color="auto" w:fill="auto"/>
          </w:tcPr>
          <w:p w:rsidR="00CC41D7" w:rsidRPr="00E63E1C" w:rsidRDefault="00CC41D7" w:rsidP="00B138A3">
            <w:pPr>
              <w:jc w:val="center"/>
              <w:rPr>
                <w:b/>
                <w:sz w:val="22"/>
                <w:szCs w:val="22"/>
                <w:lang w:val="en-GB"/>
              </w:rPr>
            </w:pPr>
            <w:r w:rsidRPr="00E63E1C">
              <w:rPr>
                <w:b/>
                <w:sz w:val="22"/>
                <w:szCs w:val="22"/>
                <w:lang w:val="en-GB"/>
              </w:rPr>
              <w:t>C</w:t>
            </w:r>
            <w:r w:rsidRPr="00E63E1C">
              <w:rPr>
                <w:b/>
                <w:sz w:val="22"/>
                <w:szCs w:val="22"/>
                <w:vertAlign w:val="subscript"/>
                <w:lang w:val="en-GB"/>
              </w:rPr>
              <w:t>16</w:t>
            </w:r>
            <w:r w:rsidRPr="00E63E1C">
              <w:rPr>
                <w:b/>
                <w:sz w:val="22"/>
                <w:szCs w:val="22"/>
                <w:lang w:val="en-GB"/>
              </w:rPr>
              <w:t>H</w:t>
            </w:r>
            <w:r w:rsidRPr="00E63E1C">
              <w:rPr>
                <w:b/>
                <w:sz w:val="22"/>
                <w:szCs w:val="22"/>
                <w:vertAlign w:val="subscript"/>
                <w:lang w:val="en-GB"/>
              </w:rPr>
              <w:t>30</w:t>
            </w:r>
            <w:r w:rsidRPr="00E63E1C">
              <w:rPr>
                <w:b/>
                <w:sz w:val="22"/>
                <w:szCs w:val="22"/>
                <w:lang w:val="en-GB"/>
              </w:rPr>
              <w:t>O</w:t>
            </w:r>
            <w:r w:rsidRPr="00E63E1C">
              <w:rPr>
                <w:b/>
                <w:sz w:val="22"/>
                <w:szCs w:val="22"/>
                <w:vertAlign w:val="subscript"/>
                <w:lang w:val="en-GB"/>
              </w:rPr>
              <w:t>2</w:t>
            </w:r>
          </w:p>
          <w:p w:rsidR="00CC41D7" w:rsidRPr="00E63E1C" w:rsidRDefault="00CC41D7" w:rsidP="00B138A3">
            <w:pPr>
              <w:jc w:val="center"/>
              <w:rPr>
                <w:b/>
                <w:sz w:val="22"/>
                <w:szCs w:val="22"/>
                <w:lang w:val="en-GB"/>
              </w:rPr>
            </w:pPr>
            <w:r w:rsidRPr="00E63E1C">
              <w:rPr>
                <w:b/>
                <w:sz w:val="22"/>
                <w:szCs w:val="22"/>
                <w:lang w:val="en-GB"/>
              </w:rPr>
              <w:t>C</w:t>
            </w:r>
            <w:r w:rsidRPr="00E63E1C">
              <w:rPr>
                <w:b/>
                <w:sz w:val="22"/>
                <w:szCs w:val="22"/>
                <w:vertAlign w:val="subscript"/>
                <w:lang w:val="en-GB"/>
              </w:rPr>
              <w:t>18</w:t>
            </w:r>
            <w:r w:rsidRPr="00E63E1C">
              <w:rPr>
                <w:b/>
                <w:sz w:val="22"/>
                <w:szCs w:val="22"/>
                <w:lang w:val="en-GB"/>
              </w:rPr>
              <w:t>H</w:t>
            </w:r>
            <w:r w:rsidRPr="00E63E1C">
              <w:rPr>
                <w:b/>
                <w:sz w:val="22"/>
                <w:szCs w:val="22"/>
                <w:vertAlign w:val="subscript"/>
                <w:lang w:val="en-GB"/>
              </w:rPr>
              <w:t>34</w:t>
            </w:r>
            <w:r w:rsidRPr="00E63E1C">
              <w:rPr>
                <w:b/>
                <w:sz w:val="22"/>
                <w:szCs w:val="22"/>
                <w:lang w:val="en-GB"/>
              </w:rPr>
              <w:t>O</w:t>
            </w:r>
            <w:r w:rsidRPr="00E63E1C">
              <w:rPr>
                <w:b/>
                <w:sz w:val="22"/>
                <w:szCs w:val="22"/>
                <w:vertAlign w:val="subscript"/>
                <w:lang w:val="en-GB"/>
              </w:rPr>
              <w:t>2</w:t>
            </w:r>
          </w:p>
          <w:p w:rsidR="00CC41D7" w:rsidRPr="00E63E1C" w:rsidRDefault="00CC41D7" w:rsidP="00B138A3">
            <w:pPr>
              <w:jc w:val="center"/>
              <w:rPr>
                <w:sz w:val="22"/>
                <w:szCs w:val="22"/>
                <w:lang w:val="en-GB"/>
              </w:rPr>
            </w:pPr>
            <w:r w:rsidRPr="00E63E1C">
              <w:rPr>
                <w:sz w:val="22"/>
                <w:szCs w:val="22"/>
                <w:lang w:val="en-GB"/>
              </w:rPr>
              <w:t>C</w:t>
            </w:r>
            <w:r w:rsidRPr="00E63E1C">
              <w:rPr>
                <w:sz w:val="22"/>
                <w:szCs w:val="22"/>
                <w:vertAlign w:val="subscript"/>
                <w:lang w:val="en-GB"/>
              </w:rPr>
              <w:t>24</w:t>
            </w:r>
            <w:r w:rsidRPr="00E63E1C">
              <w:rPr>
                <w:sz w:val="22"/>
                <w:szCs w:val="22"/>
                <w:lang w:val="en-GB"/>
              </w:rPr>
              <w:t>H</w:t>
            </w:r>
            <w:r w:rsidRPr="00E63E1C">
              <w:rPr>
                <w:sz w:val="22"/>
                <w:szCs w:val="22"/>
                <w:vertAlign w:val="subscript"/>
                <w:lang w:val="en-GB"/>
              </w:rPr>
              <w:t>48</w:t>
            </w:r>
            <w:r w:rsidRPr="00E63E1C">
              <w:rPr>
                <w:sz w:val="22"/>
                <w:szCs w:val="22"/>
                <w:lang w:val="en-GB"/>
              </w:rPr>
              <w:t>O</w:t>
            </w:r>
            <w:r w:rsidRPr="00E63E1C">
              <w:rPr>
                <w:sz w:val="22"/>
                <w:szCs w:val="22"/>
                <w:vertAlign w:val="subscript"/>
                <w:lang w:val="en-GB"/>
              </w:rPr>
              <w:t>3</w:t>
            </w:r>
          </w:p>
        </w:tc>
        <w:tc>
          <w:tcPr>
            <w:tcW w:w="720" w:type="dxa"/>
            <w:shd w:val="clear" w:color="auto" w:fill="auto"/>
          </w:tcPr>
          <w:p w:rsidR="00CC41D7" w:rsidRPr="00E63E1C" w:rsidRDefault="00CC41D7" w:rsidP="00B138A3">
            <w:pPr>
              <w:jc w:val="center"/>
              <w:rPr>
                <w:sz w:val="22"/>
                <w:szCs w:val="22"/>
                <w:lang w:val="en-GB"/>
              </w:rPr>
            </w:pPr>
            <w:r w:rsidRPr="00E63E1C">
              <w:rPr>
                <w:sz w:val="22"/>
                <w:szCs w:val="22"/>
                <w:lang w:val="en-GB"/>
              </w:rPr>
              <w:t>1</w:t>
            </w:r>
          </w:p>
          <w:p w:rsidR="00CC41D7" w:rsidRPr="00E63E1C" w:rsidRDefault="00CC41D7" w:rsidP="00B138A3">
            <w:pPr>
              <w:jc w:val="center"/>
              <w:rPr>
                <w:sz w:val="22"/>
                <w:szCs w:val="22"/>
                <w:lang w:val="en-GB"/>
              </w:rPr>
            </w:pPr>
            <w:r w:rsidRPr="00E63E1C">
              <w:rPr>
                <w:sz w:val="22"/>
                <w:szCs w:val="22"/>
                <w:lang w:val="en-GB"/>
              </w:rPr>
              <w:t>1</w:t>
            </w:r>
          </w:p>
          <w:p w:rsidR="00CC41D7" w:rsidRPr="00E63E1C" w:rsidRDefault="00CC41D7" w:rsidP="00B138A3">
            <w:pPr>
              <w:jc w:val="center"/>
              <w:rPr>
                <w:sz w:val="22"/>
                <w:szCs w:val="22"/>
                <w:lang w:val="en-GB"/>
              </w:rPr>
            </w:pPr>
            <w:r w:rsidRPr="00E63E1C">
              <w:rPr>
                <w:sz w:val="22"/>
                <w:szCs w:val="22"/>
                <w:lang w:val="en-GB"/>
              </w:rPr>
              <w:t>0</w:t>
            </w:r>
          </w:p>
        </w:tc>
        <w:tc>
          <w:tcPr>
            <w:tcW w:w="900" w:type="dxa"/>
            <w:textDirection w:val="tbRl"/>
          </w:tcPr>
          <w:p w:rsidR="00CC41D7" w:rsidRPr="00E63E1C" w:rsidRDefault="00CC41D7" w:rsidP="00B138A3">
            <w:pPr>
              <w:ind w:left="113" w:right="113"/>
              <w:jc w:val="center"/>
              <w:rPr>
                <w:sz w:val="22"/>
                <w:szCs w:val="22"/>
                <w:lang w:val="en-GB"/>
              </w:rPr>
            </w:pPr>
          </w:p>
        </w:tc>
        <w:tc>
          <w:tcPr>
            <w:tcW w:w="1350" w:type="dxa"/>
            <w:shd w:val="clear" w:color="auto" w:fill="auto"/>
          </w:tcPr>
          <w:p w:rsidR="00CC41D7" w:rsidRPr="00E63E1C" w:rsidRDefault="00CC41D7" w:rsidP="00B138A3">
            <w:pPr>
              <w:jc w:val="center"/>
              <w:rPr>
                <w:sz w:val="22"/>
                <w:szCs w:val="22"/>
                <w:lang w:val="en-GB"/>
              </w:rPr>
            </w:pPr>
          </w:p>
          <w:p w:rsidR="00CC41D7" w:rsidRPr="00E63E1C" w:rsidRDefault="00CC41D7" w:rsidP="00B138A3">
            <w:pPr>
              <w:jc w:val="center"/>
              <w:rPr>
                <w:sz w:val="22"/>
                <w:szCs w:val="22"/>
                <w:lang w:val="en-GB"/>
              </w:rPr>
            </w:pPr>
            <w:r w:rsidRPr="00E63E1C">
              <w:rPr>
                <w:sz w:val="22"/>
                <w:szCs w:val="22"/>
                <w:lang w:val="en-GB"/>
              </w:rPr>
              <w:t>74-93</w:t>
            </w:r>
          </w:p>
        </w:tc>
      </w:tr>
      <w:tr w:rsidR="00CC41D7" w:rsidRPr="00E63E1C" w:rsidTr="00B138A3">
        <w:trPr>
          <w:cantSplit/>
          <w:trHeight w:val="728"/>
        </w:trPr>
        <w:tc>
          <w:tcPr>
            <w:tcW w:w="918" w:type="dxa"/>
            <w:shd w:val="clear" w:color="auto" w:fill="auto"/>
          </w:tcPr>
          <w:p w:rsidR="00CC41D7" w:rsidRPr="00E63E1C" w:rsidRDefault="00CC41D7" w:rsidP="00B138A3">
            <w:pPr>
              <w:jc w:val="both"/>
              <w:rPr>
                <w:sz w:val="22"/>
                <w:szCs w:val="22"/>
                <w:lang w:val="en-GB"/>
              </w:rPr>
            </w:pPr>
            <w:r w:rsidRPr="00E63E1C">
              <w:rPr>
                <w:sz w:val="22"/>
                <w:szCs w:val="22"/>
                <w:lang w:val="en-GB"/>
              </w:rPr>
              <w:t>SAFA</w:t>
            </w:r>
          </w:p>
        </w:tc>
        <w:tc>
          <w:tcPr>
            <w:tcW w:w="1260" w:type="dxa"/>
            <w:shd w:val="clear" w:color="auto" w:fill="auto"/>
          </w:tcPr>
          <w:p w:rsidR="00CC41D7" w:rsidRPr="00E63E1C" w:rsidRDefault="00CC41D7" w:rsidP="00B138A3">
            <w:pPr>
              <w:jc w:val="center"/>
              <w:rPr>
                <w:sz w:val="22"/>
                <w:szCs w:val="22"/>
                <w:lang w:val="en-GB"/>
              </w:rPr>
            </w:pPr>
            <w:r w:rsidRPr="00E63E1C">
              <w:rPr>
                <w:rFonts w:ascii="Arial" w:eastAsia="Times New Roman" w:hAnsi="Arial" w:cs="Arial"/>
                <w:sz w:val="22"/>
                <w:szCs w:val="22"/>
                <w:lang w:val="en-GB" w:eastAsia="en-US"/>
              </w:rPr>
              <w:t>C</w:t>
            </w:r>
            <w:r w:rsidRPr="00E63E1C">
              <w:rPr>
                <w:sz w:val="22"/>
                <w:szCs w:val="22"/>
                <w:vertAlign w:val="subscript"/>
                <w:lang w:val="en-GB"/>
              </w:rPr>
              <w:t>14</w:t>
            </w:r>
            <w:r w:rsidRPr="00E63E1C">
              <w:rPr>
                <w:sz w:val="22"/>
                <w:szCs w:val="22"/>
                <w:lang w:val="en-GB"/>
              </w:rPr>
              <w:t>H</w:t>
            </w:r>
            <w:r w:rsidRPr="00E63E1C">
              <w:rPr>
                <w:sz w:val="22"/>
                <w:szCs w:val="22"/>
                <w:vertAlign w:val="subscript"/>
                <w:lang w:val="en-GB"/>
              </w:rPr>
              <w:t>28</w:t>
            </w:r>
            <w:r w:rsidRPr="00E63E1C">
              <w:rPr>
                <w:sz w:val="22"/>
                <w:szCs w:val="22"/>
                <w:lang w:val="en-GB"/>
              </w:rPr>
              <w:t>O</w:t>
            </w:r>
            <w:r w:rsidRPr="00E63E1C">
              <w:rPr>
                <w:sz w:val="22"/>
                <w:szCs w:val="22"/>
                <w:vertAlign w:val="subscript"/>
                <w:lang w:val="en-GB"/>
              </w:rPr>
              <w:t>2</w:t>
            </w:r>
          </w:p>
          <w:p w:rsidR="00CC41D7" w:rsidRPr="00E63E1C" w:rsidRDefault="00CC41D7" w:rsidP="00B138A3">
            <w:pPr>
              <w:jc w:val="center"/>
              <w:rPr>
                <w:b/>
                <w:sz w:val="22"/>
                <w:szCs w:val="22"/>
                <w:lang w:val="en-GB"/>
              </w:rPr>
            </w:pPr>
            <w:r w:rsidRPr="00E63E1C">
              <w:rPr>
                <w:b/>
                <w:sz w:val="22"/>
                <w:szCs w:val="22"/>
                <w:lang w:val="en-GB"/>
              </w:rPr>
              <w:t>C</w:t>
            </w:r>
            <w:r w:rsidRPr="00E63E1C">
              <w:rPr>
                <w:b/>
                <w:sz w:val="22"/>
                <w:szCs w:val="22"/>
                <w:vertAlign w:val="subscript"/>
                <w:lang w:val="en-GB"/>
              </w:rPr>
              <w:t>16</w:t>
            </w:r>
            <w:r w:rsidRPr="00E63E1C">
              <w:rPr>
                <w:b/>
                <w:sz w:val="22"/>
                <w:szCs w:val="22"/>
                <w:lang w:val="en-GB"/>
              </w:rPr>
              <w:t>H</w:t>
            </w:r>
            <w:r w:rsidRPr="00E63E1C">
              <w:rPr>
                <w:b/>
                <w:sz w:val="22"/>
                <w:szCs w:val="22"/>
                <w:vertAlign w:val="subscript"/>
                <w:lang w:val="en-GB"/>
              </w:rPr>
              <w:t>32</w:t>
            </w:r>
            <w:r w:rsidRPr="00E63E1C">
              <w:rPr>
                <w:b/>
                <w:sz w:val="22"/>
                <w:szCs w:val="22"/>
                <w:lang w:val="en-GB"/>
              </w:rPr>
              <w:t>O</w:t>
            </w:r>
            <w:r w:rsidRPr="00E63E1C">
              <w:rPr>
                <w:b/>
                <w:sz w:val="22"/>
                <w:szCs w:val="22"/>
                <w:vertAlign w:val="subscript"/>
                <w:lang w:val="en-GB"/>
              </w:rPr>
              <w:t>2</w:t>
            </w:r>
          </w:p>
          <w:p w:rsidR="00CC41D7" w:rsidRPr="00E63E1C" w:rsidRDefault="00CC41D7" w:rsidP="00B138A3">
            <w:pPr>
              <w:jc w:val="center"/>
              <w:rPr>
                <w:sz w:val="22"/>
                <w:szCs w:val="22"/>
                <w:lang w:val="en-GB"/>
              </w:rPr>
            </w:pPr>
            <w:r w:rsidRPr="00E63E1C">
              <w:rPr>
                <w:b/>
                <w:sz w:val="22"/>
                <w:szCs w:val="22"/>
                <w:lang w:val="en-GB"/>
              </w:rPr>
              <w:t>C</w:t>
            </w:r>
            <w:r w:rsidRPr="00E63E1C">
              <w:rPr>
                <w:b/>
                <w:sz w:val="22"/>
                <w:szCs w:val="22"/>
                <w:vertAlign w:val="subscript"/>
                <w:lang w:val="en-GB"/>
              </w:rPr>
              <w:t>18</w:t>
            </w:r>
            <w:r w:rsidRPr="00E63E1C">
              <w:rPr>
                <w:b/>
                <w:sz w:val="22"/>
                <w:szCs w:val="22"/>
                <w:lang w:val="en-GB"/>
              </w:rPr>
              <w:t>H</w:t>
            </w:r>
            <w:r w:rsidRPr="00E63E1C">
              <w:rPr>
                <w:b/>
                <w:sz w:val="22"/>
                <w:szCs w:val="22"/>
                <w:vertAlign w:val="subscript"/>
                <w:lang w:val="en-GB"/>
              </w:rPr>
              <w:t>36</w:t>
            </w:r>
            <w:r w:rsidRPr="00E63E1C">
              <w:rPr>
                <w:b/>
                <w:sz w:val="22"/>
                <w:szCs w:val="22"/>
                <w:lang w:val="en-GB"/>
              </w:rPr>
              <w:t>O</w:t>
            </w:r>
            <w:r w:rsidRPr="00E63E1C">
              <w:rPr>
                <w:b/>
                <w:sz w:val="22"/>
                <w:szCs w:val="22"/>
                <w:vertAlign w:val="subscript"/>
                <w:lang w:val="en-GB"/>
              </w:rPr>
              <w:t>2</w:t>
            </w:r>
          </w:p>
        </w:tc>
        <w:tc>
          <w:tcPr>
            <w:tcW w:w="720" w:type="dxa"/>
            <w:shd w:val="clear" w:color="auto" w:fill="auto"/>
          </w:tcPr>
          <w:p w:rsidR="00CC41D7" w:rsidRPr="00E63E1C" w:rsidRDefault="00CC41D7" w:rsidP="00B138A3">
            <w:pPr>
              <w:jc w:val="center"/>
              <w:rPr>
                <w:sz w:val="22"/>
                <w:szCs w:val="22"/>
                <w:lang w:val="en-GB"/>
              </w:rPr>
            </w:pPr>
            <w:r w:rsidRPr="00E63E1C">
              <w:rPr>
                <w:sz w:val="22"/>
                <w:szCs w:val="22"/>
                <w:lang w:val="en-GB"/>
              </w:rPr>
              <w:t>0</w:t>
            </w:r>
          </w:p>
          <w:p w:rsidR="00CC41D7" w:rsidRPr="00E63E1C" w:rsidRDefault="00CC41D7" w:rsidP="00B138A3">
            <w:pPr>
              <w:jc w:val="center"/>
              <w:rPr>
                <w:sz w:val="22"/>
                <w:szCs w:val="22"/>
                <w:lang w:val="en-GB"/>
              </w:rPr>
            </w:pPr>
            <w:r w:rsidRPr="00E63E1C">
              <w:rPr>
                <w:sz w:val="22"/>
                <w:szCs w:val="22"/>
                <w:lang w:val="en-GB"/>
              </w:rPr>
              <w:t>0</w:t>
            </w:r>
          </w:p>
          <w:p w:rsidR="00CC41D7" w:rsidRPr="00E63E1C" w:rsidRDefault="00CC41D7" w:rsidP="00B138A3">
            <w:pPr>
              <w:jc w:val="center"/>
              <w:rPr>
                <w:sz w:val="22"/>
                <w:szCs w:val="22"/>
                <w:lang w:val="en-GB"/>
              </w:rPr>
            </w:pPr>
            <w:r w:rsidRPr="00E63E1C">
              <w:rPr>
                <w:sz w:val="22"/>
                <w:szCs w:val="22"/>
                <w:lang w:val="en-GB"/>
              </w:rPr>
              <w:t>0</w:t>
            </w:r>
          </w:p>
        </w:tc>
        <w:tc>
          <w:tcPr>
            <w:tcW w:w="900" w:type="dxa"/>
            <w:textDirection w:val="tbRl"/>
          </w:tcPr>
          <w:p w:rsidR="00CC41D7" w:rsidRPr="00E63E1C" w:rsidRDefault="00CC41D7" w:rsidP="00B138A3">
            <w:pPr>
              <w:ind w:left="113" w:right="113"/>
              <w:jc w:val="center"/>
              <w:rPr>
                <w:sz w:val="22"/>
                <w:szCs w:val="22"/>
                <w:lang w:val="en-GB"/>
              </w:rPr>
            </w:pPr>
          </w:p>
        </w:tc>
        <w:tc>
          <w:tcPr>
            <w:tcW w:w="1350" w:type="dxa"/>
            <w:shd w:val="clear" w:color="auto" w:fill="auto"/>
          </w:tcPr>
          <w:p w:rsidR="00CC41D7" w:rsidRPr="00E63E1C" w:rsidRDefault="00CC41D7" w:rsidP="00B138A3">
            <w:pPr>
              <w:jc w:val="center"/>
              <w:rPr>
                <w:sz w:val="22"/>
                <w:szCs w:val="22"/>
                <w:lang w:val="en-GB"/>
              </w:rPr>
            </w:pPr>
          </w:p>
          <w:p w:rsidR="00CC41D7" w:rsidRPr="00E63E1C" w:rsidRDefault="00CC41D7" w:rsidP="00B138A3">
            <w:pPr>
              <w:jc w:val="center"/>
              <w:rPr>
                <w:sz w:val="22"/>
                <w:szCs w:val="22"/>
                <w:lang w:val="en-GB"/>
              </w:rPr>
            </w:pPr>
            <w:r w:rsidRPr="00E63E1C">
              <w:rPr>
                <w:sz w:val="22"/>
                <w:szCs w:val="22"/>
                <w:lang w:val="en-GB"/>
              </w:rPr>
              <w:t>88-93</w:t>
            </w:r>
          </w:p>
        </w:tc>
        <w:tc>
          <w:tcPr>
            <w:tcW w:w="1350" w:type="dxa"/>
            <w:shd w:val="clear" w:color="auto" w:fill="auto"/>
          </w:tcPr>
          <w:p w:rsidR="00CC41D7" w:rsidRPr="00E63E1C" w:rsidRDefault="00CC41D7" w:rsidP="00B138A3">
            <w:pPr>
              <w:jc w:val="center"/>
              <w:rPr>
                <w:sz w:val="22"/>
                <w:szCs w:val="22"/>
                <w:lang w:val="en-GB"/>
              </w:rPr>
            </w:pPr>
          </w:p>
          <w:p w:rsidR="00CC41D7" w:rsidRPr="00E63E1C" w:rsidRDefault="00CC41D7" w:rsidP="00B138A3">
            <w:pPr>
              <w:jc w:val="center"/>
              <w:rPr>
                <w:b/>
                <w:sz w:val="22"/>
                <w:szCs w:val="22"/>
                <w:lang w:val="en-GB"/>
              </w:rPr>
            </w:pPr>
            <w:r w:rsidRPr="00E63E1C">
              <w:rPr>
                <w:b/>
                <w:sz w:val="22"/>
                <w:szCs w:val="22"/>
                <w:lang w:val="en-GB"/>
              </w:rPr>
              <w:t>C</w:t>
            </w:r>
            <w:r w:rsidRPr="00E63E1C">
              <w:rPr>
                <w:b/>
                <w:sz w:val="22"/>
                <w:szCs w:val="22"/>
                <w:vertAlign w:val="subscript"/>
                <w:lang w:val="en-GB"/>
              </w:rPr>
              <w:t>16</w:t>
            </w:r>
            <w:r w:rsidRPr="00E63E1C">
              <w:rPr>
                <w:b/>
                <w:sz w:val="22"/>
                <w:szCs w:val="22"/>
                <w:lang w:val="en-GB"/>
              </w:rPr>
              <w:t>H</w:t>
            </w:r>
            <w:r w:rsidRPr="00E63E1C">
              <w:rPr>
                <w:b/>
                <w:sz w:val="22"/>
                <w:szCs w:val="22"/>
                <w:vertAlign w:val="subscript"/>
                <w:lang w:val="en-GB"/>
              </w:rPr>
              <w:t>32</w:t>
            </w:r>
            <w:r w:rsidRPr="00E63E1C">
              <w:rPr>
                <w:b/>
                <w:sz w:val="22"/>
                <w:szCs w:val="22"/>
                <w:lang w:val="en-GB"/>
              </w:rPr>
              <w:t>O</w:t>
            </w:r>
            <w:r w:rsidRPr="00E63E1C">
              <w:rPr>
                <w:b/>
                <w:sz w:val="22"/>
                <w:szCs w:val="22"/>
                <w:vertAlign w:val="subscript"/>
                <w:lang w:val="en-GB"/>
              </w:rPr>
              <w:t>2</w:t>
            </w:r>
          </w:p>
          <w:p w:rsidR="00CC41D7" w:rsidRPr="00E63E1C" w:rsidRDefault="00CC41D7" w:rsidP="00B138A3">
            <w:pPr>
              <w:jc w:val="center"/>
              <w:rPr>
                <w:sz w:val="22"/>
                <w:szCs w:val="22"/>
                <w:lang w:val="en-GB"/>
              </w:rPr>
            </w:pPr>
            <w:r w:rsidRPr="00E63E1C">
              <w:rPr>
                <w:b/>
                <w:sz w:val="22"/>
                <w:szCs w:val="22"/>
                <w:lang w:val="en-GB"/>
              </w:rPr>
              <w:t>C</w:t>
            </w:r>
            <w:r w:rsidRPr="00E63E1C">
              <w:rPr>
                <w:b/>
                <w:sz w:val="22"/>
                <w:szCs w:val="22"/>
                <w:vertAlign w:val="subscript"/>
                <w:lang w:val="en-GB"/>
              </w:rPr>
              <w:t>18</w:t>
            </w:r>
            <w:r w:rsidRPr="00E63E1C">
              <w:rPr>
                <w:b/>
                <w:sz w:val="22"/>
                <w:szCs w:val="22"/>
                <w:lang w:val="en-GB"/>
              </w:rPr>
              <w:t>H</w:t>
            </w:r>
            <w:r w:rsidRPr="00E63E1C">
              <w:rPr>
                <w:b/>
                <w:sz w:val="22"/>
                <w:szCs w:val="22"/>
                <w:vertAlign w:val="subscript"/>
                <w:lang w:val="en-GB"/>
              </w:rPr>
              <w:t>36</w:t>
            </w:r>
            <w:r w:rsidRPr="00E63E1C">
              <w:rPr>
                <w:b/>
                <w:sz w:val="22"/>
                <w:szCs w:val="22"/>
                <w:lang w:val="en-GB"/>
              </w:rPr>
              <w:t>O</w:t>
            </w:r>
            <w:r w:rsidRPr="00E63E1C">
              <w:rPr>
                <w:b/>
                <w:sz w:val="22"/>
                <w:szCs w:val="22"/>
                <w:vertAlign w:val="subscript"/>
                <w:lang w:val="en-GB"/>
              </w:rPr>
              <w:t>2</w:t>
            </w:r>
          </w:p>
        </w:tc>
        <w:tc>
          <w:tcPr>
            <w:tcW w:w="720" w:type="dxa"/>
            <w:shd w:val="clear" w:color="auto" w:fill="auto"/>
          </w:tcPr>
          <w:p w:rsidR="00CC41D7" w:rsidRPr="00E63E1C" w:rsidRDefault="00CC41D7" w:rsidP="00B138A3">
            <w:pPr>
              <w:jc w:val="center"/>
              <w:rPr>
                <w:sz w:val="22"/>
                <w:szCs w:val="22"/>
                <w:lang w:val="en-GB"/>
              </w:rPr>
            </w:pPr>
          </w:p>
          <w:p w:rsidR="00CC41D7" w:rsidRPr="00E63E1C" w:rsidRDefault="00CC41D7" w:rsidP="00B138A3">
            <w:pPr>
              <w:jc w:val="center"/>
              <w:rPr>
                <w:sz w:val="22"/>
                <w:szCs w:val="22"/>
                <w:lang w:val="en-GB"/>
              </w:rPr>
            </w:pPr>
            <w:r w:rsidRPr="00E63E1C">
              <w:rPr>
                <w:sz w:val="22"/>
                <w:szCs w:val="22"/>
                <w:lang w:val="en-GB"/>
              </w:rPr>
              <w:t>0</w:t>
            </w:r>
          </w:p>
          <w:p w:rsidR="00CC41D7" w:rsidRPr="00E63E1C" w:rsidRDefault="00CC41D7" w:rsidP="00B138A3">
            <w:pPr>
              <w:jc w:val="center"/>
              <w:rPr>
                <w:sz w:val="22"/>
                <w:szCs w:val="22"/>
                <w:lang w:val="en-GB"/>
              </w:rPr>
            </w:pPr>
            <w:r w:rsidRPr="00E63E1C">
              <w:rPr>
                <w:sz w:val="22"/>
                <w:szCs w:val="22"/>
                <w:lang w:val="en-GB"/>
              </w:rPr>
              <w:t>0</w:t>
            </w:r>
          </w:p>
        </w:tc>
        <w:tc>
          <w:tcPr>
            <w:tcW w:w="900" w:type="dxa"/>
            <w:textDirection w:val="tbRl"/>
          </w:tcPr>
          <w:p w:rsidR="00CC41D7" w:rsidRPr="00E63E1C" w:rsidRDefault="00CC41D7" w:rsidP="00B138A3">
            <w:pPr>
              <w:ind w:left="113" w:right="113"/>
              <w:jc w:val="center"/>
              <w:rPr>
                <w:sz w:val="22"/>
                <w:szCs w:val="22"/>
                <w:lang w:val="en-GB"/>
              </w:rPr>
            </w:pPr>
          </w:p>
        </w:tc>
        <w:tc>
          <w:tcPr>
            <w:tcW w:w="1350" w:type="dxa"/>
            <w:shd w:val="clear" w:color="auto" w:fill="auto"/>
          </w:tcPr>
          <w:p w:rsidR="00CC41D7" w:rsidRPr="00E63E1C" w:rsidRDefault="00CC41D7" w:rsidP="00B138A3">
            <w:pPr>
              <w:jc w:val="center"/>
              <w:rPr>
                <w:sz w:val="22"/>
                <w:szCs w:val="22"/>
                <w:lang w:val="en-GB"/>
              </w:rPr>
            </w:pPr>
          </w:p>
          <w:p w:rsidR="00CC41D7" w:rsidRPr="00E63E1C" w:rsidRDefault="00CC41D7" w:rsidP="00B138A3">
            <w:pPr>
              <w:jc w:val="center"/>
              <w:rPr>
                <w:sz w:val="22"/>
                <w:szCs w:val="22"/>
                <w:lang w:val="en-GB"/>
              </w:rPr>
            </w:pPr>
            <w:r w:rsidRPr="00E63E1C">
              <w:rPr>
                <w:sz w:val="22"/>
                <w:szCs w:val="22"/>
                <w:lang w:val="en-GB"/>
              </w:rPr>
              <w:t>72-92</w:t>
            </w:r>
          </w:p>
        </w:tc>
      </w:tr>
    </w:tbl>
    <w:p w:rsidR="00CC41D7" w:rsidRDefault="00CC41D7" w:rsidP="00D93DD6">
      <w:pPr>
        <w:spacing w:after="120" w:line="360" w:lineRule="auto"/>
        <w:jc w:val="both"/>
        <w:rPr>
          <w:lang w:val="en-GB"/>
        </w:rPr>
      </w:pPr>
    </w:p>
    <w:p w:rsidR="00F07BC6" w:rsidRDefault="00F07BC6">
      <w:pPr>
        <w:rPr>
          <w:lang w:val="en-GB"/>
        </w:rPr>
      </w:pPr>
      <w:r>
        <w:rPr>
          <w:lang w:val="en-GB"/>
        </w:rPr>
        <w:br w:type="page"/>
      </w:r>
    </w:p>
    <w:p w:rsidR="00F07BC6" w:rsidRPr="0073376D" w:rsidRDefault="00F07BC6" w:rsidP="00F07BC6">
      <w:pPr>
        <w:rPr>
          <w:sz w:val="32"/>
          <w:lang w:val="en-US"/>
        </w:rPr>
      </w:pPr>
      <w:r w:rsidRPr="0073376D">
        <w:rPr>
          <w:sz w:val="32"/>
          <w:lang w:val="en-US"/>
        </w:rPr>
        <w:lastRenderedPageBreak/>
        <w:t>Appendix:</w:t>
      </w:r>
    </w:p>
    <w:p w:rsidR="00F07BC6" w:rsidRDefault="00F07BC6" w:rsidP="00F07BC6">
      <w:pPr>
        <w:spacing w:after="120" w:line="360" w:lineRule="auto"/>
        <w:jc w:val="both"/>
        <w:rPr>
          <w:lang w:val="en-US"/>
        </w:rPr>
      </w:pPr>
    </w:p>
    <w:p w:rsidR="00F07BC6" w:rsidRPr="005A6572" w:rsidRDefault="00F07BC6" w:rsidP="00F07BC6">
      <w:pPr>
        <w:tabs>
          <w:tab w:val="left" w:pos="1800"/>
        </w:tabs>
        <w:spacing w:after="120" w:line="360" w:lineRule="auto"/>
        <w:rPr>
          <w:lang w:val="en-GB"/>
        </w:rPr>
      </w:pPr>
      <w:r w:rsidRPr="005A6572">
        <w:rPr>
          <w:b/>
          <w:lang w:val="en-GB"/>
        </w:rPr>
        <w:t>Free fatty acids, tri-, di- and monoacylglycerol production and depth-related cycling in the Northeast Atlantic</w:t>
      </w:r>
      <w:r w:rsidRPr="005A6572">
        <w:rPr>
          <w:lang w:val="en-GB"/>
        </w:rPr>
        <w:t xml:space="preserve"> by Blaženka Gašparović, Abra Penezić, Richard S. Lampitt, Nilusha Sudasinghe and Tanner Schaub</w:t>
      </w:r>
    </w:p>
    <w:p w:rsidR="00F07BC6" w:rsidRPr="005A6572" w:rsidRDefault="00F07BC6" w:rsidP="00F07BC6">
      <w:pPr>
        <w:tabs>
          <w:tab w:val="left" w:pos="1800"/>
        </w:tabs>
        <w:spacing w:after="120" w:line="360" w:lineRule="auto"/>
        <w:rPr>
          <w:lang w:val="en-GB"/>
        </w:rPr>
        <w:sectPr w:rsidR="00F07BC6" w:rsidRPr="005A6572">
          <w:footerReference w:type="default" r:id="rId16"/>
          <w:pgSz w:w="12240" w:h="15840"/>
          <w:pgMar w:top="1417" w:right="1417" w:bottom="1417" w:left="1417" w:header="720" w:footer="720" w:gutter="0"/>
          <w:cols w:space="720"/>
          <w:docGrid w:linePitch="360"/>
        </w:sectPr>
      </w:pPr>
      <w:r w:rsidRPr="005A6572">
        <w:rPr>
          <w:lang w:val="en-GB"/>
        </w:rPr>
        <w:t xml:space="preserve">This section includes </w:t>
      </w:r>
      <w:r w:rsidRPr="005A6572">
        <w:rPr>
          <w:lang w:eastAsia="hr-HR"/>
        </w:rPr>
        <w:t>the data used to construct Fig. 2 (</w:t>
      </w:r>
      <w:r w:rsidRPr="005A6572">
        <w:rPr>
          <w:lang w:val="en-US"/>
        </w:rPr>
        <w:t>Appendix Table 1</w:t>
      </w:r>
      <w:r w:rsidRPr="005A6572">
        <w:rPr>
          <w:lang w:eastAsia="hr-HR"/>
        </w:rPr>
        <w:t xml:space="preserve">) as well as </w:t>
      </w:r>
      <w:r w:rsidRPr="005A6572">
        <w:rPr>
          <w:lang w:val="en-US"/>
        </w:rPr>
        <w:t>relative intensity contribution of the average acyl carbon number of triacylglycerols</w:t>
      </w:r>
      <w:r w:rsidRPr="005A6572">
        <w:rPr>
          <w:lang w:val="en-GB"/>
        </w:rPr>
        <w:t xml:space="preserve"> (TG) </w:t>
      </w:r>
      <w:r w:rsidRPr="005A6572">
        <w:rPr>
          <w:lang w:val="en-US"/>
        </w:rPr>
        <w:t>to total TG, of odd triacylglycerols</w:t>
      </w:r>
      <w:r w:rsidRPr="005A6572">
        <w:rPr>
          <w:lang w:val="en-GB"/>
        </w:rPr>
        <w:t xml:space="preserve"> (oddTG) </w:t>
      </w:r>
      <w:r w:rsidRPr="005A6572">
        <w:rPr>
          <w:lang w:val="en-US"/>
        </w:rPr>
        <w:t>to total oddTG, of unsaturated fatty acids (UFA) (DBE&gt;0) having acyl carbon number between C12 and C28 to total UFA, Relative intensity contribution of branched fatty acids (BrFA) having acyl carbon number between C14 and C43 to total BrFA, and of saturated fatty acids (SAFA) (DBE=0) having acyl carbon number between C9 and C37 to total SAFA (Appendix Figs. 1-6, respectively).</w:t>
      </w:r>
    </w:p>
    <w:p w:rsidR="00F07BC6" w:rsidRPr="00F00614" w:rsidRDefault="00F07BC6" w:rsidP="00F07BC6">
      <w:pPr>
        <w:spacing w:after="120" w:line="360" w:lineRule="auto"/>
        <w:jc w:val="both"/>
        <w:rPr>
          <w:lang w:val="en-GB"/>
        </w:rPr>
      </w:pPr>
      <w:r w:rsidRPr="00F00614">
        <w:rPr>
          <w:lang w:val="en-US"/>
        </w:rPr>
        <w:lastRenderedPageBreak/>
        <w:t xml:space="preserve">Appendix Table 1. </w:t>
      </w:r>
      <w:r w:rsidRPr="00F00614">
        <w:rPr>
          <w:bCs/>
          <w:lang w:val="en-GB"/>
        </w:rPr>
        <w:t>Iatroscan</w:t>
      </w:r>
      <w:r w:rsidRPr="00F00614">
        <w:rPr>
          <w:lang w:val="en-GB"/>
        </w:rPr>
        <w:t xml:space="preserve"> </w:t>
      </w:r>
      <w:r w:rsidRPr="00F00614">
        <w:rPr>
          <w:bCs/>
          <w:lang w:val="en-GB"/>
        </w:rPr>
        <w:t>determined</w:t>
      </w:r>
      <w:r w:rsidRPr="00F00614">
        <w:rPr>
          <w:lang w:val="en-GB"/>
        </w:rPr>
        <w:t xml:space="preserve"> </w:t>
      </w:r>
      <w:r w:rsidRPr="00F00614">
        <w:rPr>
          <w:bCs/>
          <w:lang w:val="en-GB"/>
        </w:rPr>
        <w:t>total lipid</w:t>
      </w:r>
      <w:r w:rsidRPr="00F00614">
        <w:rPr>
          <w:lang w:val="en-GB"/>
        </w:rPr>
        <w:t>, triacylglycerol (TG), diacylglycerol (DG), monoacylglycerol</w:t>
      </w:r>
      <w:r>
        <w:rPr>
          <w:lang w:val="en-GB"/>
        </w:rPr>
        <w:t>s</w:t>
      </w:r>
      <w:r w:rsidRPr="00F00614">
        <w:rPr>
          <w:lang w:val="en-GB"/>
        </w:rPr>
        <w:t xml:space="preserve"> (MG) and free fatty acid (FFA</w:t>
      </w:r>
      <w:r>
        <w:rPr>
          <w:lang w:val="en-GB"/>
        </w:rPr>
        <w:t xml:space="preserve">) </w:t>
      </w:r>
      <w:r w:rsidRPr="00F00614">
        <w:rPr>
          <w:lang w:val="en-GB"/>
        </w:rPr>
        <w:t>concentrations</w:t>
      </w:r>
      <w:r>
        <w:rPr>
          <w:lang w:val="en-GB"/>
        </w:rPr>
        <w:t>,</w:t>
      </w:r>
      <w:r w:rsidRPr="00F00614">
        <w:rPr>
          <w:lang w:val="en-GB"/>
        </w:rPr>
        <w:t xml:space="preserve"> the contribution of TG</w:t>
      </w:r>
      <w:r>
        <w:rPr>
          <w:lang w:val="en-GB"/>
        </w:rPr>
        <w:t>, DG</w:t>
      </w:r>
      <w:r w:rsidRPr="00F00614">
        <w:rPr>
          <w:lang w:val="en-GB"/>
        </w:rPr>
        <w:t>, MG and to total lipids</w:t>
      </w:r>
      <w:r>
        <w:rPr>
          <w:lang w:val="en-GB"/>
        </w:rPr>
        <w:t xml:space="preserve">, </w:t>
      </w:r>
      <w:r w:rsidRPr="00F00614">
        <w:rPr>
          <w:lang w:val="en-GB"/>
        </w:rPr>
        <w:t>particulate organic carbon (POC) and Lipolysis Index (LI)</w:t>
      </w:r>
      <w:r>
        <w:rPr>
          <w:lang w:val="en-GB"/>
        </w:rPr>
        <w:t xml:space="preserve"> data</w:t>
      </w:r>
      <w:r w:rsidRPr="00F00614">
        <w:rPr>
          <w:lang w:val="en-GB"/>
        </w:rPr>
        <w:t>.</w:t>
      </w:r>
    </w:p>
    <w:p w:rsidR="00F07BC6" w:rsidRPr="0073376D" w:rsidRDefault="00F07BC6" w:rsidP="00F07BC6">
      <w:pPr>
        <w:rPr>
          <w:sz w:val="32"/>
          <w:lang w:val="en-US"/>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907"/>
        <w:gridCol w:w="907"/>
        <w:gridCol w:w="907"/>
        <w:gridCol w:w="907"/>
        <w:gridCol w:w="907"/>
        <w:gridCol w:w="907"/>
        <w:gridCol w:w="963"/>
        <w:gridCol w:w="907"/>
        <w:gridCol w:w="1017"/>
        <w:gridCol w:w="907"/>
        <w:gridCol w:w="907"/>
      </w:tblGrid>
      <w:tr w:rsidR="00F07BC6" w:rsidRPr="0073376D" w:rsidTr="0057194B">
        <w:trPr>
          <w:trHeight w:hRule="exact" w:val="360"/>
          <w:jc w:val="center"/>
        </w:trPr>
        <w:tc>
          <w:tcPr>
            <w:tcW w:w="907" w:type="dxa"/>
            <w:tcBorders>
              <w:bottom w:val="nil"/>
            </w:tcBorders>
          </w:tcPr>
          <w:p w:rsidR="00F07BC6" w:rsidRPr="0073376D" w:rsidRDefault="00F07BC6" w:rsidP="0057194B">
            <w:pPr>
              <w:jc w:val="center"/>
              <w:rPr>
                <w:lang w:val="en-US"/>
              </w:rPr>
            </w:pPr>
            <w:r w:rsidRPr="0073376D">
              <w:rPr>
                <w:lang w:val="en-US"/>
              </w:rPr>
              <w:t>Depth</w:t>
            </w:r>
          </w:p>
        </w:tc>
        <w:tc>
          <w:tcPr>
            <w:tcW w:w="907" w:type="dxa"/>
            <w:tcBorders>
              <w:bottom w:val="nil"/>
            </w:tcBorders>
          </w:tcPr>
          <w:p w:rsidR="00F07BC6" w:rsidRPr="0073376D" w:rsidRDefault="00F07BC6" w:rsidP="0057194B">
            <w:pPr>
              <w:jc w:val="center"/>
            </w:pPr>
            <w:r w:rsidRPr="0073376D">
              <w:t>Lipid</w:t>
            </w:r>
          </w:p>
        </w:tc>
        <w:tc>
          <w:tcPr>
            <w:tcW w:w="907" w:type="dxa"/>
            <w:tcBorders>
              <w:bottom w:val="nil"/>
            </w:tcBorders>
          </w:tcPr>
          <w:p w:rsidR="00F07BC6" w:rsidRPr="0073376D" w:rsidRDefault="00F07BC6" w:rsidP="0057194B">
            <w:pPr>
              <w:jc w:val="center"/>
            </w:pPr>
            <w:r w:rsidRPr="0073376D">
              <w:t>TG</w:t>
            </w:r>
          </w:p>
        </w:tc>
        <w:tc>
          <w:tcPr>
            <w:tcW w:w="907" w:type="dxa"/>
            <w:tcBorders>
              <w:bottom w:val="nil"/>
            </w:tcBorders>
          </w:tcPr>
          <w:p w:rsidR="00F07BC6" w:rsidRPr="0073376D" w:rsidRDefault="00F07BC6" w:rsidP="0057194B">
            <w:pPr>
              <w:jc w:val="center"/>
            </w:pPr>
            <w:r w:rsidRPr="0073376D">
              <w:t>TG</w:t>
            </w:r>
          </w:p>
        </w:tc>
        <w:tc>
          <w:tcPr>
            <w:tcW w:w="907" w:type="dxa"/>
            <w:tcBorders>
              <w:bottom w:val="nil"/>
            </w:tcBorders>
          </w:tcPr>
          <w:p w:rsidR="00F07BC6" w:rsidRPr="0073376D" w:rsidRDefault="00F07BC6" w:rsidP="0057194B">
            <w:pPr>
              <w:jc w:val="center"/>
            </w:pPr>
            <w:r w:rsidRPr="0073376D">
              <w:t>DG</w:t>
            </w:r>
          </w:p>
        </w:tc>
        <w:tc>
          <w:tcPr>
            <w:tcW w:w="907" w:type="dxa"/>
            <w:tcBorders>
              <w:bottom w:val="nil"/>
            </w:tcBorders>
          </w:tcPr>
          <w:p w:rsidR="00F07BC6" w:rsidRPr="0073376D" w:rsidRDefault="00F07BC6" w:rsidP="0057194B">
            <w:pPr>
              <w:jc w:val="center"/>
            </w:pPr>
            <w:r w:rsidRPr="0073376D">
              <w:t>DG</w:t>
            </w:r>
          </w:p>
        </w:tc>
        <w:tc>
          <w:tcPr>
            <w:tcW w:w="907" w:type="dxa"/>
            <w:tcBorders>
              <w:bottom w:val="nil"/>
            </w:tcBorders>
          </w:tcPr>
          <w:p w:rsidR="00F07BC6" w:rsidRPr="0073376D" w:rsidRDefault="00F07BC6" w:rsidP="0057194B">
            <w:pPr>
              <w:jc w:val="center"/>
            </w:pPr>
            <w:r w:rsidRPr="0073376D">
              <w:t>MG</w:t>
            </w:r>
          </w:p>
        </w:tc>
        <w:tc>
          <w:tcPr>
            <w:tcW w:w="907" w:type="dxa"/>
            <w:tcBorders>
              <w:bottom w:val="nil"/>
            </w:tcBorders>
          </w:tcPr>
          <w:p w:rsidR="00F07BC6" w:rsidRPr="0073376D" w:rsidRDefault="00F07BC6" w:rsidP="0057194B">
            <w:pPr>
              <w:jc w:val="center"/>
            </w:pPr>
            <w:r w:rsidRPr="0073376D">
              <w:t>MG(%)</w:t>
            </w:r>
          </w:p>
        </w:tc>
        <w:tc>
          <w:tcPr>
            <w:tcW w:w="907" w:type="dxa"/>
            <w:tcBorders>
              <w:bottom w:val="nil"/>
            </w:tcBorders>
          </w:tcPr>
          <w:p w:rsidR="00F07BC6" w:rsidRPr="0073376D" w:rsidRDefault="00F07BC6" w:rsidP="0057194B">
            <w:pPr>
              <w:jc w:val="center"/>
            </w:pPr>
            <w:r w:rsidRPr="0073376D">
              <w:t>FFA</w:t>
            </w:r>
          </w:p>
        </w:tc>
        <w:tc>
          <w:tcPr>
            <w:tcW w:w="907" w:type="dxa"/>
            <w:tcBorders>
              <w:bottom w:val="nil"/>
            </w:tcBorders>
          </w:tcPr>
          <w:p w:rsidR="00F07BC6" w:rsidRPr="0073376D" w:rsidRDefault="00F07BC6" w:rsidP="0057194B">
            <w:pPr>
              <w:jc w:val="center"/>
            </w:pPr>
            <w:r w:rsidRPr="0073376D">
              <w:t>FFA(%)</w:t>
            </w:r>
          </w:p>
        </w:tc>
        <w:tc>
          <w:tcPr>
            <w:tcW w:w="907" w:type="dxa"/>
            <w:tcBorders>
              <w:bottom w:val="nil"/>
            </w:tcBorders>
          </w:tcPr>
          <w:p w:rsidR="00F07BC6" w:rsidRPr="0073376D" w:rsidRDefault="00F07BC6" w:rsidP="0057194B">
            <w:pPr>
              <w:jc w:val="center"/>
            </w:pPr>
            <w:r>
              <w:t>POC</w:t>
            </w:r>
          </w:p>
        </w:tc>
        <w:tc>
          <w:tcPr>
            <w:tcW w:w="907" w:type="dxa"/>
            <w:tcBorders>
              <w:bottom w:val="nil"/>
            </w:tcBorders>
          </w:tcPr>
          <w:p w:rsidR="00F07BC6" w:rsidRPr="0073376D" w:rsidRDefault="00F07BC6" w:rsidP="0057194B">
            <w:pPr>
              <w:jc w:val="center"/>
            </w:pPr>
            <w:r w:rsidRPr="0073376D">
              <w:t>LI</w:t>
            </w:r>
          </w:p>
        </w:tc>
      </w:tr>
      <w:tr w:rsidR="00F07BC6" w:rsidRPr="0073376D" w:rsidTr="0057194B">
        <w:trPr>
          <w:trHeight w:hRule="exact" w:val="360"/>
          <w:jc w:val="center"/>
        </w:trPr>
        <w:tc>
          <w:tcPr>
            <w:tcW w:w="907" w:type="dxa"/>
            <w:tcBorders>
              <w:top w:val="nil"/>
              <w:bottom w:val="single" w:sz="4" w:space="0" w:color="auto"/>
            </w:tcBorders>
          </w:tcPr>
          <w:p w:rsidR="00F07BC6" w:rsidRPr="009F4F29" w:rsidRDefault="00F07BC6" w:rsidP="0057194B">
            <w:pPr>
              <w:jc w:val="center"/>
              <w:rPr>
                <w:lang w:val="en-US"/>
              </w:rPr>
            </w:pPr>
            <w:r w:rsidRPr="009F4F29">
              <w:rPr>
                <w:lang w:val="en-US"/>
              </w:rPr>
              <w:t>(m)</w:t>
            </w:r>
          </w:p>
        </w:tc>
        <w:tc>
          <w:tcPr>
            <w:tcW w:w="907" w:type="dxa"/>
            <w:tcBorders>
              <w:top w:val="nil"/>
              <w:bottom w:val="single" w:sz="4" w:space="0" w:color="auto"/>
            </w:tcBorders>
          </w:tcPr>
          <w:p w:rsidR="00F07BC6" w:rsidRPr="009F4F29" w:rsidRDefault="00F07BC6" w:rsidP="0057194B">
            <w:pPr>
              <w:jc w:val="center"/>
            </w:pPr>
            <w:r w:rsidRPr="009F4F29">
              <w:t>(µg L</w:t>
            </w:r>
            <w:r w:rsidRPr="009F4F29">
              <w:rPr>
                <w:vertAlign w:val="superscript"/>
              </w:rPr>
              <w:t>-1</w:t>
            </w:r>
            <w:r w:rsidRPr="009F4F29">
              <w:t>)</w:t>
            </w:r>
          </w:p>
        </w:tc>
        <w:tc>
          <w:tcPr>
            <w:tcW w:w="907" w:type="dxa"/>
            <w:tcBorders>
              <w:top w:val="nil"/>
              <w:bottom w:val="single" w:sz="4" w:space="0" w:color="auto"/>
            </w:tcBorders>
          </w:tcPr>
          <w:p w:rsidR="00F07BC6" w:rsidRPr="009F4F29" w:rsidRDefault="00F07BC6" w:rsidP="0057194B">
            <w:pPr>
              <w:jc w:val="center"/>
            </w:pPr>
            <w:r w:rsidRPr="009F4F29">
              <w:t>(µg L</w:t>
            </w:r>
            <w:r w:rsidRPr="009F4F29">
              <w:rPr>
                <w:vertAlign w:val="superscript"/>
              </w:rPr>
              <w:t>-1</w:t>
            </w:r>
            <w:r w:rsidRPr="009F4F29">
              <w:t>)</w:t>
            </w:r>
          </w:p>
        </w:tc>
        <w:tc>
          <w:tcPr>
            <w:tcW w:w="907" w:type="dxa"/>
            <w:tcBorders>
              <w:top w:val="nil"/>
              <w:bottom w:val="single" w:sz="4" w:space="0" w:color="auto"/>
            </w:tcBorders>
          </w:tcPr>
          <w:p w:rsidR="00F07BC6" w:rsidRPr="009F4F29" w:rsidRDefault="00F07BC6" w:rsidP="0057194B">
            <w:pPr>
              <w:jc w:val="center"/>
            </w:pPr>
            <w:r w:rsidRPr="009F4F29">
              <w:t>(%)</w:t>
            </w:r>
          </w:p>
        </w:tc>
        <w:tc>
          <w:tcPr>
            <w:tcW w:w="907" w:type="dxa"/>
            <w:tcBorders>
              <w:top w:val="nil"/>
              <w:bottom w:val="single" w:sz="4" w:space="0" w:color="auto"/>
            </w:tcBorders>
          </w:tcPr>
          <w:p w:rsidR="00F07BC6" w:rsidRPr="009F4F29" w:rsidRDefault="00F07BC6" w:rsidP="0057194B">
            <w:pPr>
              <w:jc w:val="center"/>
            </w:pPr>
            <w:r w:rsidRPr="009F4F29">
              <w:t>(µg L</w:t>
            </w:r>
            <w:r w:rsidRPr="009F4F29">
              <w:rPr>
                <w:vertAlign w:val="superscript"/>
              </w:rPr>
              <w:t>-1</w:t>
            </w:r>
            <w:r w:rsidRPr="009F4F29">
              <w:t>)</w:t>
            </w:r>
          </w:p>
        </w:tc>
        <w:tc>
          <w:tcPr>
            <w:tcW w:w="907" w:type="dxa"/>
            <w:tcBorders>
              <w:top w:val="nil"/>
              <w:bottom w:val="single" w:sz="4" w:space="0" w:color="auto"/>
            </w:tcBorders>
          </w:tcPr>
          <w:p w:rsidR="00F07BC6" w:rsidRPr="009F4F29" w:rsidRDefault="00F07BC6" w:rsidP="0057194B">
            <w:pPr>
              <w:jc w:val="center"/>
            </w:pPr>
            <w:r w:rsidRPr="009F4F29">
              <w:t>(%)</w:t>
            </w:r>
          </w:p>
        </w:tc>
        <w:tc>
          <w:tcPr>
            <w:tcW w:w="907" w:type="dxa"/>
            <w:tcBorders>
              <w:top w:val="nil"/>
              <w:bottom w:val="single" w:sz="4" w:space="0" w:color="auto"/>
            </w:tcBorders>
          </w:tcPr>
          <w:p w:rsidR="00F07BC6" w:rsidRPr="009F4F29" w:rsidRDefault="00F07BC6" w:rsidP="0057194B">
            <w:pPr>
              <w:jc w:val="center"/>
            </w:pPr>
            <w:r w:rsidRPr="009F4F29">
              <w:t>(µg L</w:t>
            </w:r>
            <w:r w:rsidRPr="009F4F29">
              <w:rPr>
                <w:vertAlign w:val="superscript"/>
              </w:rPr>
              <w:t>-1</w:t>
            </w:r>
            <w:r w:rsidRPr="009F4F29">
              <w:t>)</w:t>
            </w:r>
          </w:p>
        </w:tc>
        <w:tc>
          <w:tcPr>
            <w:tcW w:w="907" w:type="dxa"/>
            <w:tcBorders>
              <w:top w:val="nil"/>
              <w:bottom w:val="single" w:sz="4" w:space="0" w:color="auto"/>
            </w:tcBorders>
          </w:tcPr>
          <w:p w:rsidR="00F07BC6" w:rsidRPr="009F4F29" w:rsidRDefault="00F07BC6" w:rsidP="0057194B">
            <w:pPr>
              <w:jc w:val="center"/>
            </w:pPr>
            <w:r w:rsidRPr="009F4F29">
              <w:t>(%)</w:t>
            </w:r>
          </w:p>
        </w:tc>
        <w:tc>
          <w:tcPr>
            <w:tcW w:w="907" w:type="dxa"/>
            <w:tcBorders>
              <w:top w:val="nil"/>
              <w:bottom w:val="single" w:sz="4" w:space="0" w:color="auto"/>
            </w:tcBorders>
          </w:tcPr>
          <w:p w:rsidR="00F07BC6" w:rsidRPr="009F4F29" w:rsidRDefault="00F07BC6" w:rsidP="0057194B">
            <w:pPr>
              <w:jc w:val="center"/>
            </w:pPr>
            <w:r w:rsidRPr="009F4F29">
              <w:t>(µg L</w:t>
            </w:r>
            <w:r w:rsidRPr="009F4F29">
              <w:rPr>
                <w:vertAlign w:val="superscript"/>
              </w:rPr>
              <w:t>-1</w:t>
            </w:r>
            <w:r w:rsidRPr="009F4F29">
              <w:t>)</w:t>
            </w:r>
          </w:p>
        </w:tc>
        <w:tc>
          <w:tcPr>
            <w:tcW w:w="907" w:type="dxa"/>
            <w:tcBorders>
              <w:top w:val="nil"/>
              <w:bottom w:val="single" w:sz="4" w:space="0" w:color="auto"/>
            </w:tcBorders>
          </w:tcPr>
          <w:p w:rsidR="00F07BC6" w:rsidRPr="009F4F29" w:rsidRDefault="00F07BC6" w:rsidP="0057194B">
            <w:pPr>
              <w:jc w:val="center"/>
            </w:pPr>
            <w:r w:rsidRPr="009F4F29">
              <w:t>(%)</w:t>
            </w:r>
          </w:p>
        </w:tc>
        <w:tc>
          <w:tcPr>
            <w:tcW w:w="907" w:type="dxa"/>
            <w:tcBorders>
              <w:top w:val="nil"/>
              <w:bottom w:val="single" w:sz="4" w:space="0" w:color="auto"/>
            </w:tcBorders>
          </w:tcPr>
          <w:p w:rsidR="00F07BC6" w:rsidRPr="009F4F29" w:rsidRDefault="00F07BC6" w:rsidP="0057194B">
            <w:pPr>
              <w:jc w:val="center"/>
            </w:pPr>
            <w:r w:rsidRPr="009F4F29">
              <w:t>(µg L</w:t>
            </w:r>
            <w:r w:rsidRPr="009F4F29">
              <w:rPr>
                <w:vertAlign w:val="superscript"/>
              </w:rPr>
              <w:t>-1</w:t>
            </w:r>
            <w:r w:rsidRPr="009F4F29">
              <w:t>)</w:t>
            </w:r>
          </w:p>
        </w:tc>
        <w:tc>
          <w:tcPr>
            <w:tcW w:w="907" w:type="dxa"/>
            <w:tcBorders>
              <w:top w:val="nil"/>
              <w:bottom w:val="single" w:sz="4" w:space="0" w:color="auto"/>
            </w:tcBorders>
          </w:tcPr>
          <w:p w:rsidR="00F07BC6" w:rsidRPr="009F4F29" w:rsidRDefault="00F07BC6" w:rsidP="0057194B">
            <w:pPr>
              <w:jc w:val="center"/>
            </w:pPr>
          </w:p>
        </w:tc>
      </w:tr>
      <w:tr w:rsidR="00F07BC6" w:rsidRPr="0073376D" w:rsidTr="0057194B">
        <w:trPr>
          <w:trHeight w:hRule="exact" w:val="288"/>
          <w:jc w:val="center"/>
        </w:trPr>
        <w:tc>
          <w:tcPr>
            <w:tcW w:w="907" w:type="dxa"/>
            <w:tcBorders>
              <w:top w:val="single" w:sz="4" w:space="0" w:color="auto"/>
            </w:tcBorders>
          </w:tcPr>
          <w:p w:rsidR="00F07BC6" w:rsidRPr="0073376D" w:rsidRDefault="00F07BC6" w:rsidP="0057194B">
            <w:pPr>
              <w:jc w:val="center"/>
            </w:pPr>
            <w:r w:rsidRPr="0073376D">
              <w:t>2</w:t>
            </w:r>
          </w:p>
        </w:tc>
        <w:tc>
          <w:tcPr>
            <w:tcW w:w="907" w:type="dxa"/>
            <w:tcBorders>
              <w:top w:val="single" w:sz="4" w:space="0" w:color="auto"/>
            </w:tcBorders>
          </w:tcPr>
          <w:p w:rsidR="00F07BC6" w:rsidRPr="0073376D" w:rsidRDefault="00F07BC6" w:rsidP="0057194B">
            <w:pPr>
              <w:jc w:val="center"/>
            </w:pPr>
            <w:r w:rsidRPr="0073376D">
              <w:t>16.23</w:t>
            </w:r>
          </w:p>
        </w:tc>
        <w:tc>
          <w:tcPr>
            <w:tcW w:w="907" w:type="dxa"/>
            <w:tcBorders>
              <w:top w:val="single" w:sz="4" w:space="0" w:color="auto"/>
            </w:tcBorders>
          </w:tcPr>
          <w:p w:rsidR="00F07BC6" w:rsidRPr="0073376D" w:rsidRDefault="00F07BC6" w:rsidP="0057194B">
            <w:pPr>
              <w:jc w:val="center"/>
            </w:pPr>
            <w:r w:rsidRPr="0073376D">
              <w:t>0.34</w:t>
            </w:r>
          </w:p>
        </w:tc>
        <w:tc>
          <w:tcPr>
            <w:tcW w:w="907" w:type="dxa"/>
            <w:tcBorders>
              <w:top w:val="single" w:sz="4" w:space="0" w:color="auto"/>
            </w:tcBorders>
          </w:tcPr>
          <w:p w:rsidR="00F07BC6" w:rsidRPr="0073376D" w:rsidRDefault="00F07BC6" w:rsidP="0057194B">
            <w:pPr>
              <w:jc w:val="center"/>
            </w:pPr>
            <w:r w:rsidRPr="0073376D">
              <w:t>2.12</w:t>
            </w:r>
          </w:p>
        </w:tc>
        <w:tc>
          <w:tcPr>
            <w:tcW w:w="907" w:type="dxa"/>
            <w:tcBorders>
              <w:top w:val="single" w:sz="4" w:space="0" w:color="auto"/>
            </w:tcBorders>
          </w:tcPr>
          <w:p w:rsidR="00F07BC6" w:rsidRPr="0073376D" w:rsidRDefault="00F07BC6" w:rsidP="0057194B">
            <w:pPr>
              <w:jc w:val="center"/>
            </w:pPr>
            <w:r w:rsidRPr="0073376D">
              <w:t>0.21</w:t>
            </w:r>
          </w:p>
        </w:tc>
        <w:tc>
          <w:tcPr>
            <w:tcW w:w="907" w:type="dxa"/>
            <w:tcBorders>
              <w:top w:val="single" w:sz="4" w:space="0" w:color="auto"/>
            </w:tcBorders>
          </w:tcPr>
          <w:p w:rsidR="00F07BC6" w:rsidRPr="0073376D" w:rsidRDefault="00F07BC6" w:rsidP="0057194B">
            <w:pPr>
              <w:jc w:val="center"/>
            </w:pPr>
            <w:r w:rsidRPr="0073376D">
              <w:t>1.27</w:t>
            </w:r>
          </w:p>
        </w:tc>
        <w:tc>
          <w:tcPr>
            <w:tcW w:w="907" w:type="dxa"/>
            <w:tcBorders>
              <w:top w:val="single" w:sz="4" w:space="0" w:color="auto"/>
            </w:tcBorders>
          </w:tcPr>
          <w:p w:rsidR="00F07BC6" w:rsidRPr="0073376D" w:rsidRDefault="00F07BC6" w:rsidP="0057194B">
            <w:pPr>
              <w:jc w:val="center"/>
            </w:pPr>
            <w:r w:rsidRPr="0073376D">
              <w:t>0.09</w:t>
            </w:r>
          </w:p>
        </w:tc>
        <w:tc>
          <w:tcPr>
            <w:tcW w:w="907" w:type="dxa"/>
            <w:tcBorders>
              <w:top w:val="single" w:sz="4" w:space="0" w:color="auto"/>
            </w:tcBorders>
          </w:tcPr>
          <w:p w:rsidR="00F07BC6" w:rsidRPr="0073376D" w:rsidRDefault="00F07BC6" w:rsidP="0057194B">
            <w:pPr>
              <w:jc w:val="center"/>
            </w:pPr>
            <w:r w:rsidRPr="0073376D">
              <w:t>0.57</w:t>
            </w:r>
          </w:p>
        </w:tc>
        <w:tc>
          <w:tcPr>
            <w:tcW w:w="907" w:type="dxa"/>
            <w:tcBorders>
              <w:top w:val="single" w:sz="4" w:space="0" w:color="auto"/>
            </w:tcBorders>
          </w:tcPr>
          <w:p w:rsidR="00F07BC6" w:rsidRPr="0073376D" w:rsidRDefault="00F07BC6" w:rsidP="0057194B">
            <w:pPr>
              <w:jc w:val="center"/>
            </w:pPr>
            <w:r w:rsidRPr="0073376D">
              <w:t>1.72</w:t>
            </w:r>
          </w:p>
        </w:tc>
        <w:tc>
          <w:tcPr>
            <w:tcW w:w="907" w:type="dxa"/>
            <w:tcBorders>
              <w:top w:val="single" w:sz="4" w:space="0" w:color="auto"/>
            </w:tcBorders>
          </w:tcPr>
          <w:p w:rsidR="00F07BC6" w:rsidRPr="0073376D" w:rsidRDefault="00F07BC6" w:rsidP="0057194B">
            <w:pPr>
              <w:jc w:val="center"/>
            </w:pPr>
            <w:r w:rsidRPr="0073376D">
              <w:t>10.57</w:t>
            </w:r>
          </w:p>
        </w:tc>
        <w:tc>
          <w:tcPr>
            <w:tcW w:w="907" w:type="dxa"/>
            <w:tcBorders>
              <w:top w:val="single" w:sz="4" w:space="0" w:color="auto"/>
            </w:tcBorders>
          </w:tcPr>
          <w:p w:rsidR="00F07BC6" w:rsidRPr="00F00614" w:rsidRDefault="00F07BC6" w:rsidP="0057194B">
            <w:pPr>
              <w:jc w:val="center"/>
            </w:pPr>
            <w:r w:rsidRPr="00F00614">
              <w:t>141.0</w:t>
            </w:r>
          </w:p>
        </w:tc>
        <w:tc>
          <w:tcPr>
            <w:tcW w:w="907" w:type="dxa"/>
            <w:tcBorders>
              <w:top w:val="single" w:sz="4" w:space="0" w:color="auto"/>
            </w:tcBorders>
          </w:tcPr>
          <w:p w:rsidR="00F07BC6" w:rsidRPr="0073376D" w:rsidRDefault="00F07BC6" w:rsidP="0057194B">
            <w:pPr>
              <w:jc w:val="center"/>
            </w:pPr>
            <w:r w:rsidRPr="0073376D">
              <w:t>0.28</w:t>
            </w:r>
          </w:p>
        </w:tc>
      </w:tr>
      <w:tr w:rsidR="00F07BC6" w:rsidRPr="0073376D" w:rsidTr="0057194B">
        <w:trPr>
          <w:trHeight w:hRule="exact" w:val="288"/>
          <w:jc w:val="center"/>
        </w:trPr>
        <w:tc>
          <w:tcPr>
            <w:tcW w:w="907" w:type="dxa"/>
          </w:tcPr>
          <w:p w:rsidR="00F07BC6" w:rsidRPr="0073376D" w:rsidRDefault="00F07BC6" w:rsidP="0057194B">
            <w:pPr>
              <w:jc w:val="center"/>
            </w:pPr>
            <w:r w:rsidRPr="0073376D">
              <w:t>5</w:t>
            </w:r>
          </w:p>
        </w:tc>
        <w:tc>
          <w:tcPr>
            <w:tcW w:w="907" w:type="dxa"/>
          </w:tcPr>
          <w:p w:rsidR="00F07BC6" w:rsidRPr="0073376D" w:rsidRDefault="00F07BC6" w:rsidP="0057194B">
            <w:pPr>
              <w:jc w:val="center"/>
            </w:pPr>
            <w:r w:rsidRPr="0073376D">
              <w:t>18.43</w:t>
            </w:r>
          </w:p>
        </w:tc>
        <w:tc>
          <w:tcPr>
            <w:tcW w:w="907" w:type="dxa"/>
          </w:tcPr>
          <w:p w:rsidR="00F07BC6" w:rsidRPr="0073376D" w:rsidRDefault="00F07BC6" w:rsidP="0057194B">
            <w:pPr>
              <w:jc w:val="center"/>
            </w:pPr>
            <w:r w:rsidRPr="0073376D">
              <w:t>0.45</w:t>
            </w:r>
          </w:p>
        </w:tc>
        <w:tc>
          <w:tcPr>
            <w:tcW w:w="907" w:type="dxa"/>
          </w:tcPr>
          <w:p w:rsidR="00F07BC6" w:rsidRPr="0073376D" w:rsidRDefault="00F07BC6" w:rsidP="0057194B">
            <w:pPr>
              <w:jc w:val="center"/>
            </w:pPr>
            <w:r w:rsidRPr="0073376D">
              <w:t>2.42</w:t>
            </w:r>
          </w:p>
        </w:tc>
        <w:tc>
          <w:tcPr>
            <w:tcW w:w="907" w:type="dxa"/>
          </w:tcPr>
          <w:p w:rsidR="00F07BC6" w:rsidRPr="0073376D" w:rsidRDefault="00F07BC6" w:rsidP="0057194B">
            <w:pPr>
              <w:jc w:val="center"/>
            </w:pPr>
            <w:r w:rsidRPr="0073376D">
              <w:t>0.25</w:t>
            </w:r>
          </w:p>
        </w:tc>
        <w:tc>
          <w:tcPr>
            <w:tcW w:w="907" w:type="dxa"/>
          </w:tcPr>
          <w:p w:rsidR="00F07BC6" w:rsidRPr="0073376D" w:rsidRDefault="00F07BC6" w:rsidP="0057194B">
            <w:pPr>
              <w:jc w:val="center"/>
            </w:pPr>
            <w:r w:rsidRPr="0073376D">
              <w:t>1.33</w:t>
            </w:r>
          </w:p>
        </w:tc>
        <w:tc>
          <w:tcPr>
            <w:tcW w:w="907" w:type="dxa"/>
          </w:tcPr>
          <w:p w:rsidR="00F07BC6" w:rsidRPr="0073376D" w:rsidRDefault="00F07BC6" w:rsidP="0057194B">
            <w:pPr>
              <w:jc w:val="center"/>
            </w:pPr>
            <w:r w:rsidRPr="0073376D">
              <w:t>0.04</w:t>
            </w:r>
          </w:p>
        </w:tc>
        <w:tc>
          <w:tcPr>
            <w:tcW w:w="907" w:type="dxa"/>
          </w:tcPr>
          <w:p w:rsidR="00F07BC6" w:rsidRPr="0073376D" w:rsidRDefault="00F07BC6" w:rsidP="0057194B">
            <w:pPr>
              <w:jc w:val="center"/>
            </w:pPr>
            <w:r w:rsidRPr="0073376D">
              <w:t>0.23</w:t>
            </w:r>
          </w:p>
        </w:tc>
        <w:tc>
          <w:tcPr>
            <w:tcW w:w="907" w:type="dxa"/>
          </w:tcPr>
          <w:p w:rsidR="00F07BC6" w:rsidRPr="0073376D" w:rsidRDefault="00F07BC6" w:rsidP="0057194B">
            <w:pPr>
              <w:jc w:val="center"/>
            </w:pPr>
            <w:r w:rsidRPr="0073376D">
              <w:t>2.90</w:t>
            </w:r>
          </w:p>
        </w:tc>
        <w:tc>
          <w:tcPr>
            <w:tcW w:w="907" w:type="dxa"/>
          </w:tcPr>
          <w:p w:rsidR="00F07BC6" w:rsidRPr="0073376D" w:rsidRDefault="00F07BC6" w:rsidP="0057194B">
            <w:pPr>
              <w:jc w:val="center"/>
            </w:pPr>
            <w:r w:rsidRPr="0073376D">
              <w:t>15.74</w:t>
            </w:r>
          </w:p>
        </w:tc>
        <w:tc>
          <w:tcPr>
            <w:tcW w:w="907" w:type="dxa"/>
          </w:tcPr>
          <w:p w:rsidR="00F07BC6" w:rsidRPr="00F00614" w:rsidRDefault="00F07BC6" w:rsidP="0057194B">
            <w:pPr>
              <w:jc w:val="center"/>
            </w:pPr>
          </w:p>
        </w:tc>
        <w:tc>
          <w:tcPr>
            <w:tcW w:w="907" w:type="dxa"/>
          </w:tcPr>
          <w:p w:rsidR="00F07BC6" w:rsidRPr="0073376D" w:rsidRDefault="00F07BC6" w:rsidP="0057194B">
            <w:pPr>
              <w:jc w:val="center"/>
            </w:pPr>
            <w:r w:rsidRPr="0073376D">
              <w:t>0.38</w:t>
            </w:r>
          </w:p>
        </w:tc>
      </w:tr>
      <w:tr w:rsidR="00F07BC6" w:rsidRPr="0073376D" w:rsidTr="0057194B">
        <w:trPr>
          <w:trHeight w:hRule="exact" w:val="288"/>
          <w:jc w:val="center"/>
        </w:trPr>
        <w:tc>
          <w:tcPr>
            <w:tcW w:w="907" w:type="dxa"/>
          </w:tcPr>
          <w:p w:rsidR="00F07BC6" w:rsidRPr="0073376D" w:rsidRDefault="00F07BC6" w:rsidP="0057194B">
            <w:pPr>
              <w:jc w:val="center"/>
            </w:pPr>
            <w:r w:rsidRPr="0073376D">
              <w:t>15</w:t>
            </w:r>
          </w:p>
        </w:tc>
        <w:tc>
          <w:tcPr>
            <w:tcW w:w="907" w:type="dxa"/>
          </w:tcPr>
          <w:p w:rsidR="00F07BC6" w:rsidRPr="0073376D" w:rsidRDefault="00F07BC6" w:rsidP="0057194B">
            <w:pPr>
              <w:jc w:val="center"/>
            </w:pPr>
            <w:r w:rsidRPr="0073376D">
              <w:t>11.13</w:t>
            </w:r>
          </w:p>
        </w:tc>
        <w:tc>
          <w:tcPr>
            <w:tcW w:w="907" w:type="dxa"/>
          </w:tcPr>
          <w:p w:rsidR="00F07BC6" w:rsidRPr="0073376D" w:rsidRDefault="00F07BC6" w:rsidP="0057194B">
            <w:pPr>
              <w:jc w:val="center"/>
            </w:pPr>
            <w:r w:rsidRPr="0073376D">
              <w:t>0.37</w:t>
            </w:r>
          </w:p>
        </w:tc>
        <w:tc>
          <w:tcPr>
            <w:tcW w:w="907" w:type="dxa"/>
          </w:tcPr>
          <w:p w:rsidR="00F07BC6" w:rsidRPr="0073376D" w:rsidRDefault="00F07BC6" w:rsidP="0057194B">
            <w:pPr>
              <w:jc w:val="center"/>
            </w:pPr>
            <w:r w:rsidRPr="0073376D">
              <w:t>3.31</w:t>
            </w:r>
          </w:p>
        </w:tc>
        <w:tc>
          <w:tcPr>
            <w:tcW w:w="907" w:type="dxa"/>
          </w:tcPr>
          <w:p w:rsidR="00F07BC6" w:rsidRPr="0073376D" w:rsidRDefault="00F07BC6" w:rsidP="0057194B">
            <w:pPr>
              <w:jc w:val="center"/>
            </w:pPr>
            <w:r w:rsidRPr="0073376D">
              <w:t>0.27</w:t>
            </w:r>
          </w:p>
        </w:tc>
        <w:tc>
          <w:tcPr>
            <w:tcW w:w="907" w:type="dxa"/>
          </w:tcPr>
          <w:p w:rsidR="00F07BC6" w:rsidRPr="0073376D" w:rsidRDefault="00F07BC6" w:rsidP="0057194B">
            <w:pPr>
              <w:jc w:val="center"/>
            </w:pPr>
            <w:r w:rsidRPr="0073376D">
              <w:t>2.44</w:t>
            </w:r>
          </w:p>
        </w:tc>
        <w:tc>
          <w:tcPr>
            <w:tcW w:w="907" w:type="dxa"/>
          </w:tcPr>
          <w:p w:rsidR="00F07BC6" w:rsidRPr="0073376D" w:rsidRDefault="00F07BC6" w:rsidP="0057194B">
            <w:pPr>
              <w:jc w:val="center"/>
            </w:pPr>
            <w:r w:rsidRPr="0073376D">
              <w:t>0.06</w:t>
            </w:r>
          </w:p>
        </w:tc>
        <w:tc>
          <w:tcPr>
            <w:tcW w:w="907" w:type="dxa"/>
          </w:tcPr>
          <w:p w:rsidR="00F07BC6" w:rsidRPr="0073376D" w:rsidRDefault="00F07BC6" w:rsidP="0057194B">
            <w:pPr>
              <w:jc w:val="center"/>
            </w:pPr>
            <w:r w:rsidRPr="0073376D">
              <w:t>0.52</w:t>
            </w:r>
          </w:p>
        </w:tc>
        <w:tc>
          <w:tcPr>
            <w:tcW w:w="907" w:type="dxa"/>
          </w:tcPr>
          <w:p w:rsidR="00F07BC6" w:rsidRPr="0073376D" w:rsidRDefault="00F07BC6" w:rsidP="0057194B">
            <w:pPr>
              <w:jc w:val="center"/>
            </w:pPr>
            <w:r w:rsidRPr="0073376D">
              <w:t>0.87</w:t>
            </w:r>
          </w:p>
        </w:tc>
        <w:tc>
          <w:tcPr>
            <w:tcW w:w="907" w:type="dxa"/>
          </w:tcPr>
          <w:p w:rsidR="00F07BC6" w:rsidRPr="0073376D" w:rsidRDefault="00F07BC6" w:rsidP="0057194B">
            <w:pPr>
              <w:jc w:val="center"/>
            </w:pPr>
            <w:r w:rsidRPr="0073376D">
              <w:t>7.82</w:t>
            </w:r>
          </w:p>
        </w:tc>
        <w:tc>
          <w:tcPr>
            <w:tcW w:w="907" w:type="dxa"/>
          </w:tcPr>
          <w:p w:rsidR="00F07BC6" w:rsidRPr="00F00614" w:rsidRDefault="00F07BC6" w:rsidP="0057194B">
            <w:pPr>
              <w:jc w:val="center"/>
            </w:pPr>
          </w:p>
        </w:tc>
        <w:tc>
          <w:tcPr>
            <w:tcW w:w="907" w:type="dxa"/>
          </w:tcPr>
          <w:p w:rsidR="00F07BC6" w:rsidRPr="0073376D" w:rsidRDefault="00F07BC6" w:rsidP="0057194B">
            <w:pPr>
              <w:jc w:val="center"/>
            </w:pPr>
            <w:r w:rsidRPr="0073376D">
              <w:t>0.24</w:t>
            </w:r>
          </w:p>
        </w:tc>
      </w:tr>
      <w:tr w:rsidR="00F07BC6" w:rsidRPr="0073376D" w:rsidTr="0057194B">
        <w:trPr>
          <w:trHeight w:hRule="exact" w:val="288"/>
          <w:jc w:val="center"/>
        </w:trPr>
        <w:tc>
          <w:tcPr>
            <w:tcW w:w="907" w:type="dxa"/>
          </w:tcPr>
          <w:p w:rsidR="00F07BC6" w:rsidRPr="0073376D" w:rsidRDefault="00F07BC6" w:rsidP="0057194B">
            <w:pPr>
              <w:jc w:val="center"/>
            </w:pPr>
            <w:r w:rsidRPr="0073376D">
              <w:t>25</w:t>
            </w:r>
          </w:p>
        </w:tc>
        <w:tc>
          <w:tcPr>
            <w:tcW w:w="907" w:type="dxa"/>
          </w:tcPr>
          <w:p w:rsidR="00F07BC6" w:rsidRPr="0073376D" w:rsidRDefault="00F07BC6" w:rsidP="0057194B">
            <w:pPr>
              <w:jc w:val="center"/>
            </w:pPr>
            <w:r w:rsidRPr="0073376D">
              <w:t>20.53</w:t>
            </w:r>
          </w:p>
        </w:tc>
        <w:tc>
          <w:tcPr>
            <w:tcW w:w="907" w:type="dxa"/>
          </w:tcPr>
          <w:p w:rsidR="00F07BC6" w:rsidRPr="0073376D" w:rsidRDefault="00F07BC6" w:rsidP="0057194B">
            <w:pPr>
              <w:jc w:val="center"/>
            </w:pPr>
            <w:r w:rsidRPr="0073376D">
              <w:t>0.51</w:t>
            </w:r>
          </w:p>
        </w:tc>
        <w:tc>
          <w:tcPr>
            <w:tcW w:w="907" w:type="dxa"/>
          </w:tcPr>
          <w:p w:rsidR="00F07BC6" w:rsidRPr="0073376D" w:rsidRDefault="00F07BC6" w:rsidP="0057194B">
            <w:pPr>
              <w:jc w:val="center"/>
            </w:pPr>
            <w:r w:rsidRPr="0073376D">
              <w:t>2.49</w:t>
            </w:r>
          </w:p>
        </w:tc>
        <w:tc>
          <w:tcPr>
            <w:tcW w:w="907" w:type="dxa"/>
          </w:tcPr>
          <w:p w:rsidR="00F07BC6" w:rsidRPr="0073376D" w:rsidRDefault="00F07BC6" w:rsidP="0057194B">
            <w:pPr>
              <w:jc w:val="center"/>
            </w:pPr>
            <w:r w:rsidRPr="0073376D">
              <w:t>0.39</w:t>
            </w:r>
          </w:p>
        </w:tc>
        <w:tc>
          <w:tcPr>
            <w:tcW w:w="907" w:type="dxa"/>
          </w:tcPr>
          <w:p w:rsidR="00F07BC6" w:rsidRPr="0073376D" w:rsidRDefault="00F07BC6" w:rsidP="0057194B">
            <w:pPr>
              <w:jc w:val="center"/>
            </w:pPr>
            <w:r w:rsidRPr="0073376D">
              <w:t>1.88</w:t>
            </w:r>
          </w:p>
        </w:tc>
        <w:tc>
          <w:tcPr>
            <w:tcW w:w="907" w:type="dxa"/>
          </w:tcPr>
          <w:p w:rsidR="00F07BC6" w:rsidRPr="0073376D" w:rsidRDefault="00F07BC6" w:rsidP="0057194B">
            <w:pPr>
              <w:jc w:val="center"/>
            </w:pPr>
            <w:r w:rsidRPr="0073376D">
              <w:t>0.04</w:t>
            </w:r>
          </w:p>
        </w:tc>
        <w:tc>
          <w:tcPr>
            <w:tcW w:w="907" w:type="dxa"/>
          </w:tcPr>
          <w:p w:rsidR="00F07BC6" w:rsidRPr="0073376D" w:rsidRDefault="00F07BC6" w:rsidP="0057194B">
            <w:pPr>
              <w:jc w:val="center"/>
            </w:pPr>
            <w:r w:rsidRPr="0073376D">
              <w:t>0.17</w:t>
            </w:r>
          </w:p>
        </w:tc>
        <w:tc>
          <w:tcPr>
            <w:tcW w:w="907" w:type="dxa"/>
          </w:tcPr>
          <w:p w:rsidR="00F07BC6" w:rsidRPr="0073376D" w:rsidRDefault="00F07BC6" w:rsidP="0057194B">
            <w:pPr>
              <w:jc w:val="center"/>
            </w:pPr>
            <w:r w:rsidRPr="0073376D">
              <w:t>2.33</w:t>
            </w:r>
          </w:p>
        </w:tc>
        <w:tc>
          <w:tcPr>
            <w:tcW w:w="907" w:type="dxa"/>
          </w:tcPr>
          <w:p w:rsidR="00F07BC6" w:rsidRPr="0073376D" w:rsidRDefault="00F07BC6" w:rsidP="0057194B">
            <w:pPr>
              <w:jc w:val="center"/>
            </w:pPr>
            <w:r w:rsidRPr="0073376D">
              <w:t>11.35</w:t>
            </w:r>
          </w:p>
        </w:tc>
        <w:tc>
          <w:tcPr>
            <w:tcW w:w="907" w:type="dxa"/>
          </w:tcPr>
          <w:p w:rsidR="00F07BC6" w:rsidRPr="00F00614" w:rsidRDefault="00F07BC6" w:rsidP="0057194B">
            <w:pPr>
              <w:jc w:val="center"/>
            </w:pPr>
            <w:r w:rsidRPr="00F00614">
              <w:t>202.9</w:t>
            </w:r>
          </w:p>
        </w:tc>
        <w:tc>
          <w:tcPr>
            <w:tcW w:w="907" w:type="dxa"/>
          </w:tcPr>
          <w:p w:rsidR="00F07BC6" w:rsidRPr="0073376D" w:rsidRDefault="00F07BC6" w:rsidP="0057194B">
            <w:pPr>
              <w:jc w:val="center"/>
            </w:pPr>
            <w:r w:rsidRPr="0073376D">
              <w:t>0.28</w:t>
            </w:r>
          </w:p>
        </w:tc>
      </w:tr>
      <w:tr w:rsidR="00F07BC6" w:rsidRPr="0073376D" w:rsidTr="0057194B">
        <w:trPr>
          <w:trHeight w:hRule="exact" w:val="288"/>
          <w:jc w:val="center"/>
        </w:trPr>
        <w:tc>
          <w:tcPr>
            <w:tcW w:w="907" w:type="dxa"/>
          </w:tcPr>
          <w:p w:rsidR="00F07BC6" w:rsidRPr="0073376D" w:rsidRDefault="00F07BC6" w:rsidP="0057194B">
            <w:pPr>
              <w:jc w:val="center"/>
            </w:pPr>
            <w:r w:rsidRPr="0073376D">
              <w:t>30</w:t>
            </w:r>
          </w:p>
        </w:tc>
        <w:tc>
          <w:tcPr>
            <w:tcW w:w="907" w:type="dxa"/>
          </w:tcPr>
          <w:p w:rsidR="00F07BC6" w:rsidRPr="0073376D" w:rsidRDefault="00F07BC6" w:rsidP="0057194B">
            <w:pPr>
              <w:jc w:val="center"/>
            </w:pPr>
            <w:r w:rsidRPr="0073376D">
              <w:t>24.28</w:t>
            </w:r>
          </w:p>
        </w:tc>
        <w:tc>
          <w:tcPr>
            <w:tcW w:w="907" w:type="dxa"/>
          </w:tcPr>
          <w:p w:rsidR="00F07BC6" w:rsidRPr="0073376D" w:rsidRDefault="00F07BC6" w:rsidP="0057194B">
            <w:pPr>
              <w:jc w:val="center"/>
            </w:pPr>
            <w:r w:rsidRPr="0073376D">
              <w:t>1.91</w:t>
            </w:r>
          </w:p>
        </w:tc>
        <w:tc>
          <w:tcPr>
            <w:tcW w:w="907" w:type="dxa"/>
          </w:tcPr>
          <w:p w:rsidR="00F07BC6" w:rsidRPr="0073376D" w:rsidRDefault="00F07BC6" w:rsidP="0057194B">
            <w:pPr>
              <w:jc w:val="center"/>
            </w:pPr>
            <w:r w:rsidRPr="0073376D">
              <w:t>7.88</w:t>
            </w:r>
          </w:p>
        </w:tc>
        <w:tc>
          <w:tcPr>
            <w:tcW w:w="907" w:type="dxa"/>
          </w:tcPr>
          <w:p w:rsidR="00F07BC6" w:rsidRPr="0073376D" w:rsidRDefault="00F07BC6" w:rsidP="0057194B">
            <w:pPr>
              <w:jc w:val="center"/>
            </w:pPr>
            <w:r w:rsidRPr="0073376D">
              <w:t>0.23</w:t>
            </w:r>
          </w:p>
        </w:tc>
        <w:tc>
          <w:tcPr>
            <w:tcW w:w="907" w:type="dxa"/>
          </w:tcPr>
          <w:p w:rsidR="00F07BC6" w:rsidRPr="0073376D" w:rsidRDefault="00F07BC6" w:rsidP="0057194B">
            <w:pPr>
              <w:jc w:val="center"/>
            </w:pPr>
            <w:r w:rsidRPr="0073376D">
              <w:t>0.95</w:t>
            </w:r>
          </w:p>
        </w:tc>
        <w:tc>
          <w:tcPr>
            <w:tcW w:w="907" w:type="dxa"/>
          </w:tcPr>
          <w:p w:rsidR="00F07BC6" w:rsidRPr="0073376D" w:rsidRDefault="00F07BC6" w:rsidP="0057194B">
            <w:pPr>
              <w:jc w:val="center"/>
            </w:pPr>
            <w:r w:rsidRPr="0073376D">
              <w:t>0.13</w:t>
            </w:r>
          </w:p>
        </w:tc>
        <w:tc>
          <w:tcPr>
            <w:tcW w:w="907" w:type="dxa"/>
          </w:tcPr>
          <w:p w:rsidR="00F07BC6" w:rsidRPr="0073376D" w:rsidRDefault="00F07BC6" w:rsidP="0057194B">
            <w:pPr>
              <w:jc w:val="center"/>
            </w:pPr>
            <w:r w:rsidRPr="0073376D">
              <w:t>0.52</w:t>
            </w:r>
          </w:p>
        </w:tc>
        <w:tc>
          <w:tcPr>
            <w:tcW w:w="907" w:type="dxa"/>
          </w:tcPr>
          <w:p w:rsidR="00F07BC6" w:rsidRPr="0073376D" w:rsidRDefault="00F07BC6" w:rsidP="0057194B">
            <w:pPr>
              <w:jc w:val="center"/>
            </w:pPr>
            <w:r w:rsidRPr="0073376D">
              <w:t>3.49</w:t>
            </w:r>
          </w:p>
        </w:tc>
        <w:tc>
          <w:tcPr>
            <w:tcW w:w="907" w:type="dxa"/>
          </w:tcPr>
          <w:p w:rsidR="00F07BC6" w:rsidRPr="0073376D" w:rsidRDefault="00F07BC6" w:rsidP="0057194B">
            <w:pPr>
              <w:jc w:val="center"/>
            </w:pPr>
            <w:r w:rsidRPr="0073376D">
              <w:t>14.35</w:t>
            </w:r>
          </w:p>
        </w:tc>
        <w:tc>
          <w:tcPr>
            <w:tcW w:w="907" w:type="dxa"/>
          </w:tcPr>
          <w:p w:rsidR="00F07BC6" w:rsidRPr="00F00614" w:rsidRDefault="00F07BC6" w:rsidP="0057194B">
            <w:pPr>
              <w:jc w:val="center"/>
            </w:pPr>
            <w:r w:rsidRPr="00F00614">
              <w:t>154.3</w:t>
            </w:r>
          </w:p>
        </w:tc>
        <w:tc>
          <w:tcPr>
            <w:tcW w:w="907" w:type="dxa"/>
          </w:tcPr>
          <w:p w:rsidR="00F07BC6" w:rsidRPr="0073376D" w:rsidRDefault="00F07BC6" w:rsidP="0057194B">
            <w:pPr>
              <w:jc w:val="center"/>
            </w:pPr>
            <w:r w:rsidRPr="0073376D">
              <w:t>0.28</w:t>
            </w:r>
          </w:p>
        </w:tc>
      </w:tr>
      <w:tr w:rsidR="00F07BC6" w:rsidRPr="0073376D" w:rsidTr="0057194B">
        <w:trPr>
          <w:trHeight w:hRule="exact" w:val="288"/>
          <w:jc w:val="center"/>
        </w:trPr>
        <w:tc>
          <w:tcPr>
            <w:tcW w:w="907" w:type="dxa"/>
          </w:tcPr>
          <w:p w:rsidR="00F07BC6" w:rsidRPr="0073376D" w:rsidRDefault="00F07BC6" w:rsidP="0057194B">
            <w:pPr>
              <w:jc w:val="center"/>
            </w:pPr>
            <w:r w:rsidRPr="0073376D">
              <w:t>50</w:t>
            </w:r>
          </w:p>
        </w:tc>
        <w:tc>
          <w:tcPr>
            <w:tcW w:w="907" w:type="dxa"/>
          </w:tcPr>
          <w:p w:rsidR="00F07BC6" w:rsidRPr="0073376D" w:rsidRDefault="00F07BC6" w:rsidP="0057194B">
            <w:pPr>
              <w:jc w:val="center"/>
            </w:pPr>
            <w:r w:rsidRPr="0073376D">
              <w:t>10.61</w:t>
            </w:r>
          </w:p>
        </w:tc>
        <w:tc>
          <w:tcPr>
            <w:tcW w:w="907" w:type="dxa"/>
          </w:tcPr>
          <w:p w:rsidR="00F07BC6" w:rsidRPr="0073376D" w:rsidRDefault="00F07BC6" w:rsidP="0057194B">
            <w:pPr>
              <w:jc w:val="center"/>
            </w:pPr>
            <w:r w:rsidRPr="0073376D">
              <w:t>0.39</w:t>
            </w:r>
          </w:p>
        </w:tc>
        <w:tc>
          <w:tcPr>
            <w:tcW w:w="907" w:type="dxa"/>
          </w:tcPr>
          <w:p w:rsidR="00F07BC6" w:rsidRPr="0073376D" w:rsidRDefault="00F07BC6" w:rsidP="0057194B">
            <w:pPr>
              <w:jc w:val="center"/>
            </w:pPr>
            <w:r w:rsidRPr="0073376D">
              <w:t>3.64</w:t>
            </w:r>
          </w:p>
        </w:tc>
        <w:tc>
          <w:tcPr>
            <w:tcW w:w="907" w:type="dxa"/>
          </w:tcPr>
          <w:p w:rsidR="00F07BC6" w:rsidRPr="0073376D" w:rsidRDefault="00F07BC6" w:rsidP="0057194B">
            <w:pPr>
              <w:jc w:val="center"/>
            </w:pPr>
          </w:p>
        </w:tc>
        <w:tc>
          <w:tcPr>
            <w:tcW w:w="907" w:type="dxa"/>
          </w:tcPr>
          <w:p w:rsidR="00F07BC6" w:rsidRPr="0073376D" w:rsidRDefault="00F07BC6" w:rsidP="0057194B">
            <w:pPr>
              <w:jc w:val="center"/>
            </w:pPr>
          </w:p>
        </w:tc>
        <w:tc>
          <w:tcPr>
            <w:tcW w:w="907" w:type="dxa"/>
          </w:tcPr>
          <w:p w:rsidR="00F07BC6" w:rsidRPr="0073376D" w:rsidRDefault="00F07BC6" w:rsidP="0057194B">
            <w:pPr>
              <w:jc w:val="center"/>
            </w:pPr>
            <w:r w:rsidRPr="0073376D">
              <w:t>0.03</w:t>
            </w:r>
          </w:p>
        </w:tc>
        <w:tc>
          <w:tcPr>
            <w:tcW w:w="907" w:type="dxa"/>
          </w:tcPr>
          <w:p w:rsidR="00F07BC6" w:rsidRPr="0073376D" w:rsidRDefault="00F07BC6" w:rsidP="0057194B">
            <w:pPr>
              <w:jc w:val="center"/>
            </w:pPr>
            <w:r w:rsidRPr="0073376D">
              <w:t>0.30</w:t>
            </w:r>
          </w:p>
        </w:tc>
        <w:tc>
          <w:tcPr>
            <w:tcW w:w="907" w:type="dxa"/>
          </w:tcPr>
          <w:p w:rsidR="00F07BC6" w:rsidRPr="0073376D" w:rsidRDefault="00F07BC6" w:rsidP="0057194B">
            <w:pPr>
              <w:jc w:val="center"/>
            </w:pPr>
            <w:r w:rsidRPr="0073376D">
              <w:t>0.12</w:t>
            </w:r>
          </w:p>
        </w:tc>
        <w:tc>
          <w:tcPr>
            <w:tcW w:w="907" w:type="dxa"/>
          </w:tcPr>
          <w:p w:rsidR="00F07BC6" w:rsidRPr="0073376D" w:rsidRDefault="00F07BC6" w:rsidP="0057194B">
            <w:pPr>
              <w:jc w:val="center"/>
            </w:pPr>
            <w:r w:rsidRPr="0073376D">
              <w:t>1.09</w:t>
            </w:r>
          </w:p>
        </w:tc>
        <w:tc>
          <w:tcPr>
            <w:tcW w:w="907" w:type="dxa"/>
          </w:tcPr>
          <w:p w:rsidR="00F07BC6" w:rsidRPr="00F00614" w:rsidRDefault="00F07BC6" w:rsidP="0057194B">
            <w:pPr>
              <w:jc w:val="center"/>
            </w:pPr>
          </w:p>
        </w:tc>
        <w:tc>
          <w:tcPr>
            <w:tcW w:w="907" w:type="dxa"/>
          </w:tcPr>
          <w:p w:rsidR="00F07BC6" w:rsidRPr="0073376D" w:rsidRDefault="00F07BC6" w:rsidP="0057194B">
            <w:pPr>
              <w:jc w:val="center"/>
            </w:pPr>
            <w:r w:rsidRPr="0073376D">
              <w:t>0.05</w:t>
            </w:r>
          </w:p>
        </w:tc>
      </w:tr>
      <w:tr w:rsidR="00F07BC6" w:rsidRPr="0073376D" w:rsidTr="0057194B">
        <w:trPr>
          <w:trHeight w:hRule="exact" w:val="288"/>
          <w:jc w:val="center"/>
        </w:trPr>
        <w:tc>
          <w:tcPr>
            <w:tcW w:w="907" w:type="dxa"/>
          </w:tcPr>
          <w:p w:rsidR="00F07BC6" w:rsidRPr="0073376D" w:rsidRDefault="00F07BC6" w:rsidP="0057194B">
            <w:pPr>
              <w:jc w:val="center"/>
            </w:pPr>
            <w:r w:rsidRPr="0073376D">
              <w:t>100</w:t>
            </w:r>
          </w:p>
        </w:tc>
        <w:tc>
          <w:tcPr>
            <w:tcW w:w="907" w:type="dxa"/>
          </w:tcPr>
          <w:p w:rsidR="00F07BC6" w:rsidRPr="0073376D" w:rsidRDefault="00F07BC6" w:rsidP="0057194B">
            <w:pPr>
              <w:jc w:val="center"/>
            </w:pPr>
            <w:r w:rsidRPr="0073376D">
              <w:t>4.28</w:t>
            </w:r>
          </w:p>
        </w:tc>
        <w:tc>
          <w:tcPr>
            <w:tcW w:w="907" w:type="dxa"/>
          </w:tcPr>
          <w:p w:rsidR="00F07BC6" w:rsidRPr="0073376D" w:rsidRDefault="00F07BC6" w:rsidP="0057194B">
            <w:pPr>
              <w:jc w:val="center"/>
            </w:pPr>
            <w:r w:rsidRPr="0073376D">
              <w:t>0.16</w:t>
            </w:r>
          </w:p>
        </w:tc>
        <w:tc>
          <w:tcPr>
            <w:tcW w:w="907" w:type="dxa"/>
          </w:tcPr>
          <w:p w:rsidR="00F07BC6" w:rsidRPr="0073376D" w:rsidRDefault="00F07BC6" w:rsidP="0057194B">
            <w:pPr>
              <w:jc w:val="center"/>
            </w:pPr>
            <w:r w:rsidRPr="0073376D">
              <w:t>3.73</w:t>
            </w:r>
          </w:p>
        </w:tc>
        <w:tc>
          <w:tcPr>
            <w:tcW w:w="907" w:type="dxa"/>
          </w:tcPr>
          <w:p w:rsidR="00F07BC6" w:rsidRPr="0073376D" w:rsidRDefault="00F07BC6" w:rsidP="0057194B">
            <w:pPr>
              <w:jc w:val="center"/>
            </w:pPr>
          </w:p>
        </w:tc>
        <w:tc>
          <w:tcPr>
            <w:tcW w:w="907" w:type="dxa"/>
          </w:tcPr>
          <w:p w:rsidR="00F07BC6" w:rsidRPr="0073376D" w:rsidRDefault="00F07BC6" w:rsidP="0057194B">
            <w:pPr>
              <w:jc w:val="center"/>
            </w:pPr>
          </w:p>
        </w:tc>
        <w:tc>
          <w:tcPr>
            <w:tcW w:w="907" w:type="dxa"/>
          </w:tcPr>
          <w:p w:rsidR="00F07BC6" w:rsidRPr="0073376D" w:rsidRDefault="00F07BC6" w:rsidP="0057194B">
            <w:pPr>
              <w:jc w:val="center"/>
            </w:pPr>
            <w:r w:rsidRPr="0073376D">
              <w:t>0.00</w:t>
            </w:r>
          </w:p>
        </w:tc>
        <w:tc>
          <w:tcPr>
            <w:tcW w:w="907" w:type="dxa"/>
          </w:tcPr>
          <w:p w:rsidR="00F07BC6" w:rsidRPr="0073376D" w:rsidRDefault="00F07BC6" w:rsidP="0057194B">
            <w:pPr>
              <w:jc w:val="center"/>
            </w:pPr>
            <w:r w:rsidRPr="0073376D">
              <w:t>0.11</w:t>
            </w:r>
          </w:p>
        </w:tc>
        <w:tc>
          <w:tcPr>
            <w:tcW w:w="907" w:type="dxa"/>
          </w:tcPr>
          <w:p w:rsidR="00F07BC6" w:rsidRPr="0073376D" w:rsidRDefault="00F07BC6" w:rsidP="0057194B">
            <w:pPr>
              <w:jc w:val="center"/>
            </w:pPr>
            <w:r w:rsidRPr="0073376D">
              <w:t>0.25</w:t>
            </w:r>
          </w:p>
        </w:tc>
        <w:tc>
          <w:tcPr>
            <w:tcW w:w="907" w:type="dxa"/>
          </w:tcPr>
          <w:p w:rsidR="00F07BC6" w:rsidRPr="0073376D" w:rsidRDefault="00F07BC6" w:rsidP="0057194B">
            <w:pPr>
              <w:jc w:val="center"/>
            </w:pPr>
            <w:r w:rsidRPr="0073376D">
              <w:t>5.88</w:t>
            </w:r>
          </w:p>
        </w:tc>
        <w:tc>
          <w:tcPr>
            <w:tcW w:w="907" w:type="dxa"/>
          </w:tcPr>
          <w:p w:rsidR="00F07BC6" w:rsidRPr="00F00614" w:rsidRDefault="00F07BC6" w:rsidP="0057194B">
            <w:pPr>
              <w:jc w:val="center"/>
            </w:pPr>
            <w:r w:rsidRPr="00F00614">
              <w:t>65.1</w:t>
            </w:r>
          </w:p>
        </w:tc>
        <w:tc>
          <w:tcPr>
            <w:tcW w:w="907" w:type="dxa"/>
          </w:tcPr>
          <w:p w:rsidR="00F07BC6" w:rsidRPr="0073376D" w:rsidRDefault="00F07BC6" w:rsidP="0057194B">
            <w:pPr>
              <w:jc w:val="center"/>
            </w:pPr>
            <w:r w:rsidRPr="0073376D">
              <w:t>0.12</w:t>
            </w:r>
          </w:p>
        </w:tc>
      </w:tr>
      <w:tr w:rsidR="00F07BC6" w:rsidRPr="0073376D" w:rsidTr="0057194B">
        <w:trPr>
          <w:trHeight w:hRule="exact" w:val="288"/>
          <w:jc w:val="center"/>
        </w:trPr>
        <w:tc>
          <w:tcPr>
            <w:tcW w:w="907" w:type="dxa"/>
          </w:tcPr>
          <w:p w:rsidR="00F07BC6" w:rsidRPr="0073376D" w:rsidRDefault="00F07BC6" w:rsidP="0057194B">
            <w:pPr>
              <w:jc w:val="center"/>
            </w:pPr>
            <w:r w:rsidRPr="0073376D">
              <w:t>200</w:t>
            </w:r>
          </w:p>
        </w:tc>
        <w:tc>
          <w:tcPr>
            <w:tcW w:w="907" w:type="dxa"/>
          </w:tcPr>
          <w:p w:rsidR="00F07BC6" w:rsidRPr="0073376D" w:rsidRDefault="00F07BC6" w:rsidP="0057194B">
            <w:pPr>
              <w:jc w:val="center"/>
            </w:pPr>
            <w:r w:rsidRPr="0073376D">
              <w:t>4.49</w:t>
            </w:r>
          </w:p>
        </w:tc>
        <w:tc>
          <w:tcPr>
            <w:tcW w:w="907" w:type="dxa"/>
          </w:tcPr>
          <w:p w:rsidR="00F07BC6" w:rsidRPr="0073376D" w:rsidRDefault="00F07BC6" w:rsidP="0057194B">
            <w:pPr>
              <w:jc w:val="center"/>
            </w:pPr>
            <w:r w:rsidRPr="0073376D">
              <w:t>0.13</w:t>
            </w:r>
          </w:p>
        </w:tc>
        <w:tc>
          <w:tcPr>
            <w:tcW w:w="907" w:type="dxa"/>
          </w:tcPr>
          <w:p w:rsidR="00F07BC6" w:rsidRPr="0073376D" w:rsidRDefault="00F07BC6" w:rsidP="0057194B">
            <w:pPr>
              <w:jc w:val="center"/>
            </w:pPr>
            <w:r w:rsidRPr="0073376D">
              <w:t>2.79</w:t>
            </w:r>
          </w:p>
        </w:tc>
        <w:tc>
          <w:tcPr>
            <w:tcW w:w="907" w:type="dxa"/>
          </w:tcPr>
          <w:p w:rsidR="00F07BC6" w:rsidRPr="0073376D" w:rsidRDefault="00F07BC6" w:rsidP="0057194B">
            <w:pPr>
              <w:jc w:val="center"/>
            </w:pPr>
            <w:r w:rsidRPr="0073376D">
              <w:t>0.04</w:t>
            </w:r>
          </w:p>
        </w:tc>
        <w:tc>
          <w:tcPr>
            <w:tcW w:w="907" w:type="dxa"/>
          </w:tcPr>
          <w:p w:rsidR="00F07BC6" w:rsidRPr="0073376D" w:rsidRDefault="00F07BC6" w:rsidP="0057194B">
            <w:pPr>
              <w:jc w:val="center"/>
            </w:pPr>
            <w:r w:rsidRPr="0073376D">
              <w:t>0.80</w:t>
            </w:r>
          </w:p>
        </w:tc>
        <w:tc>
          <w:tcPr>
            <w:tcW w:w="907" w:type="dxa"/>
          </w:tcPr>
          <w:p w:rsidR="00F07BC6" w:rsidRPr="0073376D" w:rsidRDefault="00F07BC6" w:rsidP="0057194B">
            <w:pPr>
              <w:jc w:val="center"/>
            </w:pPr>
          </w:p>
        </w:tc>
        <w:tc>
          <w:tcPr>
            <w:tcW w:w="907" w:type="dxa"/>
          </w:tcPr>
          <w:p w:rsidR="00F07BC6" w:rsidRPr="0073376D" w:rsidRDefault="00F07BC6" w:rsidP="0057194B">
            <w:pPr>
              <w:jc w:val="center"/>
            </w:pPr>
          </w:p>
        </w:tc>
        <w:tc>
          <w:tcPr>
            <w:tcW w:w="907" w:type="dxa"/>
          </w:tcPr>
          <w:p w:rsidR="00F07BC6" w:rsidRPr="0073376D" w:rsidRDefault="00F07BC6" w:rsidP="0057194B">
            <w:pPr>
              <w:jc w:val="center"/>
            </w:pPr>
            <w:r w:rsidRPr="0073376D">
              <w:t>0.05</w:t>
            </w:r>
          </w:p>
        </w:tc>
        <w:tc>
          <w:tcPr>
            <w:tcW w:w="907" w:type="dxa"/>
          </w:tcPr>
          <w:p w:rsidR="00F07BC6" w:rsidRPr="0073376D" w:rsidRDefault="00F07BC6" w:rsidP="0057194B">
            <w:pPr>
              <w:jc w:val="center"/>
            </w:pPr>
            <w:r w:rsidRPr="0073376D">
              <w:t>1.19</w:t>
            </w:r>
          </w:p>
        </w:tc>
        <w:tc>
          <w:tcPr>
            <w:tcW w:w="907" w:type="dxa"/>
          </w:tcPr>
          <w:p w:rsidR="00F07BC6" w:rsidRPr="00F00614" w:rsidRDefault="00F07BC6" w:rsidP="0057194B">
            <w:pPr>
              <w:jc w:val="center"/>
            </w:pPr>
            <w:r w:rsidRPr="00F00614">
              <w:t>57.9</w:t>
            </w:r>
          </w:p>
        </w:tc>
        <w:tc>
          <w:tcPr>
            <w:tcW w:w="907" w:type="dxa"/>
          </w:tcPr>
          <w:p w:rsidR="00F07BC6" w:rsidRPr="0073376D" w:rsidRDefault="00F07BC6" w:rsidP="0057194B">
            <w:pPr>
              <w:jc w:val="center"/>
            </w:pPr>
            <w:r w:rsidRPr="0073376D">
              <w:t>0.05</w:t>
            </w:r>
          </w:p>
        </w:tc>
      </w:tr>
      <w:tr w:rsidR="00F07BC6" w:rsidRPr="0073376D" w:rsidTr="0057194B">
        <w:trPr>
          <w:trHeight w:hRule="exact" w:val="288"/>
          <w:jc w:val="center"/>
        </w:trPr>
        <w:tc>
          <w:tcPr>
            <w:tcW w:w="907" w:type="dxa"/>
          </w:tcPr>
          <w:p w:rsidR="00F07BC6" w:rsidRPr="0073376D" w:rsidRDefault="00F07BC6" w:rsidP="0057194B">
            <w:pPr>
              <w:jc w:val="center"/>
            </w:pPr>
            <w:r w:rsidRPr="0073376D">
              <w:t>300</w:t>
            </w:r>
          </w:p>
        </w:tc>
        <w:tc>
          <w:tcPr>
            <w:tcW w:w="907" w:type="dxa"/>
          </w:tcPr>
          <w:p w:rsidR="00F07BC6" w:rsidRPr="0073376D" w:rsidRDefault="00F07BC6" w:rsidP="0057194B">
            <w:pPr>
              <w:jc w:val="center"/>
            </w:pPr>
            <w:r w:rsidRPr="0073376D">
              <w:t>5.22</w:t>
            </w:r>
          </w:p>
        </w:tc>
        <w:tc>
          <w:tcPr>
            <w:tcW w:w="907" w:type="dxa"/>
          </w:tcPr>
          <w:p w:rsidR="00F07BC6" w:rsidRPr="0073376D" w:rsidRDefault="00F07BC6" w:rsidP="0057194B">
            <w:pPr>
              <w:jc w:val="center"/>
            </w:pPr>
            <w:r w:rsidRPr="0073376D">
              <w:t>0.14</w:t>
            </w:r>
          </w:p>
        </w:tc>
        <w:tc>
          <w:tcPr>
            <w:tcW w:w="907" w:type="dxa"/>
          </w:tcPr>
          <w:p w:rsidR="00F07BC6" w:rsidRPr="0073376D" w:rsidRDefault="00F07BC6" w:rsidP="0057194B">
            <w:pPr>
              <w:jc w:val="center"/>
            </w:pPr>
            <w:r w:rsidRPr="0073376D">
              <w:t>2.59</w:t>
            </w:r>
          </w:p>
        </w:tc>
        <w:tc>
          <w:tcPr>
            <w:tcW w:w="907" w:type="dxa"/>
          </w:tcPr>
          <w:p w:rsidR="00F07BC6" w:rsidRPr="0073376D" w:rsidRDefault="00F07BC6" w:rsidP="0057194B">
            <w:pPr>
              <w:jc w:val="center"/>
            </w:pPr>
            <w:r w:rsidRPr="0073376D">
              <w:t>0.09</w:t>
            </w:r>
          </w:p>
        </w:tc>
        <w:tc>
          <w:tcPr>
            <w:tcW w:w="907" w:type="dxa"/>
          </w:tcPr>
          <w:p w:rsidR="00F07BC6" w:rsidRPr="0073376D" w:rsidRDefault="00F07BC6" w:rsidP="0057194B">
            <w:pPr>
              <w:jc w:val="center"/>
            </w:pPr>
            <w:r w:rsidRPr="0073376D">
              <w:t>1.78</w:t>
            </w:r>
          </w:p>
        </w:tc>
        <w:tc>
          <w:tcPr>
            <w:tcW w:w="907" w:type="dxa"/>
          </w:tcPr>
          <w:p w:rsidR="00F07BC6" w:rsidRPr="0073376D" w:rsidRDefault="00F07BC6" w:rsidP="0057194B">
            <w:pPr>
              <w:jc w:val="center"/>
            </w:pPr>
            <w:r w:rsidRPr="0073376D">
              <w:t>0.02</w:t>
            </w:r>
          </w:p>
        </w:tc>
        <w:tc>
          <w:tcPr>
            <w:tcW w:w="907" w:type="dxa"/>
          </w:tcPr>
          <w:p w:rsidR="00F07BC6" w:rsidRPr="0073376D" w:rsidRDefault="00F07BC6" w:rsidP="0057194B">
            <w:pPr>
              <w:jc w:val="center"/>
            </w:pPr>
            <w:r w:rsidRPr="0073376D">
              <w:t>0.40</w:t>
            </w:r>
          </w:p>
        </w:tc>
        <w:tc>
          <w:tcPr>
            <w:tcW w:w="907" w:type="dxa"/>
          </w:tcPr>
          <w:p w:rsidR="00F07BC6" w:rsidRPr="0073376D" w:rsidRDefault="00F07BC6" w:rsidP="0057194B">
            <w:pPr>
              <w:jc w:val="center"/>
            </w:pPr>
            <w:r w:rsidRPr="0073376D">
              <w:t>0.23</w:t>
            </w:r>
          </w:p>
        </w:tc>
        <w:tc>
          <w:tcPr>
            <w:tcW w:w="907" w:type="dxa"/>
          </w:tcPr>
          <w:p w:rsidR="00F07BC6" w:rsidRPr="0073376D" w:rsidRDefault="00F07BC6" w:rsidP="0057194B">
            <w:pPr>
              <w:jc w:val="center"/>
            </w:pPr>
            <w:r w:rsidRPr="0073376D">
              <w:t>4.40</w:t>
            </w:r>
          </w:p>
        </w:tc>
        <w:tc>
          <w:tcPr>
            <w:tcW w:w="907" w:type="dxa"/>
          </w:tcPr>
          <w:p w:rsidR="00F07BC6" w:rsidRPr="00F00614" w:rsidRDefault="00F07BC6" w:rsidP="0057194B">
            <w:pPr>
              <w:jc w:val="center"/>
            </w:pPr>
            <w:r w:rsidRPr="00F00614">
              <w:t>32.3</w:t>
            </w:r>
          </w:p>
        </w:tc>
        <w:tc>
          <w:tcPr>
            <w:tcW w:w="907" w:type="dxa"/>
          </w:tcPr>
          <w:p w:rsidR="00F07BC6" w:rsidRPr="0073376D" w:rsidRDefault="00F07BC6" w:rsidP="0057194B">
            <w:pPr>
              <w:jc w:val="center"/>
            </w:pPr>
            <w:r w:rsidRPr="0073376D">
              <w:t>0.10</w:t>
            </w:r>
          </w:p>
        </w:tc>
      </w:tr>
      <w:tr w:rsidR="00F07BC6" w:rsidRPr="0073376D" w:rsidTr="0057194B">
        <w:trPr>
          <w:trHeight w:hRule="exact" w:val="288"/>
          <w:jc w:val="center"/>
        </w:trPr>
        <w:tc>
          <w:tcPr>
            <w:tcW w:w="907" w:type="dxa"/>
          </w:tcPr>
          <w:p w:rsidR="00F07BC6" w:rsidRPr="0073376D" w:rsidRDefault="00F07BC6" w:rsidP="0057194B">
            <w:pPr>
              <w:jc w:val="center"/>
            </w:pPr>
            <w:r w:rsidRPr="0073376D">
              <w:t>400</w:t>
            </w:r>
          </w:p>
        </w:tc>
        <w:tc>
          <w:tcPr>
            <w:tcW w:w="907" w:type="dxa"/>
          </w:tcPr>
          <w:p w:rsidR="00F07BC6" w:rsidRPr="0073376D" w:rsidRDefault="00F07BC6" w:rsidP="0057194B">
            <w:pPr>
              <w:jc w:val="center"/>
            </w:pPr>
            <w:r w:rsidRPr="0073376D">
              <w:t>4.93</w:t>
            </w:r>
          </w:p>
        </w:tc>
        <w:tc>
          <w:tcPr>
            <w:tcW w:w="907" w:type="dxa"/>
          </w:tcPr>
          <w:p w:rsidR="00F07BC6" w:rsidRPr="0073376D" w:rsidRDefault="00F07BC6" w:rsidP="0057194B">
            <w:pPr>
              <w:jc w:val="center"/>
            </w:pPr>
            <w:r w:rsidRPr="0073376D">
              <w:t>0.14</w:t>
            </w:r>
          </w:p>
        </w:tc>
        <w:tc>
          <w:tcPr>
            <w:tcW w:w="907" w:type="dxa"/>
          </w:tcPr>
          <w:p w:rsidR="00F07BC6" w:rsidRPr="0073376D" w:rsidRDefault="00F07BC6" w:rsidP="0057194B">
            <w:pPr>
              <w:jc w:val="center"/>
            </w:pPr>
            <w:r w:rsidRPr="0073376D">
              <w:t>2.77</w:t>
            </w:r>
          </w:p>
        </w:tc>
        <w:tc>
          <w:tcPr>
            <w:tcW w:w="907" w:type="dxa"/>
          </w:tcPr>
          <w:p w:rsidR="00F07BC6" w:rsidRPr="0073376D" w:rsidRDefault="00F07BC6" w:rsidP="0057194B">
            <w:pPr>
              <w:jc w:val="center"/>
            </w:pPr>
            <w:r w:rsidRPr="0073376D">
              <w:t>0.07</w:t>
            </w:r>
          </w:p>
        </w:tc>
        <w:tc>
          <w:tcPr>
            <w:tcW w:w="907" w:type="dxa"/>
          </w:tcPr>
          <w:p w:rsidR="00F07BC6" w:rsidRPr="0073376D" w:rsidRDefault="00F07BC6" w:rsidP="0057194B">
            <w:pPr>
              <w:jc w:val="center"/>
            </w:pPr>
            <w:r w:rsidRPr="0073376D">
              <w:t>1.48</w:t>
            </w:r>
          </w:p>
        </w:tc>
        <w:tc>
          <w:tcPr>
            <w:tcW w:w="907" w:type="dxa"/>
          </w:tcPr>
          <w:p w:rsidR="00F07BC6" w:rsidRPr="0073376D" w:rsidRDefault="00F07BC6" w:rsidP="0057194B">
            <w:pPr>
              <w:jc w:val="center"/>
            </w:pPr>
            <w:r w:rsidRPr="0073376D">
              <w:t>0.01</w:t>
            </w:r>
          </w:p>
        </w:tc>
        <w:tc>
          <w:tcPr>
            <w:tcW w:w="907" w:type="dxa"/>
          </w:tcPr>
          <w:p w:rsidR="00F07BC6" w:rsidRPr="0073376D" w:rsidRDefault="00F07BC6" w:rsidP="0057194B">
            <w:pPr>
              <w:jc w:val="center"/>
            </w:pPr>
            <w:r w:rsidRPr="0073376D">
              <w:t>0.20</w:t>
            </w:r>
          </w:p>
        </w:tc>
        <w:tc>
          <w:tcPr>
            <w:tcW w:w="907" w:type="dxa"/>
          </w:tcPr>
          <w:p w:rsidR="00F07BC6" w:rsidRPr="0073376D" w:rsidRDefault="00F07BC6" w:rsidP="0057194B">
            <w:pPr>
              <w:jc w:val="center"/>
            </w:pPr>
            <w:r w:rsidRPr="0073376D">
              <w:t>0.24</w:t>
            </w:r>
          </w:p>
        </w:tc>
        <w:tc>
          <w:tcPr>
            <w:tcW w:w="907" w:type="dxa"/>
          </w:tcPr>
          <w:p w:rsidR="00F07BC6" w:rsidRPr="0073376D" w:rsidRDefault="00F07BC6" w:rsidP="0057194B">
            <w:pPr>
              <w:jc w:val="center"/>
            </w:pPr>
            <w:r w:rsidRPr="0073376D">
              <w:t>4.80</w:t>
            </w:r>
          </w:p>
        </w:tc>
        <w:tc>
          <w:tcPr>
            <w:tcW w:w="907" w:type="dxa"/>
          </w:tcPr>
          <w:p w:rsidR="00F07BC6" w:rsidRPr="00F00614" w:rsidRDefault="00F07BC6" w:rsidP="0057194B">
            <w:pPr>
              <w:jc w:val="center"/>
            </w:pPr>
            <w:r w:rsidRPr="00F00614">
              <w:t>28.0</w:t>
            </w:r>
          </w:p>
        </w:tc>
        <w:tc>
          <w:tcPr>
            <w:tcW w:w="907" w:type="dxa"/>
          </w:tcPr>
          <w:p w:rsidR="00F07BC6" w:rsidRPr="0073376D" w:rsidRDefault="00F07BC6" w:rsidP="0057194B">
            <w:pPr>
              <w:jc w:val="center"/>
            </w:pPr>
            <w:r w:rsidRPr="0073376D">
              <w:t>0.11</w:t>
            </w:r>
          </w:p>
        </w:tc>
      </w:tr>
      <w:tr w:rsidR="00F07BC6" w:rsidRPr="0073376D" w:rsidTr="0057194B">
        <w:trPr>
          <w:trHeight w:hRule="exact" w:val="288"/>
          <w:jc w:val="center"/>
        </w:trPr>
        <w:tc>
          <w:tcPr>
            <w:tcW w:w="907" w:type="dxa"/>
          </w:tcPr>
          <w:p w:rsidR="00F07BC6" w:rsidRPr="0073376D" w:rsidRDefault="00F07BC6" w:rsidP="0057194B">
            <w:pPr>
              <w:jc w:val="center"/>
            </w:pPr>
            <w:r w:rsidRPr="0073376D">
              <w:t>600</w:t>
            </w:r>
          </w:p>
        </w:tc>
        <w:tc>
          <w:tcPr>
            <w:tcW w:w="907" w:type="dxa"/>
          </w:tcPr>
          <w:p w:rsidR="00F07BC6" w:rsidRPr="0073376D" w:rsidRDefault="00F07BC6" w:rsidP="0057194B">
            <w:pPr>
              <w:jc w:val="center"/>
            </w:pPr>
            <w:r w:rsidRPr="0073376D">
              <w:t>4.42</w:t>
            </w:r>
          </w:p>
        </w:tc>
        <w:tc>
          <w:tcPr>
            <w:tcW w:w="907" w:type="dxa"/>
          </w:tcPr>
          <w:p w:rsidR="00F07BC6" w:rsidRPr="0073376D" w:rsidRDefault="00F07BC6" w:rsidP="0057194B">
            <w:pPr>
              <w:jc w:val="center"/>
            </w:pPr>
            <w:r w:rsidRPr="0073376D">
              <w:t>0.14</w:t>
            </w:r>
          </w:p>
        </w:tc>
        <w:tc>
          <w:tcPr>
            <w:tcW w:w="907" w:type="dxa"/>
          </w:tcPr>
          <w:p w:rsidR="00F07BC6" w:rsidRPr="0073376D" w:rsidRDefault="00F07BC6" w:rsidP="0057194B">
            <w:pPr>
              <w:jc w:val="center"/>
            </w:pPr>
            <w:r w:rsidRPr="0073376D">
              <w:t>3.11</w:t>
            </w:r>
          </w:p>
        </w:tc>
        <w:tc>
          <w:tcPr>
            <w:tcW w:w="907" w:type="dxa"/>
          </w:tcPr>
          <w:p w:rsidR="00F07BC6" w:rsidRPr="0073376D" w:rsidRDefault="00F07BC6" w:rsidP="0057194B">
            <w:pPr>
              <w:jc w:val="center"/>
            </w:pPr>
            <w:r w:rsidRPr="0073376D">
              <w:t>0.05</w:t>
            </w:r>
          </w:p>
        </w:tc>
        <w:tc>
          <w:tcPr>
            <w:tcW w:w="907" w:type="dxa"/>
          </w:tcPr>
          <w:p w:rsidR="00F07BC6" w:rsidRPr="0073376D" w:rsidRDefault="00F07BC6" w:rsidP="0057194B">
            <w:pPr>
              <w:jc w:val="center"/>
            </w:pPr>
            <w:r w:rsidRPr="0073376D">
              <w:t>1.07</w:t>
            </w:r>
          </w:p>
        </w:tc>
        <w:tc>
          <w:tcPr>
            <w:tcW w:w="907" w:type="dxa"/>
          </w:tcPr>
          <w:p w:rsidR="00F07BC6" w:rsidRPr="0073376D" w:rsidRDefault="00F07BC6" w:rsidP="0057194B">
            <w:pPr>
              <w:jc w:val="center"/>
            </w:pPr>
            <w:r w:rsidRPr="0073376D">
              <w:t>0.01</w:t>
            </w:r>
          </w:p>
        </w:tc>
        <w:tc>
          <w:tcPr>
            <w:tcW w:w="907" w:type="dxa"/>
          </w:tcPr>
          <w:p w:rsidR="00F07BC6" w:rsidRPr="0073376D" w:rsidRDefault="00F07BC6" w:rsidP="0057194B">
            <w:pPr>
              <w:jc w:val="center"/>
            </w:pPr>
            <w:r w:rsidRPr="0073376D">
              <w:t>0.28</w:t>
            </w:r>
          </w:p>
        </w:tc>
        <w:tc>
          <w:tcPr>
            <w:tcW w:w="907" w:type="dxa"/>
          </w:tcPr>
          <w:p w:rsidR="00F07BC6" w:rsidRPr="0073376D" w:rsidRDefault="00F07BC6" w:rsidP="0057194B">
            <w:pPr>
              <w:jc w:val="center"/>
            </w:pPr>
            <w:r w:rsidRPr="0073376D">
              <w:t>0.16</w:t>
            </w:r>
          </w:p>
        </w:tc>
        <w:tc>
          <w:tcPr>
            <w:tcW w:w="907" w:type="dxa"/>
          </w:tcPr>
          <w:p w:rsidR="00F07BC6" w:rsidRPr="0073376D" w:rsidRDefault="00F07BC6" w:rsidP="0057194B">
            <w:pPr>
              <w:jc w:val="center"/>
            </w:pPr>
            <w:r w:rsidRPr="0073376D">
              <w:t>3.60</w:t>
            </w:r>
          </w:p>
        </w:tc>
        <w:tc>
          <w:tcPr>
            <w:tcW w:w="907" w:type="dxa"/>
          </w:tcPr>
          <w:p w:rsidR="00F07BC6" w:rsidRPr="00F00614" w:rsidRDefault="00F07BC6" w:rsidP="0057194B">
            <w:pPr>
              <w:jc w:val="center"/>
            </w:pPr>
            <w:r w:rsidRPr="00F00614">
              <w:t>62.1</w:t>
            </w:r>
          </w:p>
        </w:tc>
        <w:tc>
          <w:tcPr>
            <w:tcW w:w="907" w:type="dxa"/>
          </w:tcPr>
          <w:p w:rsidR="00F07BC6" w:rsidRPr="0073376D" w:rsidRDefault="00F07BC6" w:rsidP="0057194B">
            <w:pPr>
              <w:jc w:val="center"/>
            </w:pPr>
            <w:r w:rsidRPr="0073376D">
              <w:t>0.09</w:t>
            </w:r>
          </w:p>
        </w:tc>
      </w:tr>
      <w:tr w:rsidR="00F07BC6" w:rsidRPr="0073376D" w:rsidTr="0057194B">
        <w:trPr>
          <w:trHeight w:hRule="exact" w:val="288"/>
          <w:jc w:val="center"/>
        </w:trPr>
        <w:tc>
          <w:tcPr>
            <w:tcW w:w="907" w:type="dxa"/>
          </w:tcPr>
          <w:p w:rsidR="00F07BC6" w:rsidRPr="0073376D" w:rsidRDefault="00F07BC6" w:rsidP="0057194B">
            <w:pPr>
              <w:jc w:val="center"/>
            </w:pPr>
            <w:r w:rsidRPr="0073376D">
              <w:t>800</w:t>
            </w:r>
          </w:p>
        </w:tc>
        <w:tc>
          <w:tcPr>
            <w:tcW w:w="907" w:type="dxa"/>
          </w:tcPr>
          <w:p w:rsidR="00F07BC6" w:rsidRPr="0073376D" w:rsidRDefault="00F07BC6" w:rsidP="0057194B">
            <w:pPr>
              <w:jc w:val="center"/>
            </w:pPr>
            <w:r w:rsidRPr="0073376D">
              <w:t>7.32</w:t>
            </w:r>
          </w:p>
        </w:tc>
        <w:tc>
          <w:tcPr>
            <w:tcW w:w="907" w:type="dxa"/>
          </w:tcPr>
          <w:p w:rsidR="00F07BC6" w:rsidRPr="0073376D" w:rsidRDefault="00F07BC6" w:rsidP="0057194B">
            <w:pPr>
              <w:jc w:val="center"/>
            </w:pPr>
            <w:r w:rsidRPr="0073376D">
              <w:t>0.17</w:t>
            </w:r>
          </w:p>
        </w:tc>
        <w:tc>
          <w:tcPr>
            <w:tcW w:w="907" w:type="dxa"/>
          </w:tcPr>
          <w:p w:rsidR="00F07BC6" w:rsidRPr="0073376D" w:rsidRDefault="00F07BC6" w:rsidP="0057194B">
            <w:pPr>
              <w:jc w:val="center"/>
            </w:pPr>
            <w:r w:rsidRPr="0073376D">
              <w:t>2.26</w:t>
            </w:r>
          </w:p>
        </w:tc>
        <w:tc>
          <w:tcPr>
            <w:tcW w:w="907" w:type="dxa"/>
          </w:tcPr>
          <w:p w:rsidR="00F07BC6" w:rsidRPr="0073376D" w:rsidRDefault="00F07BC6" w:rsidP="0057194B">
            <w:pPr>
              <w:jc w:val="center"/>
            </w:pPr>
            <w:r w:rsidRPr="0073376D">
              <w:t>0.06</w:t>
            </w:r>
          </w:p>
        </w:tc>
        <w:tc>
          <w:tcPr>
            <w:tcW w:w="907" w:type="dxa"/>
          </w:tcPr>
          <w:p w:rsidR="00F07BC6" w:rsidRPr="0073376D" w:rsidRDefault="00F07BC6" w:rsidP="0057194B">
            <w:pPr>
              <w:jc w:val="center"/>
            </w:pPr>
            <w:r w:rsidRPr="0073376D">
              <w:t>0.76</w:t>
            </w:r>
          </w:p>
        </w:tc>
        <w:tc>
          <w:tcPr>
            <w:tcW w:w="907" w:type="dxa"/>
          </w:tcPr>
          <w:p w:rsidR="00F07BC6" w:rsidRPr="0073376D" w:rsidRDefault="00F07BC6" w:rsidP="0057194B">
            <w:pPr>
              <w:jc w:val="center"/>
            </w:pPr>
            <w:r w:rsidRPr="0073376D">
              <w:t>0.02</w:t>
            </w:r>
          </w:p>
        </w:tc>
        <w:tc>
          <w:tcPr>
            <w:tcW w:w="907" w:type="dxa"/>
          </w:tcPr>
          <w:p w:rsidR="00F07BC6" w:rsidRPr="0073376D" w:rsidRDefault="00F07BC6" w:rsidP="0057194B">
            <w:pPr>
              <w:jc w:val="center"/>
            </w:pPr>
            <w:r w:rsidRPr="0073376D">
              <w:t>0.26</w:t>
            </w:r>
          </w:p>
        </w:tc>
        <w:tc>
          <w:tcPr>
            <w:tcW w:w="907" w:type="dxa"/>
          </w:tcPr>
          <w:p w:rsidR="00F07BC6" w:rsidRPr="0073376D" w:rsidRDefault="00F07BC6" w:rsidP="0057194B">
            <w:pPr>
              <w:jc w:val="center"/>
            </w:pPr>
            <w:r w:rsidRPr="0073376D">
              <w:t>0.16</w:t>
            </w:r>
          </w:p>
        </w:tc>
        <w:tc>
          <w:tcPr>
            <w:tcW w:w="907" w:type="dxa"/>
          </w:tcPr>
          <w:p w:rsidR="00F07BC6" w:rsidRPr="0073376D" w:rsidRDefault="00F07BC6" w:rsidP="0057194B">
            <w:pPr>
              <w:jc w:val="center"/>
            </w:pPr>
            <w:r w:rsidRPr="0073376D">
              <w:t>2.13</w:t>
            </w:r>
          </w:p>
        </w:tc>
        <w:tc>
          <w:tcPr>
            <w:tcW w:w="907" w:type="dxa"/>
          </w:tcPr>
          <w:p w:rsidR="00F07BC6" w:rsidRPr="00F00614" w:rsidRDefault="00F07BC6" w:rsidP="0057194B">
            <w:pPr>
              <w:jc w:val="center"/>
            </w:pPr>
            <w:r w:rsidRPr="00F00614">
              <w:t>82.7</w:t>
            </w:r>
          </w:p>
        </w:tc>
        <w:tc>
          <w:tcPr>
            <w:tcW w:w="907" w:type="dxa"/>
          </w:tcPr>
          <w:p w:rsidR="00F07BC6" w:rsidRPr="0073376D" w:rsidRDefault="00F07BC6" w:rsidP="0057194B">
            <w:pPr>
              <w:jc w:val="center"/>
            </w:pPr>
            <w:r w:rsidRPr="0073376D">
              <w:t>0.09</w:t>
            </w:r>
          </w:p>
        </w:tc>
      </w:tr>
      <w:tr w:rsidR="00F07BC6" w:rsidRPr="0073376D" w:rsidTr="0057194B">
        <w:trPr>
          <w:trHeight w:hRule="exact" w:val="288"/>
          <w:jc w:val="center"/>
        </w:trPr>
        <w:tc>
          <w:tcPr>
            <w:tcW w:w="907" w:type="dxa"/>
          </w:tcPr>
          <w:p w:rsidR="00F07BC6" w:rsidRPr="0073376D" w:rsidRDefault="00F07BC6" w:rsidP="0057194B">
            <w:pPr>
              <w:jc w:val="center"/>
            </w:pPr>
            <w:r w:rsidRPr="0073376D">
              <w:t>1000</w:t>
            </w:r>
          </w:p>
        </w:tc>
        <w:tc>
          <w:tcPr>
            <w:tcW w:w="907" w:type="dxa"/>
          </w:tcPr>
          <w:p w:rsidR="00F07BC6" w:rsidRPr="0073376D" w:rsidRDefault="00F07BC6" w:rsidP="0057194B">
            <w:pPr>
              <w:jc w:val="center"/>
            </w:pPr>
            <w:r w:rsidRPr="0073376D">
              <w:t>7.19</w:t>
            </w:r>
          </w:p>
        </w:tc>
        <w:tc>
          <w:tcPr>
            <w:tcW w:w="907" w:type="dxa"/>
          </w:tcPr>
          <w:p w:rsidR="00F07BC6" w:rsidRPr="0073376D" w:rsidRDefault="00F07BC6" w:rsidP="0057194B">
            <w:pPr>
              <w:jc w:val="center"/>
            </w:pPr>
            <w:r w:rsidRPr="0073376D">
              <w:t>0.19</w:t>
            </w:r>
          </w:p>
        </w:tc>
        <w:tc>
          <w:tcPr>
            <w:tcW w:w="907" w:type="dxa"/>
          </w:tcPr>
          <w:p w:rsidR="00F07BC6" w:rsidRPr="0073376D" w:rsidRDefault="00F07BC6" w:rsidP="0057194B">
            <w:pPr>
              <w:jc w:val="center"/>
            </w:pPr>
            <w:r w:rsidRPr="0073376D">
              <w:t>2.61</w:t>
            </w:r>
          </w:p>
        </w:tc>
        <w:tc>
          <w:tcPr>
            <w:tcW w:w="907" w:type="dxa"/>
          </w:tcPr>
          <w:p w:rsidR="00F07BC6" w:rsidRPr="0073376D" w:rsidRDefault="00F07BC6" w:rsidP="0057194B">
            <w:pPr>
              <w:jc w:val="center"/>
            </w:pPr>
            <w:r w:rsidRPr="0073376D">
              <w:t>0.08</w:t>
            </w:r>
          </w:p>
        </w:tc>
        <w:tc>
          <w:tcPr>
            <w:tcW w:w="907" w:type="dxa"/>
          </w:tcPr>
          <w:p w:rsidR="00F07BC6" w:rsidRPr="0073376D" w:rsidRDefault="00F07BC6" w:rsidP="0057194B">
            <w:pPr>
              <w:jc w:val="center"/>
            </w:pPr>
            <w:r w:rsidRPr="0073376D">
              <w:t>1.09</w:t>
            </w:r>
          </w:p>
        </w:tc>
        <w:tc>
          <w:tcPr>
            <w:tcW w:w="907" w:type="dxa"/>
          </w:tcPr>
          <w:p w:rsidR="00F07BC6" w:rsidRPr="0073376D" w:rsidRDefault="00F07BC6" w:rsidP="0057194B">
            <w:pPr>
              <w:jc w:val="center"/>
            </w:pPr>
            <w:r w:rsidRPr="0073376D">
              <w:t>0.01</w:t>
            </w:r>
          </w:p>
        </w:tc>
        <w:tc>
          <w:tcPr>
            <w:tcW w:w="907" w:type="dxa"/>
          </w:tcPr>
          <w:p w:rsidR="00F07BC6" w:rsidRPr="0073376D" w:rsidRDefault="00F07BC6" w:rsidP="0057194B">
            <w:pPr>
              <w:jc w:val="center"/>
            </w:pPr>
            <w:r w:rsidRPr="0073376D">
              <w:t>0.20</w:t>
            </w:r>
          </w:p>
        </w:tc>
        <w:tc>
          <w:tcPr>
            <w:tcW w:w="907" w:type="dxa"/>
          </w:tcPr>
          <w:p w:rsidR="00F07BC6" w:rsidRPr="0073376D" w:rsidRDefault="00F07BC6" w:rsidP="0057194B">
            <w:pPr>
              <w:jc w:val="center"/>
            </w:pPr>
            <w:r w:rsidRPr="0073376D">
              <w:t>0.27</w:t>
            </w:r>
          </w:p>
        </w:tc>
        <w:tc>
          <w:tcPr>
            <w:tcW w:w="907" w:type="dxa"/>
          </w:tcPr>
          <w:p w:rsidR="00F07BC6" w:rsidRPr="0073376D" w:rsidRDefault="00F07BC6" w:rsidP="0057194B">
            <w:pPr>
              <w:jc w:val="center"/>
            </w:pPr>
            <w:r w:rsidRPr="0073376D">
              <w:t>3.76</w:t>
            </w:r>
          </w:p>
        </w:tc>
        <w:tc>
          <w:tcPr>
            <w:tcW w:w="907" w:type="dxa"/>
          </w:tcPr>
          <w:p w:rsidR="00F07BC6" w:rsidRPr="00F00614" w:rsidRDefault="00F07BC6" w:rsidP="0057194B">
            <w:pPr>
              <w:jc w:val="center"/>
            </w:pPr>
            <w:r w:rsidRPr="00F00614">
              <w:t>52.2</w:t>
            </w:r>
          </w:p>
        </w:tc>
        <w:tc>
          <w:tcPr>
            <w:tcW w:w="907" w:type="dxa"/>
          </w:tcPr>
          <w:p w:rsidR="00F07BC6" w:rsidRPr="0073376D" w:rsidRDefault="00F07BC6" w:rsidP="0057194B">
            <w:pPr>
              <w:jc w:val="center"/>
            </w:pPr>
            <w:r w:rsidRPr="0073376D">
              <w:t>0.12</w:t>
            </w:r>
          </w:p>
        </w:tc>
      </w:tr>
      <w:tr w:rsidR="00F07BC6" w:rsidRPr="0073376D" w:rsidTr="0057194B">
        <w:trPr>
          <w:trHeight w:hRule="exact" w:val="288"/>
          <w:jc w:val="center"/>
        </w:trPr>
        <w:tc>
          <w:tcPr>
            <w:tcW w:w="907" w:type="dxa"/>
          </w:tcPr>
          <w:p w:rsidR="00F07BC6" w:rsidRPr="0073376D" w:rsidRDefault="00F07BC6" w:rsidP="0057194B">
            <w:pPr>
              <w:jc w:val="center"/>
            </w:pPr>
            <w:r w:rsidRPr="0073376D">
              <w:t>1500</w:t>
            </w:r>
          </w:p>
        </w:tc>
        <w:tc>
          <w:tcPr>
            <w:tcW w:w="907" w:type="dxa"/>
          </w:tcPr>
          <w:p w:rsidR="00F07BC6" w:rsidRPr="0073376D" w:rsidRDefault="00F07BC6" w:rsidP="0057194B">
            <w:pPr>
              <w:jc w:val="center"/>
            </w:pPr>
            <w:r w:rsidRPr="0073376D">
              <w:t>5.63</w:t>
            </w:r>
          </w:p>
        </w:tc>
        <w:tc>
          <w:tcPr>
            <w:tcW w:w="907" w:type="dxa"/>
          </w:tcPr>
          <w:p w:rsidR="00F07BC6" w:rsidRPr="0073376D" w:rsidRDefault="00F07BC6" w:rsidP="0057194B">
            <w:pPr>
              <w:jc w:val="center"/>
            </w:pPr>
            <w:r w:rsidRPr="0073376D">
              <w:t>0.08</w:t>
            </w:r>
          </w:p>
        </w:tc>
        <w:tc>
          <w:tcPr>
            <w:tcW w:w="907" w:type="dxa"/>
          </w:tcPr>
          <w:p w:rsidR="00F07BC6" w:rsidRPr="0073376D" w:rsidRDefault="00F07BC6" w:rsidP="0057194B">
            <w:pPr>
              <w:jc w:val="center"/>
            </w:pPr>
            <w:r w:rsidRPr="0073376D">
              <w:t>1.47</w:t>
            </w:r>
          </w:p>
        </w:tc>
        <w:tc>
          <w:tcPr>
            <w:tcW w:w="907" w:type="dxa"/>
          </w:tcPr>
          <w:p w:rsidR="00F07BC6" w:rsidRPr="0073376D" w:rsidRDefault="00F07BC6" w:rsidP="0057194B">
            <w:pPr>
              <w:jc w:val="center"/>
            </w:pPr>
            <w:r w:rsidRPr="0073376D">
              <w:t>0.02</w:t>
            </w:r>
          </w:p>
        </w:tc>
        <w:tc>
          <w:tcPr>
            <w:tcW w:w="907" w:type="dxa"/>
          </w:tcPr>
          <w:p w:rsidR="00F07BC6" w:rsidRPr="0073376D" w:rsidRDefault="00F07BC6" w:rsidP="0057194B">
            <w:pPr>
              <w:jc w:val="center"/>
            </w:pPr>
            <w:r w:rsidRPr="0073376D">
              <w:t>0.43</w:t>
            </w:r>
          </w:p>
        </w:tc>
        <w:tc>
          <w:tcPr>
            <w:tcW w:w="907" w:type="dxa"/>
          </w:tcPr>
          <w:p w:rsidR="00F07BC6" w:rsidRPr="0073376D" w:rsidRDefault="00F07BC6" w:rsidP="0057194B">
            <w:pPr>
              <w:jc w:val="center"/>
            </w:pPr>
            <w:r w:rsidRPr="0073376D">
              <w:t>0.01</w:t>
            </w:r>
          </w:p>
        </w:tc>
        <w:tc>
          <w:tcPr>
            <w:tcW w:w="907" w:type="dxa"/>
          </w:tcPr>
          <w:p w:rsidR="00F07BC6" w:rsidRPr="0073376D" w:rsidRDefault="00F07BC6" w:rsidP="0057194B">
            <w:pPr>
              <w:jc w:val="center"/>
            </w:pPr>
            <w:r w:rsidRPr="0073376D">
              <w:t>0.14</w:t>
            </w:r>
          </w:p>
        </w:tc>
        <w:tc>
          <w:tcPr>
            <w:tcW w:w="907" w:type="dxa"/>
          </w:tcPr>
          <w:p w:rsidR="00F07BC6" w:rsidRPr="0073376D" w:rsidRDefault="00F07BC6" w:rsidP="0057194B">
            <w:pPr>
              <w:jc w:val="center"/>
            </w:pPr>
            <w:r w:rsidRPr="0073376D">
              <w:t>0.04</w:t>
            </w:r>
          </w:p>
        </w:tc>
        <w:tc>
          <w:tcPr>
            <w:tcW w:w="907" w:type="dxa"/>
          </w:tcPr>
          <w:p w:rsidR="00F07BC6" w:rsidRPr="0073376D" w:rsidRDefault="00F07BC6" w:rsidP="0057194B">
            <w:pPr>
              <w:jc w:val="center"/>
            </w:pPr>
            <w:r w:rsidRPr="0073376D">
              <w:t>0.77</w:t>
            </w:r>
          </w:p>
        </w:tc>
        <w:tc>
          <w:tcPr>
            <w:tcW w:w="907" w:type="dxa"/>
          </w:tcPr>
          <w:p w:rsidR="00F07BC6" w:rsidRPr="00F00614" w:rsidRDefault="00F07BC6" w:rsidP="0057194B">
            <w:pPr>
              <w:jc w:val="center"/>
            </w:pPr>
            <w:r w:rsidRPr="00F00614">
              <w:t>29.0</w:t>
            </w:r>
          </w:p>
        </w:tc>
        <w:tc>
          <w:tcPr>
            <w:tcW w:w="907" w:type="dxa"/>
          </w:tcPr>
          <w:p w:rsidR="00F07BC6" w:rsidRPr="0073376D" w:rsidRDefault="00F07BC6" w:rsidP="0057194B">
            <w:pPr>
              <w:jc w:val="center"/>
            </w:pPr>
            <w:r w:rsidRPr="0073376D">
              <w:t>0.05</w:t>
            </w:r>
          </w:p>
        </w:tc>
      </w:tr>
      <w:tr w:rsidR="00F07BC6" w:rsidRPr="0073376D" w:rsidTr="0057194B">
        <w:trPr>
          <w:trHeight w:hRule="exact" w:val="288"/>
          <w:jc w:val="center"/>
        </w:trPr>
        <w:tc>
          <w:tcPr>
            <w:tcW w:w="907" w:type="dxa"/>
          </w:tcPr>
          <w:p w:rsidR="00F07BC6" w:rsidRPr="0073376D" w:rsidRDefault="00F07BC6" w:rsidP="0057194B">
            <w:pPr>
              <w:jc w:val="center"/>
            </w:pPr>
            <w:r w:rsidRPr="0073376D">
              <w:t>2000</w:t>
            </w:r>
          </w:p>
        </w:tc>
        <w:tc>
          <w:tcPr>
            <w:tcW w:w="907" w:type="dxa"/>
          </w:tcPr>
          <w:p w:rsidR="00F07BC6" w:rsidRPr="0073376D" w:rsidRDefault="00F07BC6" w:rsidP="0057194B">
            <w:pPr>
              <w:jc w:val="center"/>
            </w:pPr>
            <w:r w:rsidRPr="0073376D">
              <w:t>10.31</w:t>
            </w:r>
          </w:p>
        </w:tc>
        <w:tc>
          <w:tcPr>
            <w:tcW w:w="907" w:type="dxa"/>
          </w:tcPr>
          <w:p w:rsidR="00F07BC6" w:rsidRPr="0073376D" w:rsidRDefault="00F07BC6" w:rsidP="0057194B">
            <w:pPr>
              <w:jc w:val="center"/>
            </w:pPr>
            <w:r w:rsidRPr="0073376D">
              <w:t>0.16</w:t>
            </w:r>
          </w:p>
        </w:tc>
        <w:tc>
          <w:tcPr>
            <w:tcW w:w="907" w:type="dxa"/>
          </w:tcPr>
          <w:p w:rsidR="00F07BC6" w:rsidRPr="0073376D" w:rsidRDefault="00F07BC6" w:rsidP="0057194B">
            <w:pPr>
              <w:jc w:val="center"/>
            </w:pPr>
            <w:r w:rsidRPr="0073376D">
              <w:t>1.52</w:t>
            </w:r>
          </w:p>
        </w:tc>
        <w:tc>
          <w:tcPr>
            <w:tcW w:w="907" w:type="dxa"/>
          </w:tcPr>
          <w:p w:rsidR="00F07BC6" w:rsidRPr="0073376D" w:rsidRDefault="00F07BC6" w:rsidP="0057194B">
            <w:pPr>
              <w:jc w:val="center"/>
            </w:pPr>
            <w:r w:rsidRPr="0073376D">
              <w:t>0.30</w:t>
            </w:r>
          </w:p>
        </w:tc>
        <w:tc>
          <w:tcPr>
            <w:tcW w:w="907" w:type="dxa"/>
          </w:tcPr>
          <w:p w:rsidR="00F07BC6" w:rsidRPr="0073376D" w:rsidRDefault="00F07BC6" w:rsidP="0057194B">
            <w:pPr>
              <w:jc w:val="center"/>
            </w:pPr>
            <w:r w:rsidRPr="0073376D">
              <w:t>2.94</w:t>
            </w:r>
          </w:p>
        </w:tc>
        <w:tc>
          <w:tcPr>
            <w:tcW w:w="907" w:type="dxa"/>
          </w:tcPr>
          <w:p w:rsidR="00F07BC6" w:rsidRPr="0073376D" w:rsidRDefault="00F07BC6" w:rsidP="0057194B">
            <w:pPr>
              <w:jc w:val="center"/>
            </w:pPr>
          </w:p>
        </w:tc>
        <w:tc>
          <w:tcPr>
            <w:tcW w:w="907" w:type="dxa"/>
          </w:tcPr>
          <w:p w:rsidR="00F07BC6" w:rsidRPr="0073376D" w:rsidRDefault="00F07BC6" w:rsidP="0057194B">
            <w:pPr>
              <w:jc w:val="center"/>
            </w:pPr>
          </w:p>
        </w:tc>
        <w:tc>
          <w:tcPr>
            <w:tcW w:w="907" w:type="dxa"/>
          </w:tcPr>
          <w:p w:rsidR="00F07BC6" w:rsidRPr="0073376D" w:rsidRDefault="00F07BC6" w:rsidP="0057194B">
            <w:pPr>
              <w:jc w:val="center"/>
            </w:pPr>
            <w:r w:rsidRPr="0073376D">
              <w:t>0.58</w:t>
            </w:r>
          </w:p>
        </w:tc>
        <w:tc>
          <w:tcPr>
            <w:tcW w:w="907" w:type="dxa"/>
          </w:tcPr>
          <w:p w:rsidR="00F07BC6" w:rsidRPr="0073376D" w:rsidRDefault="00F07BC6" w:rsidP="0057194B">
            <w:pPr>
              <w:jc w:val="center"/>
            </w:pPr>
            <w:r w:rsidRPr="0073376D">
              <w:t>5.62</w:t>
            </w:r>
          </w:p>
        </w:tc>
        <w:tc>
          <w:tcPr>
            <w:tcW w:w="907" w:type="dxa"/>
          </w:tcPr>
          <w:p w:rsidR="00F07BC6" w:rsidRPr="00F00614" w:rsidRDefault="00F07BC6" w:rsidP="0057194B">
            <w:pPr>
              <w:jc w:val="center"/>
            </w:pPr>
            <w:r w:rsidRPr="00F00614">
              <w:t>52.4</w:t>
            </w:r>
          </w:p>
        </w:tc>
        <w:tc>
          <w:tcPr>
            <w:tcW w:w="907" w:type="dxa"/>
          </w:tcPr>
          <w:p w:rsidR="00F07BC6" w:rsidRPr="0073376D" w:rsidRDefault="00F07BC6" w:rsidP="0057194B">
            <w:pPr>
              <w:jc w:val="center"/>
            </w:pPr>
            <w:r w:rsidRPr="0073376D">
              <w:t>0.23</w:t>
            </w:r>
          </w:p>
        </w:tc>
      </w:tr>
      <w:tr w:rsidR="00F07BC6" w:rsidRPr="0073376D" w:rsidTr="0057194B">
        <w:trPr>
          <w:trHeight w:hRule="exact" w:val="288"/>
          <w:jc w:val="center"/>
        </w:trPr>
        <w:tc>
          <w:tcPr>
            <w:tcW w:w="907" w:type="dxa"/>
          </w:tcPr>
          <w:p w:rsidR="00F07BC6" w:rsidRPr="0073376D" w:rsidRDefault="00F07BC6" w:rsidP="0057194B">
            <w:pPr>
              <w:jc w:val="center"/>
            </w:pPr>
            <w:r w:rsidRPr="0073376D">
              <w:t>2500</w:t>
            </w:r>
          </w:p>
        </w:tc>
        <w:tc>
          <w:tcPr>
            <w:tcW w:w="907" w:type="dxa"/>
          </w:tcPr>
          <w:p w:rsidR="00F07BC6" w:rsidRPr="0073376D" w:rsidRDefault="00F07BC6" w:rsidP="0057194B">
            <w:pPr>
              <w:jc w:val="center"/>
            </w:pPr>
            <w:r w:rsidRPr="0073376D">
              <w:t>4.55</w:t>
            </w:r>
          </w:p>
        </w:tc>
        <w:tc>
          <w:tcPr>
            <w:tcW w:w="907" w:type="dxa"/>
          </w:tcPr>
          <w:p w:rsidR="00F07BC6" w:rsidRPr="0073376D" w:rsidRDefault="00F07BC6" w:rsidP="0057194B">
            <w:pPr>
              <w:jc w:val="center"/>
            </w:pPr>
            <w:r w:rsidRPr="0073376D">
              <w:t>0.13</w:t>
            </w:r>
          </w:p>
        </w:tc>
        <w:tc>
          <w:tcPr>
            <w:tcW w:w="907" w:type="dxa"/>
          </w:tcPr>
          <w:p w:rsidR="00F07BC6" w:rsidRPr="0073376D" w:rsidRDefault="00F07BC6" w:rsidP="0057194B">
            <w:pPr>
              <w:jc w:val="center"/>
            </w:pPr>
            <w:r w:rsidRPr="0073376D">
              <w:t>2.76</w:t>
            </w:r>
          </w:p>
        </w:tc>
        <w:tc>
          <w:tcPr>
            <w:tcW w:w="907" w:type="dxa"/>
          </w:tcPr>
          <w:p w:rsidR="00F07BC6" w:rsidRPr="0073376D" w:rsidRDefault="00F07BC6" w:rsidP="0057194B">
            <w:pPr>
              <w:jc w:val="center"/>
            </w:pPr>
            <w:r w:rsidRPr="0073376D">
              <w:t>0.12</w:t>
            </w:r>
          </w:p>
        </w:tc>
        <w:tc>
          <w:tcPr>
            <w:tcW w:w="907" w:type="dxa"/>
          </w:tcPr>
          <w:p w:rsidR="00F07BC6" w:rsidRPr="0073376D" w:rsidRDefault="00F07BC6" w:rsidP="0057194B">
            <w:pPr>
              <w:jc w:val="center"/>
            </w:pPr>
            <w:r w:rsidRPr="0073376D">
              <w:t>2.64</w:t>
            </w:r>
          </w:p>
        </w:tc>
        <w:tc>
          <w:tcPr>
            <w:tcW w:w="907" w:type="dxa"/>
          </w:tcPr>
          <w:p w:rsidR="00F07BC6" w:rsidRPr="0073376D" w:rsidRDefault="00F07BC6" w:rsidP="0057194B">
            <w:pPr>
              <w:jc w:val="center"/>
            </w:pPr>
            <w:r w:rsidRPr="0073376D">
              <w:t>0.02</w:t>
            </w:r>
          </w:p>
        </w:tc>
        <w:tc>
          <w:tcPr>
            <w:tcW w:w="907" w:type="dxa"/>
          </w:tcPr>
          <w:p w:rsidR="00F07BC6" w:rsidRPr="0073376D" w:rsidRDefault="00F07BC6" w:rsidP="0057194B">
            <w:pPr>
              <w:jc w:val="center"/>
            </w:pPr>
            <w:r w:rsidRPr="0073376D">
              <w:t>0.42</w:t>
            </w:r>
          </w:p>
        </w:tc>
        <w:tc>
          <w:tcPr>
            <w:tcW w:w="907" w:type="dxa"/>
          </w:tcPr>
          <w:p w:rsidR="00F07BC6" w:rsidRPr="0073376D" w:rsidRDefault="00F07BC6" w:rsidP="0057194B">
            <w:pPr>
              <w:jc w:val="center"/>
            </w:pPr>
            <w:r w:rsidRPr="0073376D">
              <w:t>0.22</w:t>
            </w:r>
          </w:p>
        </w:tc>
        <w:tc>
          <w:tcPr>
            <w:tcW w:w="907" w:type="dxa"/>
          </w:tcPr>
          <w:p w:rsidR="00F07BC6" w:rsidRPr="0073376D" w:rsidRDefault="00F07BC6" w:rsidP="0057194B">
            <w:pPr>
              <w:jc w:val="center"/>
            </w:pPr>
            <w:r w:rsidRPr="0073376D">
              <w:t>4.84</w:t>
            </w:r>
          </w:p>
        </w:tc>
        <w:tc>
          <w:tcPr>
            <w:tcW w:w="907" w:type="dxa"/>
          </w:tcPr>
          <w:p w:rsidR="00F07BC6" w:rsidRPr="00F00614" w:rsidRDefault="00F07BC6" w:rsidP="0057194B">
            <w:pPr>
              <w:jc w:val="center"/>
            </w:pPr>
            <w:r w:rsidRPr="00F00614">
              <w:t>38.4</w:t>
            </w:r>
          </w:p>
        </w:tc>
        <w:tc>
          <w:tcPr>
            <w:tcW w:w="907" w:type="dxa"/>
          </w:tcPr>
          <w:p w:rsidR="00F07BC6" w:rsidRPr="0073376D" w:rsidRDefault="00F07BC6" w:rsidP="0057194B">
            <w:pPr>
              <w:jc w:val="center"/>
            </w:pPr>
            <w:r w:rsidRPr="0073376D">
              <w:t>0.15</w:t>
            </w:r>
          </w:p>
        </w:tc>
      </w:tr>
      <w:tr w:rsidR="00F07BC6" w:rsidRPr="0073376D" w:rsidTr="0057194B">
        <w:trPr>
          <w:trHeight w:hRule="exact" w:val="288"/>
          <w:jc w:val="center"/>
        </w:trPr>
        <w:tc>
          <w:tcPr>
            <w:tcW w:w="907" w:type="dxa"/>
          </w:tcPr>
          <w:p w:rsidR="00F07BC6" w:rsidRPr="0073376D" w:rsidRDefault="00F07BC6" w:rsidP="0057194B">
            <w:pPr>
              <w:jc w:val="center"/>
            </w:pPr>
            <w:r w:rsidRPr="0073376D">
              <w:t>3000</w:t>
            </w:r>
          </w:p>
        </w:tc>
        <w:tc>
          <w:tcPr>
            <w:tcW w:w="907" w:type="dxa"/>
          </w:tcPr>
          <w:p w:rsidR="00F07BC6" w:rsidRPr="0073376D" w:rsidRDefault="00F07BC6" w:rsidP="0057194B">
            <w:pPr>
              <w:jc w:val="center"/>
            </w:pPr>
            <w:r w:rsidRPr="0073376D">
              <w:t>4.63</w:t>
            </w:r>
          </w:p>
        </w:tc>
        <w:tc>
          <w:tcPr>
            <w:tcW w:w="907" w:type="dxa"/>
          </w:tcPr>
          <w:p w:rsidR="00F07BC6" w:rsidRPr="0073376D" w:rsidRDefault="00F07BC6" w:rsidP="0057194B">
            <w:pPr>
              <w:jc w:val="center"/>
            </w:pPr>
            <w:r w:rsidRPr="0073376D">
              <w:t>0.11</w:t>
            </w:r>
          </w:p>
        </w:tc>
        <w:tc>
          <w:tcPr>
            <w:tcW w:w="907" w:type="dxa"/>
          </w:tcPr>
          <w:p w:rsidR="00F07BC6" w:rsidRPr="0073376D" w:rsidRDefault="00F07BC6" w:rsidP="0057194B">
            <w:pPr>
              <w:jc w:val="center"/>
            </w:pPr>
            <w:r w:rsidRPr="0073376D">
              <w:t>2.32</w:t>
            </w:r>
          </w:p>
        </w:tc>
        <w:tc>
          <w:tcPr>
            <w:tcW w:w="907" w:type="dxa"/>
          </w:tcPr>
          <w:p w:rsidR="00F07BC6" w:rsidRPr="0073376D" w:rsidRDefault="00F07BC6" w:rsidP="0057194B">
            <w:pPr>
              <w:jc w:val="center"/>
            </w:pPr>
            <w:r w:rsidRPr="0073376D">
              <w:t>0.08</w:t>
            </w:r>
          </w:p>
        </w:tc>
        <w:tc>
          <w:tcPr>
            <w:tcW w:w="907" w:type="dxa"/>
          </w:tcPr>
          <w:p w:rsidR="00F07BC6" w:rsidRPr="0073376D" w:rsidRDefault="00F07BC6" w:rsidP="0057194B">
            <w:pPr>
              <w:jc w:val="center"/>
            </w:pPr>
            <w:r w:rsidRPr="0073376D">
              <w:t>1.65</w:t>
            </w:r>
          </w:p>
        </w:tc>
        <w:tc>
          <w:tcPr>
            <w:tcW w:w="907" w:type="dxa"/>
          </w:tcPr>
          <w:p w:rsidR="00F07BC6" w:rsidRPr="0073376D" w:rsidRDefault="00F07BC6" w:rsidP="0057194B">
            <w:pPr>
              <w:jc w:val="center"/>
            </w:pPr>
            <w:r w:rsidRPr="0073376D">
              <w:t>0.03</w:t>
            </w:r>
          </w:p>
        </w:tc>
        <w:tc>
          <w:tcPr>
            <w:tcW w:w="907" w:type="dxa"/>
          </w:tcPr>
          <w:p w:rsidR="00F07BC6" w:rsidRPr="0073376D" w:rsidRDefault="00F07BC6" w:rsidP="0057194B">
            <w:pPr>
              <w:jc w:val="center"/>
            </w:pPr>
            <w:r w:rsidRPr="0073376D">
              <w:t>0.74</w:t>
            </w:r>
          </w:p>
        </w:tc>
        <w:tc>
          <w:tcPr>
            <w:tcW w:w="907" w:type="dxa"/>
          </w:tcPr>
          <w:p w:rsidR="00F07BC6" w:rsidRPr="0073376D" w:rsidRDefault="00F07BC6" w:rsidP="0057194B">
            <w:pPr>
              <w:jc w:val="center"/>
            </w:pPr>
            <w:r w:rsidRPr="0073376D">
              <w:t>0.15</w:t>
            </w:r>
          </w:p>
        </w:tc>
        <w:tc>
          <w:tcPr>
            <w:tcW w:w="907" w:type="dxa"/>
          </w:tcPr>
          <w:p w:rsidR="00F07BC6" w:rsidRPr="0073376D" w:rsidRDefault="00F07BC6" w:rsidP="0057194B">
            <w:pPr>
              <w:jc w:val="center"/>
            </w:pPr>
            <w:r w:rsidRPr="0073376D">
              <w:t>3.27</w:t>
            </w:r>
          </w:p>
        </w:tc>
        <w:tc>
          <w:tcPr>
            <w:tcW w:w="907" w:type="dxa"/>
          </w:tcPr>
          <w:p w:rsidR="00F07BC6" w:rsidRPr="00F00614" w:rsidRDefault="00F07BC6" w:rsidP="0057194B">
            <w:pPr>
              <w:jc w:val="center"/>
            </w:pPr>
            <w:r w:rsidRPr="00F00614">
              <w:t>69.2</w:t>
            </w:r>
          </w:p>
        </w:tc>
        <w:tc>
          <w:tcPr>
            <w:tcW w:w="907" w:type="dxa"/>
          </w:tcPr>
          <w:p w:rsidR="00F07BC6" w:rsidRPr="0073376D" w:rsidRDefault="00F07BC6" w:rsidP="0057194B">
            <w:pPr>
              <w:jc w:val="center"/>
            </w:pPr>
            <w:r w:rsidRPr="0073376D">
              <w:t>0.14</w:t>
            </w:r>
          </w:p>
        </w:tc>
      </w:tr>
      <w:tr w:rsidR="00F07BC6" w:rsidRPr="0073376D" w:rsidTr="0057194B">
        <w:trPr>
          <w:trHeight w:hRule="exact" w:val="288"/>
          <w:jc w:val="center"/>
        </w:trPr>
        <w:tc>
          <w:tcPr>
            <w:tcW w:w="907" w:type="dxa"/>
          </w:tcPr>
          <w:p w:rsidR="00F07BC6" w:rsidRPr="0073376D" w:rsidRDefault="00F07BC6" w:rsidP="0057194B">
            <w:pPr>
              <w:jc w:val="center"/>
            </w:pPr>
            <w:r w:rsidRPr="0073376D">
              <w:t>3500</w:t>
            </w:r>
          </w:p>
        </w:tc>
        <w:tc>
          <w:tcPr>
            <w:tcW w:w="907" w:type="dxa"/>
          </w:tcPr>
          <w:p w:rsidR="00F07BC6" w:rsidRPr="0073376D" w:rsidRDefault="00F07BC6" w:rsidP="0057194B">
            <w:pPr>
              <w:jc w:val="center"/>
            </w:pPr>
            <w:r w:rsidRPr="0073376D">
              <w:t>2.97</w:t>
            </w:r>
          </w:p>
        </w:tc>
        <w:tc>
          <w:tcPr>
            <w:tcW w:w="907" w:type="dxa"/>
          </w:tcPr>
          <w:p w:rsidR="00F07BC6" w:rsidRPr="0073376D" w:rsidRDefault="00F07BC6" w:rsidP="0057194B">
            <w:pPr>
              <w:jc w:val="center"/>
            </w:pPr>
            <w:r w:rsidRPr="0073376D">
              <w:t>0.05</w:t>
            </w:r>
          </w:p>
        </w:tc>
        <w:tc>
          <w:tcPr>
            <w:tcW w:w="907" w:type="dxa"/>
          </w:tcPr>
          <w:p w:rsidR="00F07BC6" w:rsidRPr="0073376D" w:rsidRDefault="00F07BC6" w:rsidP="0057194B">
            <w:pPr>
              <w:jc w:val="center"/>
            </w:pPr>
            <w:r w:rsidRPr="0073376D">
              <w:t>1.75</w:t>
            </w:r>
          </w:p>
        </w:tc>
        <w:tc>
          <w:tcPr>
            <w:tcW w:w="907" w:type="dxa"/>
          </w:tcPr>
          <w:p w:rsidR="00F07BC6" w:rsidRPr="0073376D" w:rsidRDefault="00F07BC6" w:rsidP="0057194B">
            <w:pPr>
              <w:jc w:val="center"/>
            </w:pPr>
            <w:r w:rsidRPr="0073376D">
              <w:t>0.06</w:t>
            </w:r>
          </w:p>
        </w:tc>
        <w:tc>
          <w:tcPr>
            <w:tcW w:w="907" w:type="dxa"/>
          </w:tcPr>
          <w:p w:rsidR="00F07BC6" w:rsidRPr="0073376D" w:rsidRDefault="00F07BC6" w:rsidP="0057194B">
            <w:pPr>
              <w:jc w:val="center"/>
            </w:pPr>
            <w:r w:rsidRPr="0073376D">
              <w:t>1.88</w:t>
            </w:r>
          </w:p>
        </w:tc>
        <w:tc>
          <w:tcPr>
            <w:tcW w:w="907" w:type="dxa"/>
          </w:tcPr>
          <w:p w:rsidR="00F07BC6" w:rsidRPr="0073376D" w:rsidRDefault="00F07BC6" w:rsidP="0057194B">
            <w:pPr>
              <w:jc w:val="center"/>
            </w:pPr>
            <w:r w:rsidRPr="0073376D">
              <w:t>0.02</w:t>
            </w:r>
          </w:p>
        </w:tc>
        <w:tc>
          <w:tcPr>
            <w:tcW w:w="907" w:type="dxa"/>
          </w:tcPr>
          <w:p w:rsidR="00F07BC6" w:rsidRPr="0073376D" w:rsidRDefault="00F07BC6" w:rsidP="0057194B">
            <w:pPr>
              <w:jc w:val="center"/>
            </w:pPr>
            <w:r w:rsidRPr="0073376D">
              <w:t>0.63</w:t>
            </w:r>
          </w:p>
        </w:tc>
        <w:tc>
          <w:tcPr>
            <w:tcW w:w="907" w:type="dxa"/>
          </w:tcPr>
          <w:p w:rsidR="00F07BC6" w:rsidRPr="0073376D" w:rsidRDefault="00F07BC6" w:rsidP="0057194B">
            <w:pPr>
              <w:jc w:val="center"/>
            </w:pPr>
            <w:r w:rsidRPr="0073376D">
              <w:t>0.14</w:t>
            </w:r>
          </w:p>
        </w:tc>
        <w:tc>
          <w:tcPr>
            <w:tcW w:w="907" w:type="dxa"/>
          </w:tcPr>
          <w:p w:rsidR="00F07BC6" w:rsidRPr="0073376D" w:rsidRDefault="00F07BC6" w:rsidP="0057194B">
            <w:pPr>
              <w:jc w:val="center"/>
            </w:pPr>
            <w:r w:rsidRPr="0073376D">
              <w:t>4.61</w:t>
            </w:r>
          </w:p>
        </w:tc>
        <w:tc>
          <w:tcPr>
            <w:tcW w:w="907" w:type="dxa"/>
          </w:tcPr>
          <w:p w:rsidR="00F07BC6" w:rsidRPr="00F00614" w:rsidRDefault="00F07BC6" w:rsidP="0057194B">
            <w:pPr>
              <w:jc w:val="center"/>
            </w:pPr>
            <w:r w:rsidRPr="00F00614">
              <w:t>46.4</w:t>
            </w:r>
          </w:p>
        </w:tc>
        <w:tc>
          <w:tcPr>
            <w:tcW w:w="907" w:type="dxa"/>
          </w:tcPr>
          <w:p w:rsidR="00F07BC6" w:rsidRPr="0073376D" w:rsidRDefault="00F07BC6" w:rsidP="0057194B">
            <w:pPr>
              <w:jc w:val="center"/>
            </w:pPr>
            <w:r w:rsidRPr="0073376D">
              <w:t>0.13</w:t>
            </w:r>
          </w:p>
        </w:tc>
      </w:tr>
      <w:tr w:rsidR="00F07BC6" w:rsidRPr="0073376D" w:rsidTr="0057194B">
        <w:trPr>
          <w:trHeight w:hRule="exact" w:val="288"/>
          <w:jc w:val="center"/>
        </w:trPr>
        <w:tc>
          <w:tcPr>
            <w:tcW w:w="907" w:type="dxa"/>
          </w:tcPr>
          <w:p w:rsidR="00F07BC6" w:rsidRPr="0073376D" w:rsidRDefault="00F07BC6" w:rsidP="0057194B">
            <w:pPr>
              <w:jc w:val="center"/>
            </w:pPr>
            <w:r w:rsidRPr="0073376D">
              <w:t>4000</w:t>
            </w:r>
          </w:p>
        </w:tc>
        <w:tc>
          <w:tcPr>
            <w:tcW w:w="907" w:type="dxa"/>
          </w:tcPr>
          <w:p w:rsidR="00F07BC6" w:rsidRPr="0073376D" w:rsidRDefault="00F07BC6" w:rsidP="0057194B">
            <w:pPr>
              <w:jc w:val="center"/>
            </w:pPr>
            <w:r w:rsidRPr="0073376D">
              <w:t>3.24</w:t>
            </w:r>
          </w:p>
        </w:tc>
        <w:tc>
          <w:tcPr>
            <w:tcW w:w="907" w:type="dxa"/>
          </w:tcPr>
          <w:p w:rsidR="00F07BC6" w:rsidRPr="0073376D" w:rsidRDefault="00F07BC6" w:rsidP="0057194B">
            <w:pPr>
              <w:jc w:val="center"/>
            </w:pPr>
            <w:r w:rsidRPr="0073376D">
              <w:t>0.09</w:t>
            </w:r>
          </w:p>
        </w:tc>
        <w:tc>
          <w:tcPr>
            <w:tcW w:w="907" w:type="dxa"/>
          </w:tcPr>
          <w:p w:rsidR="00F07BC6" w:rsidRPr="0073376D" w:rsidRDefault="00F07BC6" w:rsidP="0057194B">
            <w:pPr>
              <w:jc w:val="center"/>
            </w:pPr>
            <w:r w:rsidRPr="0073376D">
              <w:t>2.70</w:t>
            </w:r>
          </w:p>
        </w:tc>
        <w:tc>
          <w:tcPr>
            <w:tcW w:w="907" w:type="dxa"/>
          </w:tcPr>
          <w:p w:rsidR="00F07BC6" w:rsidRPr="0073376D" w:rsidRDefault="00F07BC6" w:rsidP="0057194B">
            <w:pPr>
              <w:jc w:val="center"/>
            </w:pPr>
            <w:r w:rsidRPr="0073376D">
              <w:t>0.02</w:t>
            </w:r>
          </w:p>
        </w:tc>
        <w:tc>
          <w:tcPr>
            <w:tcW w:w="907" w:type="dxa"/>
          </w:tcPr>
          <w:p w:rsidR="00F07BC6" w:rsidRPr="0073376D" w:rsidRDefault="00F07BC6" w:rsidP="0057194B">
            <w:pPr>
              <w:jc w:val="center"/>
            </w:pPr>
            <w:r w:rsidRPr="0073376D">
              <w:t>0.63</w:t>
            </w:r>
          </w:p>
        </w:tc>
        <w:tc>
          <w:tcPr>
            <w:tcW w:w="907" w:type="dxa"/>
          </w:tcPr>
          <w:p w:rsidR="00F07BC6" w:rsidRPr="0073376D" w:rsidRDefault="00F07BC6" w:rsidP="0057194B">
            <w:pPr>
              <w:jc w:val="center"/>
            </w:pPr>
          </w:p>
        </w:tc>
        <w:tc>
          <w:tcPr>
            <w:tcW w:w="907" w:type="dxa"/>
          </w:tcPr>
          <w:p w:rsidR="00F07BC6" w:rsidRPr="0073376D" w:rsidRDefault="00F07BC6" w:rsidP="0057194B">
            <w:pPr>
              <w:jc w:val="center"/>
            </w:pPr>
          </w:p>
        </w:tc>
        <w:tc>
          <w:tcPr>
            <w:tcW w:w="907" w:type="dxa"/>
          </w:tcPr>
          <w:p w:rsidR="00F07BC6" w:rsidRPr="0073376D" w:rsidRDefault="00F07BC6" w:rsidP="0057194B">
            <w:pPr>
              <w:jc w:val="center"/>
            </w:pPr>
            <w:r w:rsidRPr="0073376D">
              <w:t>0.06</w:t>
            </w:r>
          </w:p>
        </w:tc>
        <w:tc>
          <w:tcPr>
            <w:tcW w:w="907" w:type="dxa"/>
          </w:tcPr>
          <w:p w:rsidR="00F07BC6" w:rsidRPr="0073376D" w:rsidRDefault="00F07BC6" w:rsidP="0057194B">
            <w:pPr>
              <w:jc w:val="center"/>
            </w:pPr>
            <w:r w:rsidRPr="0073376D">
              <w:t>1.88</w:t>
            </w:r>
          </w:p>
        </w:tc>
        <w:tc>
          <w:tcPr>
            <w:tcW w:w="907" w:type="dxa"/>
          </w:tcPr>
          <w:p w:rsidR="00F07BC6" w:rsidRPr="00F00614" w:rsidRDefault="00F07BC6" w:rsidP="0057194B">
            <w:pPr>
              <w:jc w:val="center"/>
            </w:pPr>
            <w:r w:rsidRPr="00F00614">
              <w:t>24.3</w:t>
            </w:r>
          </w:p>
        </w:tc>
        <w:tc>
          <w:tcPr>
            <w:tcW w:w="907" w:type="dxa"/>
          </w:tcPr>
          <w:p w:rsidR="00F07BC6" w:rsidRPr="0073376D" w:rsidRDefault="00F07BC6" w:rsidP="0057194B">
            <w:pPr>
              <w:jc w:val="center"/>
            </w:pPr>
            <w:r w:rsidRPr="0073376D">
              <w:t>0.06</w:t>
            </w:r>
          </w:p>
        </w:tc>
      </w:tr>
      <w:tr w:rsidR="00F07BC6" w:rsidRPr="0073376D" w:rsidTr="0057194B">
        <w:trPr>
          <w:trHeight w:hRule="exact" w:val="288"/>
          <w:jc w:val="center"/>
        </w:trPr>
        <w:tc>
          <w:tcPr>
            <w:tcW w:w="907" w:type="dxa"/>
          </w:tcPr>
          <w:p w:rsidR="00F07BC6" w:rsidRPr="0073376D" w:rsidRDefault="00F07BC6" w:rsidP="0057194B">
            <w:pPr>
              <w:jc w:val="center"/>
            </w:pPr>
            <w:r w:rsidRPr="0073376D">
              <w:t>4500</w:t>
            </w:r>
          </w:p>
        </w:tc>
        <w:tc>
          <w:tcPr>
            <w:tcW w:w="907" w:type="dxa"/>
          </w:tcPr>
          <w:p w:rsidR="00F07BC6" w:rsidRPr="0073376D" w:rsidRDefault="00F07BC6" w:rsidP="0057194B">
            <w:pPr>
              <w:jc w:val="center"/>
            </w:pPr>
            <w:r w:rsidRPr="0073376D">
              <w:t>6.42</w:t>
            </w:r>
          </w:p>
        </w:tc>
        <w:tc>
          <w:tcPr>
            <w:tcW w:w="907" w:type="dxa"/>
          </w:tcPr>
          <w:p w:rsidR="00F07BC6" w:rsidRPr="0073376D" w:rsidRDefault="00F07BC6" w:rsidP="0057194B">
            <w:pPr>
              <w:jc w:val="center"/>
            </w:pPr>
            <w:r w:rsidRPr="0073376D">
              <w:t>0.11</w:t>
            </w:r>
          </w:p>
        </w:tc>
        <w:tc>
          <w:tcPr>
            <w:tcW w:w="907" w:type="dxa"/>
          </w:tcPr>
          <w:p w:rsidR="00F07BC6" w:rsidRPr="0073376D" w:rsidRDefault="00F07BC6" w:rsidP="0057194B">
            <w:pPr>
              <w:jc w:val="center"/>
            </w:pPr>
            <w:r w:rsidRPr="0073376D">
              <w:t>1.64</w:t>
            </w:r>
          </w:p>
        </w:tc>
        <w:tc>
          <w:tcPr>
            <w:tcW w:w="907" w:type="dxa"/>
          </w:tcPr>
          <w:p w:rsidR="00F07BC6" w:rsidRPr="0073376D" w:rsidRDefault="00F07BC6" w:rsidP="0057194B">
            <w:pPr>
              <w:jc w:val="center"/>
            </w:pPr>
            <w:r w:rsidRPr="0073376D">
              <w:t>0.06</w:t>
            </w:r>
          </w:p>
        </w:tc>
        <w:tc>
          <w:tcPr>
            <w:tcW w:w="907" w:type="dxa"/>
          </w:tcPr>
          <w:p w:rsidR="00F07BC6" w:rsidRPr="0073376D" w:rsidRDefault="00F07BC6" w:rsidP="0057194B">
            <w:pPr>
              <w:jc w:val="center"/>
            </w:pPr>
            <w:r w:rsidRPr="0073376D">
              <w:t>0.94</w:t>
            </w:r>
          </w:p>
        </w:tc>
        <w:tc>
          <w:tcPr>
            <w:tcW w:w="907" w:type="dxa"/>
          </w:tcPr>
          <w:p w:rsidR="00F07BC6" w:rsidRPr="0073376D" w:rsidRDefault="00F07BC6" w:rsidP="0057194B">
            <w:pPr>
              <w:jc w:val="center"/>
            </w:pPr>
            <w:r w:rsidRPr="0073376D">
              <w:t>0.01</w:t>
            </w:r>
          </w:p>
        </w:tc>
        <w:tc>
          <w:tcPr>
            <w:tcW w:w="907" w:type="dxa"/>
          </w:tcPr>
          <w:p w:rsidR="00F07BC6" w:rsidRPr="0073376D" w:rsidRDefault="00F07BC6" w:rsidP="0057194B">
            <w:pPr>
              <w:jc w:val="center"/>
            </w:pPr>
            <w:r w:rsidRPr="0073376D">
              <w:t>0.23</w:t>
            </w:r>
          </w:p>
        </w:tc>
        <w:tc>
          <w:tcPr>
            <w:tcW w:w="907" w:type="dxa"/>
          </w:tcPr>
          <w:p w:rsidR="00F07BC6" w:rsidRPr="0073376D" w:rsidRDefault="00F07BC6" w:rsidP="0057194B">
            <w:pPr>
              <w:jc w:val="center"/>
            </w:pPr>
            <w:r w:rsidRPr="0073376D">
              <w:t>0.28</w:t>
            </w:r>
          </w:p>
        </w:tc>
        <w:tc>
          <w:tcPr>
            <w:tcW w:w="907" w:type="dxa"/>
          </w:tcPr>
          <w:p w:rsidR="00F07BC6" w:rsidRPr="0073376D" w:rsidRDefault="00F07BC6" w:rsidP="0057194B">
            <w:pPr>
              <w:jc w:val="center"/>
            </w:pPr>
            <w:r w:rsidRPr="0073376D">
              <w:t>4.44</w:t>
            </w:r>
          </w:p>
        </w:tc>
        <w:tc>
          <w:tcPr>
            <w:tcW w:w="907" w:type="dxa"/>
          </w:tcPr>
          <w:p w:rsidR="00F07BC6" w:rsidRPr="0073376D" w:rsidRDefault="00F07BC6" w:rsidP="0057194B">
            <w:pPr>
              <w:jc w:val="center"/>
            </w:pPr>
          </w:p>
        </w:tc>
        <w:tc>
          <w:tcPr>
            <w:tcW w:w="907" w:type="dxa"/>
          </w:tcPr>
          <w:p w:rsidR="00F07BC6" w:rsidRPr="0073376D" w:rsidRDefault="00F07BC6" w:rsidP="0057194B">
            <w:pPr>
              <w:jc w:val="center"/>
            </w:pPr>
            <w:r w:rsidRPr="0073376D">
              <w:t>0.13</w:t>
            </w:r>
          </w:p>
        </w:tc>
      </w:tr>
      <w:tr w:rsidR="00F07BC6" w:rsidRPr="0073376D" w:rsidTr="0057194B">
        <w:trPr>
          <w:trHeight w:hRule="exact" w:val="288"/>
          <w:jc w:val="center"/>
        </w:trPr>
        <w:tc>
          <w:tcPr>
            <w:tcW w:w="907" w:type="dxa"/>
          </w:tcPr>
          <w:p w:rsidR="00F07BC6" w:rsidRPr="0073376D" w:rsidRDefault="00F07BC6" w:rsidP="0057194B">
            <w:pPr>
              <w:jc w:val="center"/>
            </w:pPr>
            <w:r w:rsidRPr="0073376D">
              <w:t>4800</w:t>
            </w:r>
          </w:p>
        </w:tc>
        <w:tc>
          <w:tcPr>
            <w:tcW w:w="907" w:type="dxa"/>
          </w:tcPr>
          <w:p w:rsidR="00F07BC6" w:rsidRPr="0073376D" w:rsidRDefault="00F07BC6" w:rsidP="0057194B">
            <w:pPr>
              <w:jc w:val="center"/>
            </w:pPr>
            <w:r w:rsidRPr="0073376D">
              <w:t>4.21</w:t>
            </w:r>
          </w:p>
        </w:tc>
        <w:tc>
          <w:tcPr>
            <w:tcW w:w="907" w:type="dxa"/>
          </w:tcPr>
          <w:p w:rsidR="00F07BC6" w:rsidRPr="0073376D" w:rsidRDefault="00F07BC6" w:rsidP="0057194B">
            <w:pPr>
              <w:jc w:val="center"/>
            </w:pPr>
            <w:r w:rsidRPr="0073376D">
              <w:t>0.08</w:t>
            </w:r>
          </w:p>
        </w:tc>
        <w:tc>
          <w:tcPr>
            <w:tcW w:w="907" w:type="dxa"/>
          </w:tcPr>
          <w:p w:rsidR="00F07BC6" w:rsidRPr="0073376D" w:rsidRDefault="00F07BC6" w:rsidP="0057194B">
            <w:pPr>
              <w:jc w:val="center"/>
            </w:pPr>
            <w:r w:rsidRPr="0073376D">
              <w:t>1.89</w:t>
            </w:r>
          </w:p>
        </w:tc>
        <w:tc>
          <w:tcPr>
            <w:tcW w:w="907" w:type="dxa"/>
          </w:tcPr>
          <w:p w:rsidR="00F07BC6" w:rsidRPr="0073376D" w:rsidRDefault="00F07BC6" w:rsidP="0057194B">
            <w:pPr>
              <w:jc w:val="center"/>
            </w:pPr>
            <w:r w:rsidRPr="0073376D">
              <w:t>0.03</w:t>
            </w:r>
          </w:p>
        </w:tc>
        <w:tc>
          <w:tcPr>
            <w:tcW w:w="907" w:type="dxa"/>
          </w:tcPr>
          <w:p w:rsidR="00F07BC6" w:rsidRPr="0073376D" w:rsidRDefault="00F07BC6" w:rsidP="0057194B">
            <w:pPr>
              <w:jc w:val="center"/>
            </w:pPr>
            <w:r w:rsidRPr="0073376D">
              <w:t>0.62</w:t>
            </w:r>
          </w:p>
        </w:tc>
        <w:tc>
          <w:tcPr>
            <w:tcW w:w="907" w:type="dxa"/>
          </w:tcPr>
          <w:p w:rsidR="00F07BC6" w:rsidRPr="0073376D" w:rsidRDefault="00F07BC6" w:rsidP="0057194B">
            <w:pPr>
              <w:jc w:val="center"/>
            </w:pPr>
            <w:r w:rsidRPr="0073376D">
              <w:t>0.02</w:t>
            </w:r>
          </w:p>
        </w:tc>
        <w:tc>
          <w:tcPr>
            <w:tcW w:w="907" w:type="dxa"/>
          </w:tcPr>
          <w:p w:rsidR="00F07BC6" w:rsidRPr="0073376D" w:rsidRDefault="00F07BC6" w:rsidP="0057194B">
            <w:pPr>
              <w:jc w:val="center"/>
            </w:pPr>
            <w:r w:rsidRPr="0073376D">
              <w:t>0.46</w:t>
            </w:r>
          </w:p>
        </w:tc>
        <w:tc>
          <w:tcPr>
            <w:tcW w:w="907" w:type="dxa"/>
          </w:tcPr>
          <w:p w:rsidR="00F07BC6" w:rsidRPr="0073376D" w:rsidRDefault="00F07BC6" w:rsidP="0057194B">
            <w:pPr>
              <w:jc w:val="center"/>
            </w:pPr>
            <w:r w:rsidRPr="0073376D">
              <w:t>0.16</w:t>
            </w:r>
          </w:p>
        </w:tc>
        <w:tc>
          <w:tcPr>
            <w:tcW w:w="907" w:type="dxa"/>
          </w:tcPr>
          <w:p w:rsidR="00F07BC6" w:rsidRPr="0073376D" w:rsidRDefault="00F07BC6" w:rsidP="0057194B">
            <w:pPr>
              <w:jc w:val="center"/>
            </w:pPr>
            <w:r w:rsidRPr="0073376D">
              <w:t>3.71</w:t>
            </w:r>
          </w:p>
        </w:tc>
        <w:tc>
          <w:tcPr>
            <w:tcW w:w="907" w:type="dxa"/>
          </w:tcPr>
          <w:p w:rsidR="00F07BC6" w:rsidRPr="0073376D" w:rsidRDefault="00F07BC6" w:rsidP="0057194B">
            <w:pPr>
              <w:jc w:val="center"/>
            </w:pPr>
          </w:p>
        </w:tc>
        <w:tc>
          <w:tcPr>
            <w:tcW w:w="907" w:type="dxa"/>
          </w:tcPr>
          <w:p w:rsidR="00F07BC6" w:rsidRPr="0073376D" w:rsidRDefault="00F07BC6" w:rsidP="0057194B">
            <w:pPr>
              <w:jc w:val="center"/>
            </w:pPr>
            <w:r w:rsidRPr="0073376D">
              <w:t>0.10</w:t>
            </w:r>
          </w:p>
        </w:tc>
      </w:tr>
    </w:tbl>
    <w:p w:rsidR="00F07BC6" w:rsidRPr="0073376D" w:rsidRDefault="00F07BC6" w:rsidP="00F07BC6">
      <w:pPr>
        <w:rPr>
          <w:sz w:val="32"/>
          <w:lang w:val="en-US"/>
        </w:rPr>
      </w:pPr>
      <w:r w:rsidRPr="0073376D">
        <w:rPr>
          <w:sz w:val="32"/>
          <w:lang w:val="en-US"/>
        </w:rPr>
        <w:br w:type="page"/>
      </w:r>
    </w:p>
    <w:p w:rsidR="00F07BC6" w:rsidRDefault="00F07BC6" w:rsidP="00F07BC6">
      <w:pPr>
        <w:rPr>
          <w:sz w:val="32"/>
          <w:lang w:val="en-US"/>
        </w:rPr>
        <w:sectPr w:rsidR="00F07BC6" w:rsidSect="00FC0718">
          <w:pgSz w:w="15840" w:h="12240" w:orient="landscape"/>
          <w:pgMar w:top="1411" w:right="1411" w:bottom="1411" w:left="1411" w:header="720" w:footer="720" w:gutter="0"/>
          <w:cols w:space="720"/>
          <w:docGrid w:linePitch="360"/>
        </w:sectPr>
      </w:pPr>
    </w:p>
    <w:p w:rsidR="00F07BC6" w:rsidRPr="0073376D" w:rsidRDefault="00F07BC6" w:rsidP="00F07BC6">
      <w:pPr>
        <w:rPr>
          <w:sz w:val="32"/>
          <w:lang w:val="en-US"/>
        </w:rPr>
      </w:pPr>
    </w:p>
    <w:p w:rsidR="00F07BC6" w:rsidRPr="0073376D" w:rsidRDefault="00F07BC6" w:rsidP="00F07BC6">
      <w:pPr>
        <w:rPr>
          <w:sz w:val="32"/>
          <w:lang w:val="en-US"/>
        </w:rPr>
      </w:pPr>
      <w:r w:rsidRPr="0073376D">
        <w:rPr>
          <w:lang w:val="en-US"/>
        </w:rPr>
        <w:drawing>
          <wp:inline distT="0" distB="0" distL="0" distR="0" wp14:anchorId="25F1E3EA" wp14:editId="4BC1496B">
            <wp:extent cx="5970515" cy="7086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72810" cy="7089324"/>
                    </a:xfrm>
                    <a:prstGeom prst="rect">
                      <a:avLst/>
                    </a:prstGeom>
                    <a:noFill/>
                    <a:ln>
                      <a:noFill/>
                    </a:ln>
                  </pic:spPr>
                </pic:pic>
              </a:graphicData>
            </a:graphic>
          </wp:inline>
        </w:drawing>
      </w:r>
    </w:p>
    <w:p w:rsidR="00F07BC6" w:rsidRPr="0073376D" w:rsidRDefault="00F07BC6" w:rsidP="00F07BC6">
      <w:pPr>
        <w:jc w:val="both"/>
        <w:rPr>
          <w:lang w:val="en-US"/>
        </w:rPr>
      </w:pPr>
      <w:r w:rsidRPr="0073376D">
        <w:rPr>
          <w:lang w:val="en-US"/>
        </w:rPr>
        <w:t>Appendix Fig. 1. Relative intensity contribution of the average acyl carbon number of triacylglycerols</w:t>
      </w:r>
      <w:r w:rsidRPr="0073376D">
        <w:rPr>
          <w:lang w:val="en-GB"/>
        </w:rPr>
        <w:t xml:space="preserve"> (TG) </w:t>
      </w:r>
      <w:r w:rsidRPr="0073376D">
        <w:rPr>
          <w:lang w:val="en-US"/>
        </w:rPr>
        <w:t>to total TG.</w:t>
      </w:r>
    </w:p>
    <w:p w:rsidR="00F07BC6" w:rsidRPr="0073376D" w:rsidRDefault="00F07BC6" w:rsidP="00F07BC6">
      <w:pPr>
        <w:rPr>
          <w:sz w:val="32"/>
          <w:lang w:val="en-US"/>
        </w:rPr>
      </w:pPr>
      <w:r w:rsidRPr="0073376D">
        <w:rPr>
          <w:lang w:val="en-US"/>
        </w:rPr>
        <w:lastRenderedPageBreak/>
        <w:drawing>
          <wp:inline distT="0" distB="0" distL="0" distR="0" wp14:anchorId="512A7DAA" wp14:editId="6623BCE5">
            <wp:extent cx="5972810" cy="7481956"/>
            <wp:effectExtent l="0" t="0" r="889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72810" cy="7481956"/>
                    </a:xfrm>
                    <a:prstGeom prst="rect">
                      <a:avLst/>
                    </a:prstGeom>
                    <a:noFill/>
                    <a:ln>
                      <a:noFill/>
                    </a:ln>
                  </pic:spPr>
                </pic:pic>
              </a:graphicData>
            </a:graphic>
          </wp:inline>
        </w:drawing>
      </w:r>
    </w:p>
    <w:p w:rsidR="00F07BC6" w:rsidRPr="0073376D" w:rsidRDefault="00F07BC6" w:rsidP="00F07BC6">
      <w:pPr>
        <w:jc w:val="both"/>
        <w:rPr>
          <w:lang w:val="en-US"/>
        </w:rPr>
      </w:pPr>
      <w:r w:rsidRPr="0073376D">
        <w:rPr>
          <w:lang w:val="en-US"/>
        </w:rPr>
        <w:t>Appendix Fig. 2. Relative intensity contribution of the average acyl carbon number of odd triacylglycerols</w:t>
      </w:r>
      <w:r w:rsidRPr="0073376D">
        <w:rPr>
          <w:lang w:val="en-GB"/>
        </w:rPr>
        <w:t xml:space="preserve"> (oddTG) </w:t>
      </w:r>
      <w:r w:rsidRPr="0073376D">
        <w:rPr>
          <w:lang w:val="en-US"/>
        </w:rPr>
        <w:t>to total oddTG.</w:t>
      </w:r>
    </w:p>
    <w:p w:rsidR="00F07BC6" w:rsidRPr="0073376D" w:rsidRDefault="00F07BC6" w:rsidP="00F07BC6">
      <w:pPr>
        <w:rPr>
          <w:sz w:val="32"/>
          <w:lang w:val="en-US"/>
        </w:rPr>
      </w:pPr>
      <w:r w:rsidRPr="0073376D">
        <w:rPr>
          <w:lang w:val="en-US"/>
        </w:rPr>
        <w:lastRenderedPageBreak/>
        <w:drawing>
          <wp:inline distT="0" distB="0" distL="0" distR="0" wp14:anchorId="04128ABE" wp14:editId="56613D90">
            <wp:extent cx="5972810" cy="7516575"/>
            <wp:effectExtent l="0" t="0" r="889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72810" cy="7516575"/>
                    </a:xfrm>
                    <a:prstGeom prst="rect">
                      <a:avLst/>
                    </a:prstGeom>
                    <a:noFill/>
                    <a:ln>
                      <a:noFill/>
                    </a:ln>
                  </pic:spPr>
                </pic:pic>
              </a:graphicData>
            </a:graphic>
          </wp:inline>
        </w:drawing>
      </w:r>
    </w:p>
    <w:p w:rsidR="00F07BC6" w:rsidRPr="0073376D" w:rsidRDefault="00F07BC6" w:rsidP="00F07BC6">
      <w:pPr>
        <w:jc w:val="both"/>
        <w:rPr>
          <w:lang w:val="en-US"/>
        </w:rPr>
      </w:pPr>
      <w:r w:rsidRPr="0073376D">
        <w:rPr>
          <w:lang w:val="en-US"/>
        </w:rPr>
        <w:t>Appendix Fig. 3. Relative intensity contribution of the average acyl carbon number of diacylglycerols</w:t>
      </w:r>
      <w:r w:rsidRPr="0073376D">
        <w:rPr>
          <w:lang w:val="en-GB"/>
        </w:rPr>
        <w:t xml:space="preserve"> (DG) </w:t>
      </w:r>
      <w:r w:rsidRPr="0073376D">
        <w:rPr>
          <w:lang w:val="en-US"/>
        </w:rPr>
        <w:t>to total DG.</w:t>
      </w:r>
    </w:p>
    <w:p w:rsidR="00F07BC6" w:rsidRPr="0073376D" w:rsidRDefault="00F07BC6" w:rsidP="00F07BC6">
      <w:pPr>
        <w:rPr>
          <w:sz w:val="32"/>
          <w:lang w:val="en-US"/>
        </w:rPr>
      </w:pPr>
    </w:p>
    <w:p w:rsidR="00F07BC6" w:rsidRPr="0073376D" w:rsidRDefault="00F07BC6" w:rsidP="00F07BC6">
      <w:pPr>
        <w:rPr>
          <w:lang w:val="en-US"/>
        </w:rPr>
      </w:pPr>
      <w:r w:rsidRPr="0073376D">
        <w:rPr>
          <w:lang w:val="en-US"/>
        </w:rPr>
        <w:lastRenderedPageBreak/>
        <w:drawing>
          <wp:inline distT="0" distB="0" distL="0" distR="0" wp14:anchorId="6B83B366" wp14:editId="36863416">
            <wp:extent cx="5972810" cy="5902295"/>
            <wp:effectExtent l="0" t="0" r="889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72810" cy="5902295"/>
                    </a:xfrm>
                    <a:prstGeom prst="rect">
                      <a:avLst/>
                    </a:prstGeom>
                    <a:noFill/>
                    <a:ln>
                      <a:noFill/>
                    </a:ln>
                  </pic:spPr>
                </pic:pic>
              </a:graphicData>
            </a:graphic>
          </wp:inline>
        </w:drawing>
      </w:r>
    </w:p>
    <w:p w:rsidR="00F07BC6" w:rsidRPr="0073376D" w:rsidRDefault="00F07BC6" w:rsidP="00F07BC6">
      <w:pPr>
        <w:rPr>
          <w:lang w:val="en-US"/>
        </w:rPr>
      </w:pPr>
      <w:r w:rsidRPr="0073376D">
        <w:rPr>
          <w:lang w:val="en-US"/>
        </w:rPr>
        <w:t>Appendix Fig. 4. Relative intensity contribution of unsaturated fatty acids (UFA) (DBE&gt;0) having acyl carbon number between C12 and C28 to total UFA.</w:t>
      </w:r>
    </w:p>
    <w:p w:rsidR="00F07BC6" w:rsidRPr="0073376D" w:rsidRDefault="00F07BC6" w:rsidP="00F07BC6">
      <w:pPr>
        <w:rPr>
          <w:lang w:val="en-US"/>
        </w:rPr>
      </w:pPr>
      <w:r w:rsidRPr="0073376D">
        <w:rPr>
          <w:lang w:val="en-US"/>
        </w:rPr>
        <w:br w:type="page"/>
      </w:r>
    </w:p>
    <w:p w:rsidR="00F07BC6" w:rsidRPr="0073376D" w:rsidRDefault="00F07BC6" w:rsidP="00F07BC6">
      <w:pPr>
        <w:rPr>
          <w:lang w:val="en-US"/>
        </w:rPr>
      </w:pPr>
      <w:r w:rsidRPr="0073376D">
        <w:rPr>
          <w:lang w:val="en-US"/>
        </w:rPr>
        <w:lastRenderedPageBreak/>
        <w:drawing>
          <wp:inline distT="0" distB="0" distL="0" distR="0" wp14:anchorId="5588F659" wp14:editId="025FA3AE">
            <wp:extent cx="5970379" cy="716611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72810" cy="7169031"/>
                    </a:xfrm>
                    <a:prstGeom prst="rect">
                      <a:avLst/>
                    </a:prstGeom>
                    <a:noFill/>
                    <a:ln>
                      <a:noFill/>
                    </a:ln>
                  </pic:spPr>
                </pic:pic>
              </a:graphicData>
            </a:graphic>
          </wp:inline>
        </w:drawing>
      </w:r>
    </w:p>
    <w:p w:rsidR="00F07BC6" w:rsidRPr="0073376D" w:rsidRDefault="00F07BC6" w:rsidP="00F07BC6">
      <w:pPr>
        <w:rPr>
          <w:lang w:val="en-US"/>
        </w:rPr>
      </w:pPr>
      <w:r w:rsidRPr="0073376D">
        <w:rPr>
          <w:lang w:val="en-US"/>
        </w:rPr>
        <w:t>Appendix Fig. 5. Relative intensity contribution of branched fatty acids (BrFA) having acyl carbon number between C14 and C43 to total BrFA.</w:t>
      </w:r>
    </w:p>
    <w:p w:rsidR="00F07BC6" w:rsidRPr="0073376D" w:rsidRDefault="00F07BC6" w:rsidP="00F07BC6">
      <w:pPr>
        <w:rPr>
          <w:lang w:val="en-US"/>
        </w:rPr>
      </w:pPr>
      <w:r w:rsidRPr="0073376D">
        <w:rPr>
          <w:lang w:val="en-US"/>
        </w:rPr>
        <w:br w:type="page"/>
      </w:r>
    </w:p>
    <w:p w:rsidR="00F07BC6" w:rsidRPr="0073376D" w:rsidRDefault="00F07BC6" w:rsidP="00F07BC6">
      <w:pPr>
        <w:rPr>
          <w:lang w:val="en-US"/>
        </w:rPr>
      </w:pPr>
      <w:r w:rsidRPr="0073376D">
        <w:rPr>
          <w:lang w:val="en-US"/>
        </w:rPr>
        <w:lastRenderedPageBreak/>
        <w:drawing>
          <wp:inline distT="0" distB="0" distL="0" distR="0" wp14:anchorId="2A16FA8B" wp14:editId="4E96600B">
            <wp:extent cx="5972810" cy="7510656"/>
            <wp:effectExtent l="0" t="0" r="889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72810" cy="7510656"/>
                    </a:xfrm>
                    <a:prstGeom prst="rect">
                      <a:avLst/>
                    </a:prstGeom>
                    <a:noFill/>
                    <a:ln>
                      <a:noFill/>
                    </a:ln>
                  </pic:spPr>
                </pic:pic>
              </a:graphicData>
            </a:graphic>
          </wp:inline>
        </w:drawing>
      </w:r>
    </w:p>
    <w:p w:rsidR="00F07BC6" w:rsidRPr="0073376D" w:rsidRDefault="00F07BC6" w:rsidP="00F07BC6">
      <w:pPr>
        <w:rPr>
          <w:lang w:val="en-US"/>
        </w:rPr>
      </w:pPr>
      <w:r w:rsidRPr="0073376D">
        <w:rPr>
          <w:lang w:val="en-US"/>
        </w:rPr>
        <w:t>Appendix Fig. 6. Relative intensity contribution of saturated fatty acids (SAFA) (DBE=0) having acyl carbon number between C9 and C37 to total SAFA.</w:t>
      </w:r>
    </w:p>
    <w:p w:rsidR="00F07BC6" w:rsidRPr="00E63E1C" w:rsidRDefault="00F07BC6" w:rsidP="00D93DD6">
      <w:pPr>
        <w:spacing w:after="120" w:line="360" w:lineRule="auto"/>
        <w:jc w:val="both"/>
        <w:rPr>
          <w:lang w:val="en-GB"/>
        </w:rPr>
      </w:pPr>
      <w:bookmarkStart w:id="0" w:name="_GoBack"/>
      <w:bookmarkEnd w:id="0"/>
    </w:p>
    <w:sectPr w:rsidR="00F07BC6" w:rsidRPr="00E63E1C" w:rsidSect="002233A1">
      <w:footerReference w:type="even" r:id="rId23"/>
      <w:footerReference w:type="default" r:id="rId24"/>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2B0" w:rsidRDefault="003032B0">
      <w:r>
        <w:separator/>
      </w:r>
    </w:p>
  </w:endnote>
  <w:endnote w:type="continuationSeparator" w:id="0">
    <w:p w:rsidR="003032B0" w:rsidRDefault="0030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dvTimes">
    <w:altName w:val="MS Mincho"/>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013250"/>
      <w:docPartObj>
        <w:docPartGallery w:val="Page Numbers (Bottom of Page)"/>
        <w:docPartUnique/>
      </w:docPartObj>
    </w:sdtPr>
    <w:sdtContent>
      <w:p w:rsidR="00F07BC6" w:rsidRDefault="00F07BC6">
        <w:pPr>
          <w:pStyle w:val="Footer"/>
          <w:jc w:val="right"/>
        </w:pPr>
        <w:r>
          <w:fldChar w:fldCharType="begin"/>
        </w:r>
        <w:r>
          <w:instrText xml:space="preserve"> PAGE   \* MERGEFORMAT </w:instrText>
        </w:r>
        <w:r>
          <w:fldChar w:fldCharType="separate"/>
        </w:r>
        <w:r>
          <w:rPr>
            <w:noProof/>
          </w:rPr>
          <w:t>24</w:t>
        </w:r>
        <w:r>
          <w:fldChar w:fldCharType="end"/>
        </w:r>
      </w:p>
    </w:sdtContent>
  </w:sdt>
  <w:p w:rsidR="00F07BC6" w:rsidRDefault="00F07BC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73C" w:rsidRDefault="00B6373C" w:rsidP="00CC50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6373C" w:rsidRDefault="00B6373C" w:rsidP="00F772D1">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73C" w:rsidRDefault="00B6373C" w:rsidP="00CC50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07BC6">
      <w:rPr>
        <w:rStyle w:val="PageNumber"/>
        <w:noProof/>
      </w:rPr>
      <w:t>30</w:t>
    </w:r>
    <w:r>
      <w:rPr>
        <w:rStyle w:val="PageNumber"/>
      </w:rPr>
      <w:fldChar w:fldCharType="end"/>
    </w:r>
  </w:p>
  <w:p w:rsidR="00B6373C" w:rsidRDefault="00B6373C" w:rsidP="00F772D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2B0" w:rsidRDefault="003032B0">
      <w:r>
        <w:separator/>
      </w:r>
    </w:p>
  </w:footnote>
  <w:footnote w:type="continuationSeparator" w:id="0">
    <w:p w:rsidR="003032B0" w:rsidRDefault="003032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E0978"/>
    <w:multiLevelType w:val="hybridMultilevel"/>
    <w:tmpl w:val="04F0A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F36F21"/>
    <w:multiLevelType w:val="hybridMultilevel"/>
    <w:tmpl w:val="D35E6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DD3ACB"/>
    <w:multiLevelType w:val="multilevel"/>
    <w:tmpl w:val="6A801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FD1A16"/>
    <w:multiLevelType w:val="hybridMultilevel"/>
    <w:tmpl w:val="4C109A7A"/>
    <w:lvl w:ilvl="0" w:tplc="39A01A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40399B"/>
    <w:multiLevelType w:val="hybridMultilevel"/>
    <w:tmpl w:val="D9CAC5C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7C941AAB"/>
    <w:multiLevelType w:val="multilevel"/>
    <w:tmpl w:val="8F180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EC5"/>
    <w:rsid w:val="00001563"/>
    <w:rsid w:val="000057BF"/>
    <w:rsid w:val="000126A0"/>
    <w:rsid w:val="0001347D"/>
    <w:rsid w:val="00015BE2"/>
    <w:rsid w:val="00017105"/>
    <w:rsid w:val="00017FB7"/>
    <w:rsid w:val="000228DD"/>
    <w:rsid w:val="000277E4"/>
    <w:rsid w:val="00031052"/>
    <w:rsid w:val="00035F37"/>
    <w:rsid w:val="00037BE8"/>
    <w:rsid w:val="00043B26"/>
    <w:rsid w:val="00043ED4"/>
    <w:rsid w:val="00045BC1"/>
    <w:rsid w:val="00047FCA"/>
    <w:rsid w:val="000547EB"/>
    <w:rsid w:val="00055030"/>
    <w:rsid w:val="00056286"/>
    <w:rsid w:val="0006063A"/>
    <w:rsid w:val="00061E29"/>
    <w:rsid w:val="00061EB5"/>
    <w:rsid w:val="000631E0"/>
    <w:rsid w:val="00063A43"/>
    <w:rsid w:val="00063FAF"/>
    <w:rsid w:val="000656C0"/>
    <w:rsid w:val="000657BF"/>
    <w:rsid w:val="00065ADA"/>
    <w:rsid w:val="000703B8"/>
    <w:rsid w:val="000731A7"/>
    <w:rsid w:val="0007489C"/>
    <w:rsid w:val="00075FDE"/>
    <w:rsid w:val="00077A2A"/>
    <w:rsid w:val="00080DF0"/>
    <w:rsid w:val="000834AB"/>
    <w:rsid w:val="000864BC"/>
    <w:rsid w:val="00086FBD"/>
    <w:rsid w:val="00092BE8"/>
    <w:rsid w:val="00094B19"/>
    <w:rsid w:val="0009544B"/>
    <w:rsid w:val="00096103"/>
    <w:rsid w:val="00096379"/>
    <w:rsid w:val="000A0B2F"/>
    <w:rsid w:val="000A14A9"/>
    <w:rsid w:val="000A3064"/>
    <w:rsid w:val="000A3F12"/>
    <w:rsid w:val="000A5FBD"/>
    <w:rsid w:val="000A6044"/>
    <w:rsid w:val="000A7FC3"/>
    <w:rsid w:val="000B0D60"/>
    <w:rsid w:val="000B259D"/>
    <w:rsid w:val="000B3B64"/>
    <w:rsid w:val="000B4545"/>
    <w:rsid w:val="000B6942"/>
    <w:rsid w:val="000B76C6"/>
    <w:rsid w:val="000C0A69"/>
    <w:rsid w:val="000C2A45"/>
    <w:rsid w:val="000C2C78"/>
    <w:rsid w:val="000D0510"/>
    <w:rsid w:val="000D0CEC"/>
    <w:rsid w:val="000D2BA0"/>
    <w:rsid w:val="000D4845"/>
    <w:rsid w:val="000D736E"/>
    <w:rsid w:val="000D7F50"/>
    <w:rsid w:val="000E079C"/>
    <w:rsid w:val="000E14C0"/>
    <w:rsid w:val="000E54AE"/>
    <w:rsid w:val="000E664A"/>
    <w:rsid w:val="000F2BC8"/>
    <w:rsid w:val="000F40A2"/>
    <w:rsid w:val="000F4D89"/>
    <w:rsid w:val="000F7D0A"/>
    <w:rsid w:val="00100206"/>
    <w:rsid w:val="001006B1"/>
    <w:rsid w:val="00101981"/>
    <w:rsid w:val="00103676"/>
    <w:rsid w:val="00103BED"/>
    <w:rsid w:val="001041E4"/>
    <w:rsid w:val="0010526D"/>
    <w:rsid w:val="001069D4"/>
    <w:rsid w:val="001070A0"/>
    <w:rsid w:val="00114C7E"/>
    <w:rsid w:val="00114D99"/>
    <w:rsid w:val="00115DC4"/>
    <w:rsid w:val="00116BA6"/>
    <w:rsid w:val="001213E3"/>
    <w:rsid w:val="001224FD"/>
    <w:rsid w:val="001240A1"/>
    <w:rsid w:val="001242EC"/>
    <w:rsid w:val="0012633B"/>
    <w:rsid w:val="00130420"/>
    <w:rsid w:val="001325BD"/>
    <w:rsid w:val="00132EF1"/>
    <w:rsid w:val="00133E50"/>
    <w:rsid w:val="00134D57"/>
    <w:rsid w:val="001350A6"/>
    <w:rsid w:val="0013575E"/>
    <w:rsid w:val="001366D2"/>
    <w:rsid w:val="00137EE8"/>
    <w:rsid w:val="0014073B"/>
    <w:rsid w:val="00144E8C"/>
    <w:rsid w:val="00145241"/>
    <w:rsid w:val="00145442"/>
    <w:rsid w:val="001475EE"/>
    <w:rsid w:val="00150206"/>
    <w:rsid w:val="00151912"/>
    <w:rsid w:val="00152BC5"/>
    <w:rsid w:val="001550B3"/>
    <w:rsid w:val="00157E03"/>
    <w:rsid w:val="001613F5"/>
    <w:rsid w:val="0016154F"/>
    <w:rsid w:val="00162C7C"/>
    <w:rsid w:val="00164B7B"/>
    <w:rsid w:val="00165F0B"/>
    <w:rsid w:val="00170E7F"/>
    <w:rsid w:val="00172A16"/>
    <w:rsid w:val="00172B9B"/>
    <w:rsid w:val="00172EE9"/>
    <w:rsid w:val="00173730"/>
    <w:rsid w:val="00173E50"/>
    <w:rsid w:val="0017643C"/>
    <w:rsid w:val="00181574"/>
    <w:rsid w:val="00181866"/>
    <w:rsid w:val="00181FD4"/>
    <w:rsid w:val="00182104"/>
    <w:rsid w:val="00183001"/>
    <w:rsid w:val="00183AEE"/>
    <w:rsid w:val="00183F87"/>
    <w:rsid w:val="0018425E"/>
    <w:rsid w:val="00185B6B"/>
    <w:rsid w:val="00193F56"/>
    <w:rsid w:val="001945DB"/>
    <w:rsid w:val="001A0798"/>
    <w:rsid w:val="001A4E99"/>
    <w:rsid w:val="001B1892"/>
    <w:rsid w:val="001B2963"/>
    <w:rsid w:val="001B63BC"/>
    <w:rsid w:val="001C5970"/>
    <w:rsid w:val="001D101C"/>
    <w:rsid w:val="001D1B5F"/>
    <w:rsid w:val="001D4034"/>
    <w:rsid w:val="001D4FBB"/>
    <w:rsid w:val="001D57A7"/>
    <w:rsid w:val="001E4007"/>
    <w:rsid w:val="001E5A51"/>
    <w:rsid w:val="001E7274"/>
    <w:rsid w:val="001E7DE8"/>
    <w:rsid w:val="001F03DD"/>
    <w:rsid w:val="001F2455"/>
    <w:rsid w:val="00200636"/>
    <w:rsid w:val="00201093"/>
    <w:rsid w:val="002034CD"/>
    <w:rsid w:val="002041F1"/>
    <w:rsid w:val="00206B73"/>
    <w:rsid w:val="00206FDA"/>
    <w:rsid w:val="00207454"/>
    <w:rsid w:val="002105F8"/>
    <w:rsid w:val="00211AD5"/>
    <w:rsid w:val="00212BE1"/>
    <w:rsid w:val="00215F0B"/>
    <w:rsid w:val="00217973"/>
    <w:rsid w:val="002233A1"/>
    <w:rsid w:val="002256E3"/>
    <w:rsid w:val="00231C6E"/>
    <w:rsid w:val="00232EC8"/>
    <w:rsid w:val="00233D0E"/>
    <w:rsid w:val="00233D44"/>
    <w:rsid w:val="00244CD3"/>
    <w:rsid w:val="00246657"/>
    <w:rsid w:val="002466D2"/>
    <w:rsid w:val="002536E9"/>
    <w:rsid w:val="00254B5C"/>
    <w:rsid w:val="00254B9F"/>
    <w:rsid w:val="00255249"/>
    <w:rsid w:val="0025661F"/>
    <w:rsid w:val="00256D6A"/>
    <w:rsid w:val="00263C22"/>
    <w:rsid w:val="00265D0B"/>
    <w:rsid w:val="00267A50"/>
    <w:rsid w:val="00270189"/>
    <w:rsid w:val="002702E6"/>
    <w:rsid w:val="00271BDB"/>
    <w:rsid w:val="0027490B"/>
    <w:rsid w:val="0028390B"/>
    <w:rsid w:val="0028763E"/>
    <w:rsid w:val="0029169D"/>
    <w:rsid w:val="002917EE"/>
    <w:rsid w:val="002921E8"/>
    <w:rsid w:val="00293E8C"/>
    <w:rsid w:val="002951D9"/>
    <w:rsid w:val="00295F5E"/>
    <w:rsid w:val="002976E1"/>
    <w:rsid w:val="00297BC7"/>
    <w:rsid w:val="002A0537"/>
    <w:rsid w:val="002A14AA"/>
    <w:rsid w:val="002A591C"/>
    <w:rsid w:val="002A623C"/>
    <w:rsid w:val="002A6464"/>
    <w:rsid w:val="002A674C"/>
    <w:rsid w:val="002A67CB"/>
    <w:rsid w:val="002A798E"/>
    <w:rsid w:val="002B31C9"/>
    <w:rsid w:val="002B37F7"/>
    <w:rsid w:val="002B515A"/>
    <w:rsid w:val="002C048F"/>
    <w:rsid w:val="002C1FF3"/>
    <w:rsid w:val="002C2DC0"/>
    <w:rsid w:val="002C32A0"/>
    <w:rsid w:val="002C5133"/>
    <w:rsid w:val="002C52A2"/>
    <w:rsid w:val="002D0275"/>
    <w:rsid w:val="002D148E"/>
    <w:rsid w:val="002D3687"/>
    <w:rsid w:val="002D58AB"/>
    <w:rsid w:val="002D629B"/>
    <w:rsid w:val="002D70AB"/>
    <w:rsid w:val="002D73A0"/>
    <w:rsid w:val="002D7419"/>
    <w:rsid w:val="002D746C"/>
    <w:rsid w:val="002D766F"/>
    <w:rsid w:val="002E01B5"/>
    <w:rsid w:val="002E03E3"/>
    <w:rsid w:val="002E1DA3"/>
    <w:rsid w:val="002E25EB"/>
    <w:rsid w:val="002E2F54"/>
    <w:rsid w:val="002E33D7"/>
    <w:rsid w:val="002E369A"/>
    <w:rsid w:val="002E507F"/>
    <w:rsid w:val="002E5B13"/>
    <w:rsid w:val="002E6CBB"/>
    <w:rsid w:val="002E7B27"/>
    <w:rsid w:val="002F08ED"/>
    <w:rsid w:val="002F0B82"/>
    <w:rsid w:val="002F1F5B"/>
    <w:rsid w:val="002F3578"/>
    <w:rsid w:val="002F50F2"/>
    <w:rsid w:val="002F74F4"/>
    <w:rsid w:val="00300C0D"/>
    <w:rsid w:val="0030215C"/>
    <w:rsid w:val="003032B0"/>
    <w:rsid w:val="003046B4"/>
    <w:rsid w:val="00304FF2"/>
    <w:rsid w:val="00307625"/>
    <w:rsid w:val="00316ED1"/>
    <w:rsid w:val="003177F2"/>
    <w:rsid w:val="00327B87"/>
    <w:rsid w:val="0033163A"/>
    <w:rsid w:val="00333097"/>
    <w:rsid w:val="00333296"/>
    <w:rsid w:val="00333DC8"/>
    <w:rsid w:val="00335DB8"/>
    <w:rsid w:val="00342498"/>
    <w:rsid w:val="00342D98"/>
    <w:rsid w:val="00344185"/>
    <w:rsid w:val="0034544B"/>
    <w:rsid w:val="0034770C"/>
    <w:rsid w:val="00351C43"/>
    <w:rsid w:val="003532C1"/>
    <w:rsid w:val="00354148"/>
    <w:rsid w:val="003562EE"/>
    <w:rsid w:val="0035762C"/>
    <w:rsid w:val="00357744"/>
    <w:rsid w:val="00357FAA"/>
    <w:rsid w:val="0036107B"/>
    <w:rsid w:val="00361AEC"/>
    <w:rsid w:val="00363362"/>
    <w:rsid w:val="00363BCA"/>
    <w:rsid w:val="00371F98"/>
    <w:rsid w:val="00380FEF"/>
    <w:rsid w:val="003819AE"/>
    <w:rsid w:val="00383BBE"/>
    <w:rsid w:val="003843F1"/>
    <w:rsid w:val="00384EC5"/>
    <w:rsid w:val="00385A9F"/>
    <w:rsid w:val="00386183"/>
    <w:rsid w:val="003874D4"/>
    <w:rsid w:val="00387B02"/>
    <w:rsid w:val="0039345A"/>
    <w:rsid w:val="00393581"/>
    <w:rsid w:val="00396DE9"/>
    <w:rsid w:val="003A212A"/>
    <w:rsid w:val="003A2793"/>
    <w:rsid w:val="003A6503"/>
    <w:rsid w:val="003B0069"/>
    <w:rsid w:val="003B093E"/>
    <w:rsid w:val="003B225B"/>
    <w:rsid w:val="003B3CAE"/>
    <w:rsid w:val="003B53AB"/>
    <w:rsid w:val="003B6F00"/>
    <w:rsid w:val="003C0F32"/>
    <w:rsid w:val="003C24C5"/>
    <w:rsid w:val="003D18FA"/>
    <w:rsid w:val="003D2612"/>
    <w:rsid w:val="003D2F73"/>
    <w:rsid w:val="003D3876"/>
    <w:rsid w:val="003D3F6F"/>
    <w:rsid w:val="003D4804"/>
    <w:rsid w:val="003D516F"/>
    <w:rsid w:val="003E0597"/>
    <w:rsid w:val="003E6B9E"/>
    <w:rsid w:val="003E6DDD"/>
    <w:rsid w:val="003F2603"/>
    <w:rsid w:val="003F2D7F"/>
    <w:rsid w:val="003F4994"/>
    <w:rsid w:val="00400A49"/>
    <w:rsid w:val="00401BCF"/>
    <w:rsid w:val="00404025"/>
    <w:rsid w:val="004052A1"/>
    <w:rsid w:val="00410386"/>
    <w:rsid w:val="00411857"/>
    <w:rsid w:val="00412136"/>
    <w:rsid w:val="00417572"/>
    <w:rsid w:val="00422761"/>
    <w:rsid w:val="004230F7"/>
    <w:rsid w:val="00423701"/>
    <w:rsid w:val="0042387C"/>
    <w:rsid w:val="00423E75"/>
    <w:rsid w:val="00424C61"/>
    <w:rsid w:val="00425F04"/>
    <w:rsid w:val="00432E05"/>
    <w:rsid w:val="00435B25"/>
    <w:rsid w:val="00437355"/>
    <w:rsid w:val="00440077"/>
    <w:rsid w:val="00440F44"/>
    <w:rsid w:val="00445542"/>
    <w:rsid w:val="00446DF7"/>
    <w:rsid w:val="00451398"/>
    <w:rsid w:val="0045523D"/>
    <w:rsid w:val="00456A2F"/>
    <w:rsid w:val="00456D3C"/>
    <w:rsid w:val="00464D76"/>
    <w:rsid w:val="00473350"/>
    <w:rsid w:val="00473D7D"/>
    <w:rsid w:val="00473F16"/>
    <w:rsid w:val="0047429C"/>
    <w:rsid w:val="00474C34"/>
    <w:rsid w:val="004767AE"/>
    <w:rsid w:val="00477E4D"/>
    <w:rsid w:val="00480BE1"/>
    <w:rsid w:val="00481FC6"/>
    <w:rsid w:val="00482F94"/>
    <w:rsid w:val="004838A7"/>
    <w:rsid w:val="00484E0D"/>
    <w:rsid w:val="0049051E"/>
    <w:rsid w:val="00492B55"/>
    <w:rsid w:val="00496DEF"/>
    <w:rsid w:val="004A4175"/>
    <w:rsid w:val="004A4F27"/>
    <w:rsid w:val="004A62F6"/>
    <w:rsid w:val="004A69C9"/>
    <w:rsid w:val="004B0FE3"/>
    <w:rsid w:val="004B28AA"/>
    <w:rsid w:val="004B2CF9"/>
    <w:rsid w:val="004B2E70"/>
    <w:rsid w:val="004B376D"/>
    <w:rsid w:val="004B3F65"/>
    <w:rsid w:val="004B6337"/>
    <w:rsid w:val="004B7BCA"/>
    <w:rsid w:val="004C0540"/>
    <w:rsid w:val="004C1C65"/>
    <w:rsid w:val="004C5AA7"/>
    <w:rsid w:val="004C6D92"/>
    <w:rsid w:val="004C7D19"/>
    <w:rsid w:val="004D0756"/>
    <w:rsid w:val="004D22C6"/>
    <w:rsid w:val="004D4229"/>
    <w:rsid w:val="004D4585"/>
    <w:rsid w:val="004D6EED"/>
    <w:rsid w:val="004E1453"/>
    <w:rsid w:val="004E222F"/>
    <w:rsid w:val="004E2296"/>
    <w:rsid w:val="004E233B"/>
    <w:rsid w:val="004E25B5"/>
    <w:rsid w:val="004E526B"/>
    <w:rsid w:val="004E5B4A"/>
    <w:rsid w:val="004F172E"/>
    <w:rsid w:val="004F5557"/>
    <w:rsid w:val="004F75B1"/>
    <w:rsid w:val="005057F0"/>
    <w:rsid w:val="00512963"/>
    <w:rsid w:val="005131F3"/>
    <w:rsid w:val="00514411"/>
    <w:rsid w:val="0051453B"/>
    <w:rsid w:val="005156AA"/>
    <w:rsid w:val="005157CC"/>
    <w:rsid w:val="0052006B"/>
    <w:rsid w:val="0052238D"/>
    <w:rsid w:val="005225E3"/>
    <w:rsid w:val="00522956"/>
    <w:rsid w:val="0052334B"/>
    <w:rsid w:val="00523CA8"/>
    <w:rsid w:val="00524123"/>
    <w:rsid w:val="0052663A"/>
    <w:rsid w:val="0053146F"/>
    <w:rsid w:val="00531749"/>
    <w:rsid w:val="0053394E"/>
    <w:rsid w:val="00534AB6"/>
    <w:rsid w:val="00535CE6"/>
    <w:rsid w:val="00535EC5"/>
    <w:rsid w:val="00543C7A"/>
    <w:rsid w:val="0054476F"/>
    <w:rsid w:val="00544E83"/>
    <w:rsid w:val="005470CD"/>
    <w:rsid w:val="00550A45"/>
    <w:rsid w:val="00550AE2"/>
    <w:rsid w:val="00552799"/>
    <w:rsid w:val="0055547D"/>
    <w:rsid w:val="00556CDE"/>
    <w:rsid w:val="005601D7"/>
    <w:rsid w:val="0056080A"/>
    <w:rsid w:val="00562128"/>
    <w:rsid w:val="00562853"/>
    <w:rsid w:val="005628F9"/>
    <w:rsid w:val="00562D7C"/>
    <w:rsid w:val="0056654E"/>
    <w:rsid w:val="00572497"/>
    <w:rsid w:val="005743BF"/>
    <w:rsid w:val="005777E8"/>
    <w:rsid w:val="00580442"/>
    <w:rsid w:val="00581B98"/>
    <w:rsid w:val="00581CB9"/>
    <w:rsid w:val="00583DBD"/>
    <w:rsid w:val="0059043D"/>
    <w:rsid w:val="00593AB0"/>
    <w:rsid w:val="00595553"/>
    <w:rsid w:val="005A059A"/>
    <w:rsid w:val="005A079D"/>
    <w:rsid w:val="005A11E7"/>
    <w:rsid w:val="005A21DA"/>
    <w:rsid w:val="005A30B2"/>
    <w:rsid w:val="005A324E"/>
    <w:rsid w:val="005A5854"/>
    <w:rsid w:val="005A64A6"/>
    <w:rsid w:val="005A7409"/>
    <w:rsid w:val="005A7CAF"/>
    <w:rsid w:val="005B185B"/>
    <w:rsid w:val="005B35E1"/>
    <w:rsid w:val="005C2402"/>
    <w:rsid w:val="005C2848"/>
    <w:rsid w:val="005C344D"/>
    <w:rsid w:val="005C4147"/>
    <w:rsid w:val="005C427E"/>
    <w:rsid w:val="005C431B"/>
    <w:rsid w:val="005C4A60"/>
    <w:rsid w:val="005C71E9"/>
    <w:rsid w:val="005C7A53"/>
    <w:rsid w:val="005D04FD"/>
    <w:rsid w:val="005D0944"/>
    <w:rsid w:val="005D10F7"/>
    <w:rsid w:val="005D2F7D"/>
    <w:rsid w:val="005D7E9C"/>
    <w:rsid w:val="005E1D87"/>
    <w:rsid w:val="005E2B66"/>
    <w:rsid w:val="005E3040"/>
    <w:rsid w:val="005E422D"/>
    <w:rsid w:val="005E4CF7"/>
    <w:rsid w:val="005E4D4E"/>
    <w:rsid w:val="005E6173"/>
    <w:rsid w:val="005E7C00"/>
    <w:rsid w:val="005F013C"/>
    <w:rsid w:val="005F0D68"/>
    <w:rsid w:val="005F21CE"/>
    <w:rsid w:val="005F372C"/>
    <w:rsid w:val="005F38C9"/>
    <w:rsid w:val="005F3BBF"/>
    <w:rsid w:val="005F41B7"/>
    <w:rsid w:val="005F4D48"/>
    <w:rsid w:val="005F729B"/>
    <w:rsid w:val="005F7529"/>
    <w:rsid w:val="00600CC7"/>
    <w:rsid w:val="006014A0"/>
    <w:rsid w:val="00602C9B"/>
    <w:rsid w:val="00602D1B"/>
    <w:rsid w:val="00603FC2"/>
    <w:rsid w:val="0060530A"/>
    <w:rsid w:val="006062E0"/>
    <w:rsid w:val="006074BA"/>
    <w:rsid w:val="006104AA"/>
    <w:rsid w:val="006106CC"/>
    <w:rsid w:val="00610DA5"/>
    <w:rsid w:val="00614042"/>
    <w:rsid w:val="00614546"/>
    <w:rsid w:val="00616F1B"/>
    <w:rsid w:val="00622425"/>
    <w:rsid w:val="006237C2"/>
    <w:rsid w:val="006256DC"/>
    <w:rsid w:val="006257AB"/>
    <w:rsid w:val="006258A5"/>
    <w:rsid w:val="006268D7"/>
    <w:rsid w:val="0062690A"/>
    <w:rsid w:val="0063358C"/>
    <w:rsid w:val="00634DE5"/>
    <w:rsid w:val="00637D9C"/>
    <w:rsid w:val="00641653"/>
    <w:rsid w:val="00642552"/>
    <w:rsid w:val="00642768"/>
    <w:rsid w:val="00643928"/>
    <w:rsid w:val="00645DCB"/>
    <w:rsid w:val="00646132"/>
    <w:rsid w:val="00646C08"/>
    <w:rsid w:val="00651354"/>
    <w:rsid w:val="0065206B"/>
    <w:rsid w:val="00654263"/>
    <w:rsid w:val="00655DB5"/>
    <w:rsid w:val="006607B0"/>
    <w:rsid w:val="00662181"/>
    <w:rsid w:val="006627A8"/>
    <w:rsid w:val="00662E46"/>
    <w:rsid w:val="00664CEF"/>
    <w:rsid w:val="00664FAF"/>
    <w:rsid w:val="006715A6"/>
    <w:rsid w:val="00673D76"/>
    <w:rsid w:val="00673E58"/>
    <w:rsid w:val="0067739C"/>
    <w:rsid w:val="00680801"/>
    <w:rsid w:val="006852EE"/>
    <w:rsid w:val="00686FAE"/>
    <w:rsid w:val="00693B5D"/>
    <w:rsid w:val="00695138"/>
    <w:rsid w:val="00695D23"/>
    <w:rsid w:val="0069638B"/>
    <w:rsid w:val="00696CE1"/>
    <w:rsid w:val="006A11D5"/>
    <w:rsid w:val="006A73CC"/>
    <w:rsid w:val="006A7C4C"/>
    <w:rsid w:val="006B1DC0"/>
    <w:rsid w:val="006B458E"/>
    <w:rsid w:val="006B4CFF"/>
    <w:rsid w:val="006B789A"/>
    <w:rsid w:val="006B7C6E"/>
    <w:rsid w:val="006C0518"/>
    <w:rsid w:val="006C1E1B"/>
    <w:rsid w:val="006C39F7"/>
    <w:rsid w:val="006C5128"/>
    <w:rsid w:val="006C5A05"/>
    <w:rsid w:val="006D0C69"/>
    <w:rsid w:val="006D4BB8"/>
    <w:rsid w:val="006D7487"/>
    <w:rsid w:val="006D74EE"/>
    <w:rsid w:val="006D7C1A"/>
    <w:rsid w:val="006E1617"/>
    <w:rsid w:val="006E564D"/>
    <w:rsid w:val="006E6B2C"/>
    <w:rsid w:val="006E7E67"/>
    <w:rsid w:val="006F0321"/>
    <w:rsid w:val="006F2677"/>
    <w:rsid w:val="006F27DC"/>
    <w:rsid w:val="006F2EDC"/>
    <w:rsid w:val="006F6617"/>
    <w:rsid w:val="006F7B13"/>
    <w:rsid w:val="00702243"/>
    <w:rsid w:val="00704E5A"/>
    <w:rsid w:val="00706344"/>
    <w:rsid w:val="007107E2"/>
    <w:rsid w:val="0071580D"/>
    <w:rsid w:val="007172A5"/>
    <w:rsid w:val="007214EA"/>
    <w:rsid w:val="00730AAB"/>
    <w:rsid w:val="00731111"/>
    <w:rsid w:val="00732BFE"/>
    <w:rsid w:val="00733789"/>
    <w:rsid w:val="00733F1C"/>
    <w:rsid w:val="007357FF"/>
    <w:rsid w:val="007359B1"/>
    <w:rsid w:val="00736679"/>
    <w:rsid w:val="007379CC"/>
    <w:rsid w:val="00737AC8"/>
    <w:rsid w:val="00737CE5"/>
    <w:rsid w:val="00740440"/>
    <w:rsid w:val="00741261"/>
    <w:rsid w:val="00741310"/>
    <w:rsid w:val="007442D4"/>
    <w:rsid w:val="007467AC"/>
    <w:rsid w:val="007532C4"/>
    <w:rsid w:val="00754C23"/>
    <w:rsid w:val="00755EBB"/>
    <w:rsid w:val="00761EB6"/>
    <w:rsid w:val="00762B70"/>
    <w:rsid w:val="00763008"/>
    <w:rsid w:val="00765968"/>
    <w:rsid w:val="00766E05"/>
    <w:rsid w:val="00772CDD"/>
    <w:rsid w:val="00775F2B"/>
    <w:rsid w:val="00776214"/>
    <w:rsid w:val="00776C43"/>
    <w:rsid w:val="00776F45"/>
    <w:rsid w:val="007776CF"/>
    <w:rsid w:val="00780090"/>
    <w:rsid w:val="0078059B"/>
    <w:rsid w:val="00780709"/>
    <w:rsid w:val="00781D5A"/>
    <w:rsid w:val="00786184"/>
    <w:rsid w:val="00787884"/>
    <w:rsid w:val="00791534"/>
    <w:rsid w:val="00791ECD"/>
    <w:rsid w:val="00793D3E"/>
    <w:rsid w:val="00794BC6"/>
    <w:rsid w:val="00794D28"/>
    <w:rsid w:val="007965B7"/>
    <w:rsid w:val="00796D81"/>
    <w:rsid w:val="007A17DC"/>
    <w:rsid w:val="007A342D"/>
    <w:rsid w:val="007A3E1F"/>
    <w:rsid w:val="007A5EA8"/>
    <w:rsid w:val="007B297B"/>
    <w:rsid w:val="007C0089"/>
    <w:rsid w:val="007C2B8D"/>
    <w:rsid w:val="007C462D"/>
    <w:rsid w:val="007C7F3D"/>
    <w:rsid w:val="007D1B05"/>
    <w:rsid w:val="007D44AE"/>
    <w:rsid w:val="007D4805"/>
    <w:rsid w:val="007E34AD"/>
    <w:rsid w:val="007E6031"/>
    <w:rsid w:val="007F0AFD"/>
    <w:rsid w:val="007F1C13"/>
    <w:rsid w:val="007F201E"/>
    <w:rsid w:val="007F46C8"/>
    <w:rsid w:val="007F638B"/>
    <w:rsid w:val="00800018"/>
    <w:rsid w:val="008042A1"/>
    <w:rsid w:val="008117D1"/>
    <w:rsid w:val="008142AC"/>
    <w:rsid w:val="008164EB"/>
    <w:rsid w:val="00817007"/>
    <w:rsid w:val="00817296"/>
    <w:rsid w:val="00822C59"/>
    <w:rsid w:val="008242C4"/>
    <w:rsid w:val="00824914"/>
    <w:rsid w:val="00824B30"/>
    <w:rsid w:val="00826042"/>
    <w:rsid w:val="008310D6"/>
    <w:rsid w:val="00831102"/>
    <w:rsid w:val="00831367"/>
    <w:rsid w:val="008325BA"/>
    <w:rsid w:val="00833BC7"/>
    <w:rsid w:val="008362C2"/>
    <w:rsid w:val="0083701A"/>
    <w:rsid w:val="0084051E"/>
    <w:rsid w:val="008424B6"/>
    <w:rsid w:val="0084358D"/>
    <w:rsid w:val="00845883"/>
    <w:rsid w:val="00846520"/>
    <w:rsid w:val="00846B69"/>
    <w:rsid w:val="00851745"/>
    <w:rsid w:val="00852F37"/>
    <w:rsid w:val="008536B2"/>
    <w:rsid w:val="00856C7D"/>
    <w:rsid w:val="00857AFA"/>
    <w:rsid w:val="00861649"/>
    <w:rsid w:val="00863250"/>
    <w:rsid w:val="00863E38"/>
    <w:rsid w:val="00864687"/>
    <w:rsid w:val="00867AAD"/>
    <w:rsid w:val="00871FE2"/>
    <w:rsid w:val="00872973"/>
    <w:rsid w:val="008732B5"/>
    <w:rsid w:val="008740EA"/>
    <w:rsid w:val="0087430A"/>
    <w:rsid w:val="00874799"/>
    <w:rsid w:val="00874829"/>
    <w:rsid w:val="0088082F"/>
    <w:rsid w:val="00881547"/>
    <w:rsid w:val="00881DDD"/>
    <w:rsid w:val="008832B8"/>
    <w:rsid w:val="00883C57"/>
    <w:rsid w:val="0088534F"/>
    <w:rsid w:val="00885B3F"/>
    <w:rsid w:val="0088751A"/>
    <w:rsid w:val="008876D4"/>
    <w:rsid w:val="008908A4"/>
    <w:rsid w:val="00891FD2"/>
    <w:rsid w:val="00893BB2"/>
    <w:rsid w:val="008956AA"/>
    <w:rsid w:val="0089787F"/>
    <w:rsid w:val="008A11FC"/>
    <w:rsid w:val="008A19C4"/>
    <w:rsid w:val="008B153D"/>
    <w:rsid w:val="008B6626"/>
    <w:rsid w:val="008B68FE"/>
    <w:rsid w:val="008C17E2"/>
    <w:rsid w:val="008C413D"/>
    <w:rsid w:val="008C6339"/>
    <w:rsid w:val="008D1DFC"/>
    <w:rsid w:val="008D37F5"/>
    <w:rsid w:val="008D4A50"/>
    <w:rsid w:val="008D6E40"/>
    <w:rsid w:val="008E1D57"/>
    <w:rsid w:val="008E32C7"/>
    <w:rsid w:val="008E3D4B"/>
    <w:rsid w:val="008E4729"/>
    <w:rsid w:val="008E4F61"/>
    <w:rsid w:val="008E5A61"/>
    <w:rsid w:val="008E646C"/>
    <w:rsid w:val="008E74D9"/>
    <w:rsid w:val="008F2C6B"/>
    <w:rsid w:val="008F429A"/>
    <w:rsid w:val="00900295"/>
    <w:rsid w:val="00912B0A"/>
    <w:rsid w:val="009131AB"/>
    <w:rsid w:val="00913C41"/>
    <w:rsid w:val="009209E0"/>
    <w:rsid w:val="009212C0"/>
    <w:rsid w:val="00924B5C"/>
    <w:rsid w:val="00930C87"/>
    <w:rsid w:val="00930F4C"/>
    <w:rsid w:val="009347A0"/>
    <w:rsid w:val="00942DC9"/>
    <w:rsid w:val="00943CC2"/>
    <w:rsid w:val="00945E88"/>
    <w:rsid w:val="00946E88"/>
    <w:rsid w:val="00947296"/>
    <w:rsid w:val="009476CB"/>
    <w:rsid w:val="00950963"/>
    <w:rsid w:val="00950BF7"/>
    <w:rsid w:val="0095181B"/>
    <w:rsid w:val="00952C86"/>
    <w:rsid w:val="00953109"/>
    <w:rsid w:val="009561E3"/>
    <w:rsid w:val="009569DC"/>
    <w:rsid w:val="009620A3"/>
    <w:rsid w:val="00962FD3"/>
    <w:rsid w:val="009650BD"/>
    <w:rsid w:val="00966F84"/>
    <w:rsid w:val="00967806"/>
    <w:rsid w:val="00970E4D"/>
    <w:rsid w:val="009743DC"/>
    <w:rsid w:val="00977C73"/>
    <w:rsid w:val="00977CD6"/>
    <w:rsid w:val="00982BB8"/>
    <w:rsid w:val="0098527D"/>
    <w:rsid w:val="00986E3F"/>
    <w:rsid w:val="009912B2"/>
    <w:rsid w:val="009930AC"/>
    <w:rsid w:val="00993275"/>
    <w:rsid w:val="0099368B"/>
    <w:rsid w:val="00993E24"/>
    <w:rsid w:val="00994482"/>
    <w:rsid w:val="009A001F"/>
    <w:rsid w:val="009A2FAD"/>
    <w:rsid w:val="009A47E3"/>
    <w:rsid w:val="009A72EA"/>
    <w:rsid w:val="009A7BAC"/>
    <w:rsid w:val="009B2AD2"/>
    <w:rsid w:val="009B5100"/>
    <w:rsid w:val="009B5428"/>
    <w:rsid w:val="009C15CA"/>
    <w:rsid w:val="009C1AED"/>
    <w:rsid w:val="009C3AC5"/>
    <w:rsid w:val="009C4F8E"/>
    <w:rsid w:val="009C5A6F"/>
    <w:rsid w:val="009C5AF7"/>
    <w:rsid w:val="009C5B92"/>
    <w:rsid w:val="009D06E6"/>
    <w:rsid w:val="009D0858"/>
    <w:rsid w:val="009D2235"/>
    <w:rsid w:val="009D3605"/>
    <w:rsid w:val="009D5D5D"/>
    <w:rsid w:val="009D6646"/>
    <w:rsid w:val="009D6DC6"/>
    <w:rsid w:val="009D6F31"/>
    <w:rsid w:val="009E4E69"/>
    <w:rsid w:val="009E50A2"/>
    <w:rsid w:val="009E7F33"/>
    <w:rsid w:val="009F291E"/>
    <w:rsid w:val="009F33EB"/>
    <w:rsid w:val="009F3496"/>
    <w:rsid w:val="009F69CB"/>
    <w:rsid w:val="00A03CA9"/>
    <w:rsid w:val="00A05A84"/>
    <w:rsid w:val="00A0716F"/>
    <w:rsid w:val="00A101E1"/>
    <w:rsid w:val="00A11426"/>
    <w:rsid w:val="00A12A62"/>
    <w:rsid w:val="00A12F78"/>
    <w:rsid w:val="00A13565"/>
    <w:rsid w:val="00A144FC"/>
    <w:rsid w:val="00A15856"/>
    <w:rsid w:val="00A1635F"/>
    <w:rsid w:val="00A17D78"/>
    <w:rsid w:val="00A20614"/>
    <w:rsid w:val="00A2075F"/>
    <w:rsid w:val="00A21008"/>
    <w:rsid w:val="00A22406"/>
    <w:rsid w:val="00A23581"/>
    <w:rsid w:val="00A24F0F"/>
    <w:rsid w:val="00A25563"/>
    <w:rsid w:val="00A2684E"/>
    <w:rsid w:val="00A27333"/>
    <w:rsid w:val="00A27BB2"/>
    <w:rsid w:val="00A27DE6"/>
    <w:rsid w:val="00A27E35"/>
    <w:rsid w:val="00A30BA6"/>
    <w:rsid w:val="00A31652"/>
    <w:rsid w:val="00A318A0"/>
    <w:rsid w:val="00A335EA"/>
    <w:rsid w:val="00A34668"/>
    <w:rsid w:val="00A34AA1"/>
    <w:rsid w:val="00A352A6"/>
    <w:rsid w:val="00A35741"/>
    <w:rsid w:val="00A35E64"/>
    <w:rsid w:val="00A36C2D"/>
    <w:rsid w:val="00A40743"/>
    <w:rsid w:val="00A40AA2"/>
    <w:rsid w:val="00A425B4"/>
    <w:rsid w:val="00A429AB"/>
    <w:rsid w:val="00A42A7F"/>
    <w:rsid w:val="00A478BB"/>
    <w:rsid w:val="00A50C18"/>
    <w:rsid w:val="00A50D1F"/>
    <w:rsid w:val="00A51F90"/>
    <w:rsid w:val="00A552DD"/>
    <w:rsid w:val="00A56D93"/>
    <w:rsid w:val="00A61EC1"/>
    <w:rsid w:val="00A620C8"/>
    <w:rsid w:val="00A62EE8"/>
    <w:rsid w:val="00A6404A"/>
    <w:rsid w:val="00A658F9"/>
    <w:rsid w:val="00A66A33"/>
    <w:rsid w:val="00A66D72"/>
    <w:rsid w:val="00A70482"/>
    <w:rsid w:val="00A70F13"/>
    <w:rsid w:val="00A71CA5"/>
    <w:rsid w:val="00A71E21"/>
    <w:rsid w:val="00A755CE"/>
    <w:rsid w:val="00A8028C"/>
    <w:rsid w:val="00A81994"/>
    <w:rsid w:val="00A81C0C"/>
    <w:rsid w:val="00A82C40"/>
    <w:rsid w:val="00A83115"/>
    <w:rsid w:val="00A86353"/>
    <w:rsid w:val="00A90799"/>
    <w:rsid w:val="00A90B78"/>
    <w:rsid w:val="00A91D79"/>
    <w:rsid w:val="00A91F1A"/>
    <w:rsid w:val="00A9454B"/>
    <w:rsid w:val="00A95DFB"/>
    <w:rsid w:val="00A9683C"/>
    <w:rsid w:val="00A96B45"/>
    <w:rsid w:val="00A96F8D"/>
    <w:rsid w:val="00AA27D2"/>
    <w:rsid w:val="00AA3B85"/>
    <w:rsid w:val="00AA42B4"/>
    <w:rsid w:val="00AA564B"/>
    <w:rsid w:val="00AA6255"/>
    <w:rsid w:val="00AA6983"/>
    <w:rsid w:val="00AB1400"/>
    <w:rsid w:val="00AB26F9"/>
    <w:rsid w:val="00AB299F"/>
    <w:rsid w:val="00AB4E7E"/>
    <w:rsid w:val="00AB7DB5"/>
    <w:rsid w:val="00AC04E3"/>
    <w:rsid w:val="00AC21D0"/>
    <w:rsid w:val="00AC5496"/>
    <w:rsid w:val="00AC5CF2"/>
    <w:rsid w:val="00AC6C91"/>
    <w:rsid w:val="00AD12DA"/>
    <w:rsid w:val="00AD3033"/>
    <w:rsid w:val="00AD3DE8"/>
    <w:rsid w:val="00AD4799"/>
    <w:rsid w:val="00AD4B9D"/>
    <w:rsid w:val="00AD4E62"/>
    <w:rsid w:val="00AD4F07"/>
    <w:rsid w:val="00AD50DD"/>
    <w:rsid w:val="00AD570E"/>
    <w:rsid w:val="00AD72EA"/>
    <w:rsid w:val="00AD7973"/>
    <w:rsid w:val="00AD7BEA"/>
    <w:rsid w:val="00AE2D1B"/>
    <w:rsid w:val="00AE6C09"/>
    <w:rsid w:val="00AF0DAF"/>
    <w:rsid w:val="00AF0EF2"/>
    <w:rsid w:val="00AF219F"/>
    <w:rsid w:val="00AF47CC"/>
    <w:rsid w:val="00AF6035"/>
    <w:rsid w:val="00AF6178"/>
    <w:rsid w:val="00AF7483"/>
    <w:rsid w:val="00B04BA0"/>
    <w:rsid w:val="00B10716"/>
    <w:rsid w:val="00B138A3"/>
    <w:rsid w:val="00B157C8"/>
    <w:rsid w:val="00B161A2"/>
    <w:rsid w:val="00B16B3C"/>
    <w:rsid w:val="00B1709E"/>
    <w:rsid w:val="00B1715B"/>
    <w:rsid w:val="00B17842"/>
    <w:rsid w:val="00B17D06"/>
    <w:rsid w:val="00B250D4"/>
    <w:rsid w:val="00B273A8"/>
    <w:rsid w:val="00B306F5"/>
    <w:rsid w:val="00B312CC"/>
    <w:rsid w:val="00B407C0"/>
    <w:rsid w:val="00B51201"/>
    <w:rsid w:val="00B5170E"/>
    <w:rsid w:val="00B52653"/>
    <w:rsid w:val="00B55DD1"/>
    <w:rsid w:val="00B5636D"/>
    <w:rsid w:val="00B61CAA"/>
    <w:rsid w:val="00B62BF1"/>
    <w:rsid w:val="00B6373C"/>
    <w:rsid w:val="00B63D25"/>
    <w:rsid w:val="00B63F3A"/>
    <w:rsid w:val="00B66D56"/>
    <w:rsid w:val="00B72E90"/>
    <w:rsid w:val="00B73A63"/>
    <w:rsid w:val="00B7463C"/>
    <w:rsid w:val="00B746CA"/>
    <w:rsid w:val="00B750D5"/>
    <w:rsid w:val="00B76DCC"/>
    <w:rsid w:val="00B8105D"/>
    <w:rsid w:val="00B82325"/>
    <w:rsid w:val="00B826B7"/>
    <w:rsid w:val="00B8458D"/>
    <w:rsid w:val="00B8706F"/>
    <w:rsid w:val="00B905BC"/>
    <w:rsid w:val="00B90672"/>
    <w:rsid w:val="00B91435"/>
    <w:rsid w:val="00B921CB"/>
    <w:rsid w:val="00B92E9B"/>
    <w:rsid w:val="00B9373A"/>
    <w:rsid w:val="00B93BA4"/>
    <w:rsid w:val="00B95694"/>
    <w:rsid w:val="00B95A33"/>
    <w:rsid w:val="00B96CB2"/>
    <w:rsid w:val="00B975B8"/>
    <w:rsid w:val="00BA0C22"/>
    <w:rsid w:val="00BA2EEC"/>
    <w:rsid w:val="00BA396A"/>
    <w:rsid w:val="00BA4181"/>
    <w:rsid w:val="00BA420A"/>
    <w:rsid w:val="00BA65DB"/>
    <w:rsid w:val="00BA6A8C"/>
    <w:rsid w:val="00BA6B3F"/>
    <w:rsid w:val="00BB1003"/>
    <w:rsid w:val="00BB373A"/>
    <w:rsid w:val="00BB5DAE"/>
    <w:rsid w:val="00BB68FD"/>
    <w:rsid w:val="00BB6D19"/>
    <w:rsid w:val="00BB706A"/>
    <w:rsid w:val="00BB7B8D"/>
    <w:rsid w:val="00BC0859"/>
    <w:rsid w:val="00BC1653"/>
    <w:rsid w:val="00BC3483"/>
    <w:rsid w:val="00BC406A"/>
    <w:rsid w:val="00BC48A2"/>
    <w:rsid w:val="00BC5C33"/>
    <w:rsid w:val="00BC6433"/>
    <w:rsid w:val="00BD1377"/>
    <w:rsid w:val="00BD24FA"/>
    <w:rsid w:val="00BD3E5B"/>
    <w:rsid w:val="00BD47CA"/>
    <w:rsid w:val="00BD5DD8"/>
    <w:rsid w:val="00BD627F"/>
    <w:rsid w:val="00BD6304"/>
    <w:rsid w:val="00BD6ACC"/>
    <w:rsid w:val="00BD70B5"/>
    <w:rsid w:val="00BE0888"/>
    <w:rsid w:val="00BE0DE8"/>
    <w:rsid w:val="00BE144E"/>
    <w:rsid w:val="00BF02B1"/>
    <w:rsid w:val="00BF23AC"/>
    <w:rsid w:val="00BF343B"/>
    <w:rsid w:val="00BF34EE"/>
    <w:rsid w:val="00BF42DA"/>
    <w:rsid w:val="00BF48B3"/>
    <w:rsid w:val="00C005B9"/>
    <w:rsid w:val="00C020C3"/>
    <w:rsid w:val="00C034E4"/>
    <w:rsid w:val="00C05C54"/>
    <w:rsid w:val="00C0668F"/>
    <w:rsid w:val="00C07DCF"/>
    <w:rsid w:val="00C1194B"/>
    <w:rsid w:val="00C1309C"/>
    <w:rsid w:val="00C240B7"/>
    <w:rsid w:val="00C261BD"/>
    <w:rsid w:val="00C26E45"/>
    <w:rsid w:val="00C355C1"/>
    <w:rsid w:val="00C4000B"/>
    <w:rsid w:val="00C40B92"/>
    <w:rsid w:val="00C42290"/>
    <w:rsid w:val="00C471D3"/>
    <w:rsid w:val="00C50E07"/>
    <w:rsid w:val="00C51BCC"/>
    <w:rsid w:val="00C52051"/>
    <w:rsid w:val="00C524E2"/>
    <w:rsid w:val="00C5258B"/>
    <w:rsid w:val="00C52E64"/>
    <w:rsid w:val="00C53BEF"/>
    <w:rsid w:val="00C56CD5"/>
    <w:rsid w:val="00C6077D"/>
    <w:rsid w:val="00C6345A"/>
    <w:rsid w:val="00C65CDC"/>
    <w:rsid w:val="00C660C3"/>
    <w:rsid w:val="00C671B7"/>
    <w:rsid w:val="00C673CE"/>
    <w:rsid w:val="00C71715"/>
    <w:rsid w:val="00C731FA"/>
    <w:rsid w:val="00C77A79"/>
    <w:rsid w:val="00C77C76"/>
    <w:rsid w:val="00C77FCC"/>
    <w:rsid w:val="00C8031C"/>
    <w:rsid w:val="00C8036F"/>
    <w:rsid w:val="00C81F9C"/>
    <w:rsid w:val="00C8369A"/>
    <w:rsid w:val="00C837C6"/>
    <w:rsid w:val="00C90ADA"/>
    <w:rsid w:val="00C91AFE"/>
    <w:rsid w:val="00C94BF8"/>
    <w:rsid w:val="00C95C91"/>
    <w:rsid w:val="00C96202"/>
    <w:rsid w:val="00C96F10"/>
    <w:rsid w:val="00C97DB9"/>
    <w:rsid w:val="00CA0F5B"/>
    <w:rsid w:val="00CA5501"/>
    <w:rsid w:val="00CA5664"/>
    <w:rsid w:val="00CA6161"/>
    <w:rsid w:val="00CB015A"/>
    <w:rsid w:val="00CB04A6"/>
    <w:rsid w:val="00CB1589"/>
    <w:rsid w:val="00CB1A30"/>
    <w:rsid w:val="00CB24F8"/>
    <w:rsid w:val="00CB7A55"/>
    <w:rsid w:val="00CC363C"/>
    <w:rsid w:val="00CC41D7"/>
    <w:rsid w:val="00CC5017"/>
    <w:rsid w:val="00CC5D84"/>
    <w:rsid w:val="00CD0EBA"/>
    <w:rsid w:val="00CD12B2"/>
    <w:rsid w:val="00CD63AC"/>
    <w:rsid w:val="00CD7FE7"/>
    <w:rsid w:val="00CE1A18"/>
    <w:rsid w:val="00CF04D4"/>
    <w:rsid w:val="00CF0A48"/>
    <w:rsid w:val="00CF2D53"/>
    <w:rsid w:val="00CF30C1"/>
    <w:rsid w:val="00CF4310"/>
    <w:rsid w:val="00CF7E2D"/>
    <w:rsid w:val="00D0041C"/>
    <w:rsid w:val="00D043AD"/>
    <w:rsid w:val="00D055D3"/>
    <w:rsid w:val="00D05EFE"/>
    <w:rsid w:val="00D13B1C"/>
    <w:rsid w:val="00D2006B"/>
    <w:rsid w:val="00D20901"/>
    <w:rsid w:val="00D224E2"/>
    <w:rsid w:val="00D22562"/>
    <w:rsid w:val="00D22E4D"/>
    <w:rsid w:val="00D25BE7"/>
    <w:rsid w:val="00D262BA"/>
    <w:rsid w:val="00D317EB"/>
    <w:rsid w:val="00D32865"/>
    <w:rsid w:val="00D32AD3"/>
    <w:rsid w:val="00D35131"/>
    <w:rsid w:val="00D354AA"/>
    <w:rsid w:val="00D37ACB"/>
    <w:rsid w:val="00D4046C"/>
    <w:rsid w:val="00D40B50"/>
    <w:rsid w:val="00D41DF9"/>
    <w:rsid w:val="00D42D54"/>
    <w:rsid w:val="00D43866"/>
    <w:rsid w:val="00D46D1E"/>
    <w:rsid w:val="00D506AF"/>
    <w:rsid w:val="00D55372"/>
    <w:rsid w:val="00D66624"/>
    <w:rsid w:val="00D66B94"/>
    <w:rsid w:val="00D7062B"/>
    <w:rsid w:val="00D716A0"/>
    <w:rsid w:val="00D7316B"/>
    <w:rsid w:val="00D732DA"/>
    <w:rsid w:val="00D737D6"/>
    <w:rsid w:val="00D75782"/>
    <w:rsid w:val="00D81556"/>
    <w:rsid w:val="00D83DC5"/>
    <w:rsid w:val="00D84426"/>
    <w:rsid w:val="00D853EC"/>
    <w:rsid w:val="00D93DD6"/>
    <w:rsid w:val="00D94760"/>
    <w:rsid w:val="00D956EE"/>
    <w:rsid w:val="00D961FD"/>
    <w:rsid w:val="00DA5749"/>
    <w:rsid w:val="00DA57ED"/>
    <w:rsid w:val="00DA61DF"/>
    <w:rsid w:val="00DB02A8"/>
    <w:rsid w:val="00DB030F"/>
    <w:rsid w:val="00DB2854"/>
    <w:rsid w:val="00DB3CA5"/>
    <w:rsid w:val="00DB4ED8"/>
    <w:rsid w:val="00DB5B21"/>
    <w:rsid w:val="00DB7C90"/>
    <w:rsid w:val="00DC22EA"/>
    <w:rsid w:val="00DC323E"/>
    <w:rsid w:val="00DC6E6D"/>
    <w:rsid w:val="00DC73BF"/>
    <w:rsid w:val="00DC7C76"/>
    <w:rsid w:val="00DD009B"/>
    <w:rsid w:val="00DD1685"/>
    <w:rsid w:val="00DD2E6E"/>
    <w:rsid w:val="00DD38A6"/>
    <w:rsid w:val="00DD6EB2"/>
    <w:rsid w:val="00DE004F"/>
    <w:rsid w:val="00DE67C6"/>
    <w:rsid w:val="00DE7DD3"/>
    <w:rsid w:val="00DF21BC"/>
    <w:rsid w:val="00DF34B2"/>
    <w:rsid w:val="00DF34BD"/>
    <w:rsid w:val="00DF65E8"/>
    <w:rsid w:val="00DF7C1A"/>
    <w:rsid w:val="00E02110"/>
    <w:rsid w:val="00E03ED7"/>
    <w:rsid w:val="00E03FF7"/>
    <w:rsid w:val="00E06390"/>
    <w:rsid w:val="00E06E69"/>
    <w:rsid w:val="00E07CFA"/>
    <w:rsid w:val="00E10830"/>
    <w:rsid w:val="00E10E7A"/>
    <w:rsid w:val="00E12CF5"/>
    <w:rsid w:val="00E13E6D"/>
    <w:rsid w:val="00E144EA"/>
    <w:rsid w:val="00E16E98"/>
    <w:rsid w:val="00E23A55"/>
    <w:rsid w:val="00E23B27"/>
    <w:rsid w:val="00E26262"/>
    <w:rsid w:val="00E30162"/>
    <w:rsid w:val="00E3346C"/>
    <w:rsid w:val="00E35BBB"/>
    <w:rsid w:val="00E36579"/>
    <w:rsid w:val="00E3665B"/>
    <w:rsid w:val="00E416BA"/>
    <w:rsid w:val="00E43A48"/>
    <w:rsid w:val="00E44623"/>
    <w:rsid w:val="00E45E3E"/>
    <w:rsid w:val="00E469A9"/>
    <w:rsid w:val="00E55443"/>
    <w:rsid w:val="00E557FA"/>
    <w:rsid w:val="00E55C94"/>
    <w:rsid w:val="00E55E6B"/>
    <w:rsid w:val="00E6104E"/>
    <w:rsid w:val="00E61766"/>
    <w:rsid w:val="00E62714"/>
    <w:rsid w:val="00E636EF"/>
    <w:rsid w:val="00E63E1C"/>
    <w:rsid w:val="00E678CA"/>
    <w:rsid w:val="00E7074A"/>
    <w:rsid w:val="00E725F2"/>
    <w:rsid w:val="00E742AD"/>
    <w:rsid w:val="00E759FA"/>
    <w:rsid w:val="00E75ACD"/>
    <w:rsid w:val="00E81159"/>
    <w:rsid w:val="00E8324A"/>
    <w:rsid w:val="00E84146"/>
    <w:rsid w:val="00E853A0"/>
    <w:rsid w:val="00E85D47"/>
    <w:rsid w:val="00E87377"/>
    <w:rsid w:val="00E876B3"/>
    <w:rsid w:val="00E87C7A"/>
    <w:rsid w:val="00E91B6B"/>
    <w:rsid w:val="00E928CB"/>
    <w:rsid w:val="00E92DCD"/>
    <w:rsid w:val="00E95BD3"/>
    <w:rsid w:val="00E96468"/>
    <w:rsid w:val="00E97A8B"/>
    <w:rsid w:val="00EA54F3"/>
    <w:rsid w:val="00EB1736"/>
    <w:rsid w:val="00EB27E3"/>
    <w:rsid w:val="00EB2AB1"/>
    <w:rsid w:val="00EC11F3"/>
    <w:rsid w:val="00EC1A2E"/>
    <w:rsid w:val="00EC44A5"/>
    <w:rsid w:val="00ED111E"/>
    <w:rsid w:val="00ED2333"/>
    <w:rsid w:val="00ED43D8"/>
    <w:rsid w:val="00ED4747"/>
    <w:rsid w:val="00EE2C4B"/>
    <w:rsid w:val="00EE70A4"/>
    <w:rsid w:val="00EE781D"/>
    <w:rsid w:val="00EF0788"/>
    <w:rsid w:val="00EF32C1"/>
    <w:rsid w:val="00EF5396"/>
    <w:rsid w:val="00EF612E"/>
    <w:rsid w:val="00EF69E6"/>
    <w:rsid w:val="00EF76FD"/>
    <w:rsid w:val="00F041F1"/>
    <w:rsid w:val="00F05DF2"/>
    <w:rsid w:val="00F06B41"/>
    <w:rsid w:val="00F07BC6"/>
    <w:rsid w:val="00F11A59"/>
    <w:rsid w:val="00F13011"/>
    <w:rsid w:val="00F16E19"/>
    <w:rsid w:val="00F17F4B"/>
    <w:rsid w:val="00F202E1"/>
    <w:rsid w:val="00F221F8"/>
    <w:rsid w:val="00F23635"/>
    <w:rsid w:val="00F2741F"/>
    <w:rsid w:val="00F33681"/>
    <w:rsid w:val="00F34814"/>
    <w:rsid w:val="00F3504C"/>
    <w:rsid w:val="00F36536"/>
    <w:rsid w:val="00F36BB5"/>
    <w:rsid w:val="00F402CB"/>
    <w:rsid w:val="00F40AFC"/>
    <w:rsid w:val="00F41407"/>
    <w:rsid w:val="00F43D22"/>
    <w:rsid w:val="00F51519"/>
    <w:rsid w:val="00F51E8B"/>
    <w:rsid w:val="00F609D0"/>
    <w:rsid w:val="00F60A72"/>
    <w:rsid w:val="00F60D16"/>
    <w:rsid w:val="00F64FEA"/>
    <w:rsid w:val="00F655FC"/>
    <w:rsid w:val="00F65B30"/>
    <w:rsid w:val="00F67206"/>
    <w:rsid w:val="00F67C00"/>
    <w:rsid w:val="00F72221"/>
    <w:rsid w:val="00F73E1D"/>
    <w:rsid w:val="00F75EC8"/>
    <w:rsid w:val="00F76EAE"/>
    <w:rsid w:val="00F772D1"/>
    <w:rsid w:val="00F82BCC"/>
    <w:rsid w:val="00F8565F"/>
    <w:rsid w:val="00F865F1"/>
    <w:rsid w:val="00F91A5E"/>
    <w:rsid w:val="00F92173"/>
    <w:rsid w:val="00F9294C"/>
    <w:rsid w:val="00F94262"/>
    <w:rsid w:val="00F956B8"/>
    <w:rsid w:val="00FA1939"/>
    <w:rsid w:val="00FA2C30"/>
    <w:rsid w:val="00FA37EB"/>
    <w:rsid w:val="00FA41ED"/>
    <w:rsid w:val="00FA4834"/>
    <w:rsid w:val="00FA6545"/>
    <w:rsid w:val="00FB32A5"/>
    <w:rsid w:val="00FB3EBF"/>
    <w:rsid w:val="00FB4ED5"/>
    <w:rsid w:val="00FC533D"/>
    <w:rsid w:val="00FC5A03"/>
    <w:rsid w:val="00FC6173"/>
    <w:rsid w:val="00FC66CC"/>
    <w:rsid w:val="00FC6C06"/>
    <w:rsid w:val="00FC7898"/>
    <w:rsid w:val="00FC79CD"/>
    <w:rsid w:val="00FC7D44"/>
    <w:rsid w:val="00FD32B5"/>
    <w:rsid w:val="00FD68A4"/>
    <w:rsid w:val="00FD6DEB"/>
    <w:rsid w:val="00FD7C69"/>
    <w:rsid w:val="00FE0BDC"/>
    <w:rsid w:val="00FE2699"/>
    <w:rsid w:val="00FE4052"/>
    <w:rsid w:val="00FF3E0C"/>
    <w:rsid w:val="00FF4602"/>
    <w:rsid w:val="00FF4D27"/>
    <w:rsid w:val="00FF6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B08F0"/>
  <w15:docId w15:val="{3B479A8B-6B42-42B0-81FF-0EA94C85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hr-HR" w:eastAsia="ja-JP"/>
    </w:rPr>
  </w:style>
  <w:style w:type="paragraph" w:styleId="Heading1">
    <w:name w:val="heading 1"/>
    <w:basedOn w:val="Normal"/>
    <w:link w:val="Heading1Char"/>
    <w:uiPriority w:val="9"/>
    <w:qFormat/>
    <w:rsid w:val="00662181"/>
    <w:pPr>
      <w:spacing w:before="100" w:beforeAutospacing="1" w:after="100" w:afterAutospacing="1"/>
      <w:outlineLvl w:val="0"/>
    </w:pPr>
    <w:rPr>
      <w:rFonts w:eastAsia="Times New Roman"/>
      <w:b/>
      <w:bCs/>
      <w:kern w:val="36"/>
      <w:sz w:val="48"/>
      <w:szCs w:val="48"/>
      <w:lang w:val="x-none" w:eastAsia="x-none"/>
    </w:rPr>
  </w:style>
  <w:style w:type="paragraph" w:styleId="Heading4">
    <w:name w:val="heading 4"/>
    <w:basedOn w:val="Normal"/>
    <w:next w:val="Normal"/>
    <w:link w:val="Heading4Char"/>
    <w:qFormat/>
    <w:rsid w:val="005D10F7"/>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ilnehmer">
    <w:name w:val="Teilnehmer"/>
    <w:basedOn w:val="Normal"/>
    <w:rsid w:val="00C0668F"/>
    <w:pPr>
      <w:jc w:val="both"/>
    </w:pPr>
    <w:rPr>
      <w:rFonts w:ascii="Arial" w:eastAsia="Calibri" w:hAnsi="Arial" w:cs="Arial"/>
      <w:bCs/>
      <w:i/>
      <w:lang w:val="en-US" w:eastAsia="de-DE"/>
    </w:rPr>
  </w:style>
  <w:style w:type="character" w:styleId="LineNumber">
    <w:name w:val="line number"/>
    <w:rsid w:val="002B31C9"/>
  </w:style>
  <w:style w:type="paragraph" w:styleId="BodyTextIndent2">
    <w:name w:val="Body Text Indent 2"/>
    <w:basedOn w:val="Normal"/>
    <w:rsid w:val="008F2C6B"/>
    <w:pPr>
      <w:spacing w:line="360" w:lineRule="auto"/>
      <w:ind w:firstLine="397"/>
      <w:jc w:val="both"/>
    </w:pPr>
    <w:rPr>
      <w:rFonts w:eastAsia="Times New Roman"/>
      <w:szCs w:val="20"/>
      <w:lang w:eastAsia="hr-HR"/>
    </w:rPr>
  </w:style>
  <w:style w:type="character" w:styleId="Hyperlink">
    <w:name w:val="Hyperlink"/>
    <w:rsid w:val="005743BF"/>
    <w:rPr>
      <w:color w:val="0000EE"/>
      <w:u w:val="single"/>
    </w:rPr>
  </w:style>
  <w:style w:type="table" w:styleId="TableGrid">
    <w:name w:val="Table Grid"/>
    <w:basedOn w:val="TableNormal"/>
    <w:uiPriority w:val="59"/>
    <w:rsid w:val="00655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D0C69"/>
    <w:rPr>
      <w:sz w:val="16"/>
      <w:szCs w:val="16"/>
    </w:rPr>
  </w:style>
  <w:style w:type="paragraph" w:styleId="CommentText">
    <w:name w:val="annotation text"/>
    <w:basedOn w:val="Normal"/>
    <w:link w:val="CommentTextChar"/>
    <w:rsid w:val="006D0C69"/>
    <w:rPr>
      <w:sz w:val="20"/>
      <w:szCs w:val="20"/>
    </w:rPr>
  </w:style>
  <w:style w:type="character" w:customStyle="1" w:styleId="CommentTextChar">
    <w:name w:val="Comment Text Char"/>
    <w:link w:val="CommentText"/>
    <w:rsid w:val="006D0C69"/>
    <w:rPr>
      <w:lang w:val="hr-HR" w:eastAsia="ja-JP"/>
    </w:rPr>
  </w:style>
  <w:style w:type="paragraph" w:styleId="CommentSubject">
    <w:name w:val="annotation subject"/>
    <w:basedOn w:val="CommentText"/>
    <w:next w:val="CommentText"/>
    <w:link w:val="CommentSubjectChar"/>
    <w:rsid w:val="006D0C69"/>
    <w:rPr>
      <w:b/>
      <w:bCs/>
    </w:rPr>
  </w:style>
  <w:style w:type="character" w:customStyle="1" w:styleId="CommentSubjectChar">
    <w:name w:val="Comment Subject Char"/>
    <w:link w:val="CommentSubject"/>
    <w:rsid w:val="006D0C69"/>
    <w:rPr>
      <w:b/>
      <w:bCs/>
      <w:lang w:val="hr-HR" w:eastAsia="ja-JP"/>
    </w:rPr>
  </w:style>
  <w:style w:type="paragraph" w:styleId="BalloonText">
    <w:name w:val="Balloon Text"/>
    <w:basedOn w:val="Normal"/>
    <w:link w:val="BalloonTextChar"/>
    <w:rsid w:val="006D0C69"/>
    <w:rPr>
      <w:rFonts w:ascii="Tahoma" w:hAnsi="Tahoma"/>
      <w:sz w:val="16"/>
      <w:szCs w:val="16"/>
    </w:rPr>
  </w:style>
  <w:style w:type="character" w:customStyle="1" w:styleId="BalloonTextChar">
    <w:name w:val="Balloon Text Char"/>
    <w:link w:val="BalloonText"/>
    <w:rsid w:val="006D0C69"/>
    <w:rPr>
      <w:rFonts w:ascii="Tahoma" w:hAnsi="Tahoma" w:cs="Tahoma"/>
      <w:sz w:val="16"/>
      <w:szCs w:val="16"/>
      <w:lang w:val="hr-HR" w:eastAsia="ja-JP"/>
    </w:rPr>
  </w:style>
  <w:style w:type="character" w:customStyle="1" w:styleId="cit-auth">
    <w:name w:val="cit-auth"/>
    <w:rsid w:val="00831102"/>
  </w:style>
  <w:style w:type="character" w:customStyle="1" w:styleId="cit-name-surname">
    <w:name w:val="cit-name-surname"/>
    <w:rsid w:val="00831102"/>
  </w:style>
  <w:style w:type="character" w:customStyle="1" w:styleId="cit-name-given-names">
    <w:name w:val="cit-name-given-names"/>
    <w:rsid w:val="00831102"/>
  </w:style>
  <w:style w:type="character" w:styleId="HTMLCite">
    <w:name w:val="HTML Cite"/>
    <w:uiPriority w:val="99"/>
    <w:unhideWhenUsed/>
    <w:rsid w:val="00831102"/>
    <w:rPr>
      <w:i/>
      <w:iCs/>
    </w:rPr>
  </w:style>
  <w:style w:type="character" w:customStyle="1" w:styleId="cit-pub-date">
    <w:name w:val="cit-pub-date"/>
    <w:rsid w:val="00831102"/>
  </w:style>
  <w:style w:type="character" w:customStyle="1" w:styleId="cit-article-title">
    <w:name w:val="cit-article-title"/>
    <w:rsid w:val="00831102"/>
  </w:style>
  <w:style w:type="character" w:customStyle="1" w:styleId="cit-vol">
    <w:name w:val="cit-vol"/>
    <w:rsid w:val="00831102"/>
  </w:style>
  <w:style w:type="character" w:customStyle="1" w:styleId="cit-fpage">
    <w:name w:val="cit-fpage"/>
    <w:rsid w:val="00831102"/>
  </w:style>
  <w:style w:type="character" w:customStyle="1" w:styleId="cit-lpage">
    <w:name w:val="cit-lpage"/>
    <w:rsid w:val="00831102"/>
  </w:style>
  <w:style w:type="character" w:customStyle="1" w:styleId="hithilite">
    <w:name w:val="hithilite"/>
    <w:rsid w:val="00481FC6"/>
  </w:style>
  <w:style w:type="character" w:customStyle="1" w:styleId="label">
    <w:name w:val="label"/>
    <w:rsid w:val="00481FC6"/>
  </w:style>
  <w:style w:type="character" w:customStyle="1" w:styleId="databold">
    <w:name w:val="data_bold"/>
    <w:rsid w:val="00481FC6"/>
  </w:style>
  <w:style w:type="character" w:customStyle="1" w:styleId="button-abstract">
    <w:name w:val="button-abstract"/>
    <w:rsid w:val="00481FC6"/>
  </w:style>
  <w:style w:type="character" w:styleId="Strong">
    <w:name w:val="Strong"/>
    <w:uiPriority w:val="22"/>
    <w:qFormat/>
    <w:rsid w:val="00662181"/>
    <w:rPr>
      <w:b/>
      <w:bCs/>
    </w:rPr>
  </w:style>
  <w:style w:type="character" w:styleId="Emphasis">
    <w:name w:val="Emphasis"/>
    <w:uiPriority w:val="20"/>
    <w:qFormat/>
    <w:rsid w:val="00662181"/>
    <w:rPr>
      <w:i/>
      <w:iCs/>
    </w:rPr>
  </w:style>
  <w:style w:type="character" w:customStyle="1" w:styleId="Heading1Char">
    <w:name w:val="Heading 1 Char"/>
    <w:link w:val="Heading1"/>
    <w:uiPriority w:val="9"/>
    <w:rsid w:val="00662181"/>
    <w:rPr>
      <w:rFonts w:eastAsia="Times New Roman"/>
      <w:b/>
      <w:bCs/>
      <w:kern w:val="36"/>
      <w:sz w:val="48"/>
      <w:szCs w:val="48"/>
    </w:rPr>
  </w:style>
  <w:style w:type="character" w:customStyle="1" w:styleId="name">
    <w:name w:val="name"/>
    <w:rsid w:val="00662181"/>
  </w:style>
  <w:style w:type="character" w:customStyle="1" w:styleId="st">
    <w:name w:val="st"/>
    <w:rsid w:val="00473D7D"/>
  </w:style>
  <w:style w:type="character" w:customStyle="1" w:styleId="cit-source">
    <w:name w:val="cit-source"/>
    <w:rsid w:val="00DD38A6"/>
  </w:style>
  <w:style w:type="paragraph" w:customStyle="1" w:styleId="Paragraph">
    <w:name w:val="Paragraph"/>
    <w:basedOn w:val="Normal"/>
    <w:rsid w:val="00F41407"/>
    <w:pPr>
      <w:spacing w:before="120"/>
      <w:ind w:firstLine="720"/>
    </w:pPr>
    <w:rPr>
      <w:rFonts w:eastAsia="Calibri"/>
      <w:lang w:val="en-US" w:eastAsia="en-US"/>
    </w:rPr>
  </w:style>
  <w:style w:type="character" w:customStyle="1" w:styleId="creators">
    <w:name w:val="creators"/>
    <w:rsid w:val="00523CA8"/>
    <w:rPr>
      <w:rFonts w:cs="Times New Roman"/>
    </w:rPr>
  </w:style>
  <w:style w:type="character" w:customStyle="1" w:styleId="personname">
    <w:name w:val="person_name"/>
    <w:rsid w:val="00523CA8"/>
    <w:rPr>
      <w:rFonts w:cs="Times New Roman"/>
    </w:rPr>
  </w:style>
  <w:style w:type="character" w:customStyle="1" w:styleId="Heading4Char">
    <w:name w:val="Heading 4 Char"/>
    <w:link w:val="Heading4"/>
    <w:rsid w:val="005D10F7"/>
    <w:rPr>
      <w:rFonts w:ascii="Calibri" w:eastAsia="Times New Roman" w:hAnsi="Calibri" w:cs="Times New Roman"/>
      <w:b/>
      <w:bCs/>
      <w:sz w:val="28"/>
      <w:szCs w:val="28"/>
      <w:lang w:val="hr-HR" w:eastAsia="ja-JP"/>
    </w:rPr>
  </w:style>
  <w:style w:type="character" w:styleId="FollowedHyperlink">
    <w:name w:val="FollowedHyperlink"/>
    <w:rsid w:val="002233A1"/>
    <w:rPr>
      <w:color w:val="800080"/>
      <w:u w:val="single"/>
    </w:rPr>
  </w:style>
  <w:style w:type="character" w:customStyle="1" w:styleId="hps">
    <w:name w:val="hps"/>
    <w:rsid w:val="00E3665B"/>
  </w:style>
  <w:style w:type="paragraph" w:styleId="Revision">
    <w:name w:val="Revision"/>
    <w:hidden/>
    <w:uiPriority w:val="99"/>
    <w:semiHidden/>
    <w:rsid w:val="00ED111E"/>
    <w:rPr>
      <w:sz w:val="24"/>
      <w:szCs w:val="24"/>
      <w:lang w:val="hr-HR" w:eastAsia="ja-JP"/>
    </w:rPr>
  </w:style>
  <w:style w:type="paragraph" w:styleId="Footer">
    <w:name w:val="footer"/>
    <w:basedOn w:val="Normal"/>
    <w:link w:val="FooterChar"/>
    <w:uiPriority w:val="99"/>
    <w:rsid w:val="00F772D1"/>
    <w:pPr>
      <w:tabs>
        <w:tab w:val="center" w:pos="4536"/>
        <w:tab w:val="right" w:pos="9072"/>
      </w:tabs>
    </w:pPr>
  </w:style>
  <w:style w:type="character" w:styleId="PageNumber">
    <w:name w:val="page number"/>
    <w:basedOn w:val="DefaultParagraphFont"/>
    <w:rsid w:val="00F772D1"/>
  </w:style>
  <w:style w:type="character" w:customStyle="1" w:styleId="tab-panetitletrimmfirstactive">
    <w:name w:val="tab-pane titletrimm first active"/>
    <w:basedOn w:val="DefaultParagraphFont"/>
    <w:rsid w:val="00D0041C"/>
  </w:style>
  <w:style w:type="paragraph" w:styleId="ListParagraph">
    <w:name w:val="List Paragraph"/>
    <w:basedOn w:val="Normal"/>
    <w:uiPriority w:val="99"/>
    <w:qFormat/>
    <w:rsid w:val="005F0D68"/>
    <w:pPr>
      <w:spacing w:after="160" w:line="259" w:lineRule="auto"/>
      <w:ind w:left="720"/>
      <w:contextualSpacing/>
    </w:pPr>
    <w:rPr>
      <w:rFonts w:ascii="Calibri" w:eastAsia="Calibri" w:hAnsi="Calibri"/>
      <w:sz w:val="22"/>
      <w:szCs w:val="22"/>
      <w:lang w:val="en-CA" w:eastAsia="en-US"/>
    </w:rPr>
  </w:style>
  <w:style w:type="character" w:customStyle="1" w:styleId="FooterChar">
    <w:name w:val="Footer Char"/>
    <w:basedOn w:val="DefaultParagraphFont"/>
    <w:link w:val="Footer"/>
    <w:uiPriority w:val="99"/>
    <w:rsid w:val="00F07BC6"/>
    <w:rPr>
      <w:sz w:val="24"/>
      <w:szCs w:val="24"/>
      <w:lang w:val="hr-H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7795">
      <w:bodyDiv w:val="1"/>
      <w:marLeft w:val="0"/>
      <w:marRight w:val="0"/>
      <w:marTop w:val="0"/>
      <w:marBottom w:val="0"/>
      <w:divBdr>
        <w:top w:val="none" w:sz="0" w:space="0" w:color="auto"/>
        <w:left w:val="none" w:sz="0" w:space="0" w:color="auto"/>
        <w:bottom w:val="none" w:sz="0" w:space="0" w:color="auto"/>
        <w:right w:val="none" w:sz="0" w:space="0" w:color="auto"/>
      </w:divBdr>
    </w:div>
    <w:div w:id="189074067">
      <w:bodyDiv w:val="1"/>
      <w:marLeft w:val="0"/>
      <w:marRight w:val="0"/>
      <w:marTop w:val="0"/>
      <w:marBottom w:val="0"/>
      <w:divBdr>
        <w:top w:val="none" w:sz="0" w:space="0" w:color="auto"/>
        <w:left w:val="none" w:sz="0" w:space="0" w:color="auto"/>
        <w:bottom w:val="none" w:sz="0" w:space="0" w:color="auto"/>
        <w:right w:val="none" w:sz="0" w:space="0" w:color="auto"/>
      </w:divBdr>
    </w:div>
    <w:div w:id="202324887">
      <w:bodyDiv w:val="1"/>
      <w:marLeft w:val="0"/>
      <w:marRight w:val="0"/>
      <w:marTop w:val="0"/>
      <w:marBottom w:val="0"/>
      <w:divBdr>
        <w:top w:val="none" w:sz="0" w:space="0" w:color="auto"/>
        <w:left w:val="none" w:sz="0" w:space="0" w:color="auto"/>
        <w:bottom w:val="none" w:sz="0" w:space="0" w:color="auto"/>
        <w:right w:val="none" w:sz="0" w:space="0" w:color="auto"/>
      </w:divBdr>
    </w:div>
    <w:div w:id="267782053">
      <w:bodyDiv w:val="1"/>
      <w:marLeft w:val="0"/>
      <w:marRight w:val="0"/>
      <w:marTop w:val="0"/>
      <w:marBottom w:val="0"/>
      <w:divBdr>
        <w:top w:val="none" w:sz="0" w:space="0" w:color="auto"/>
        <w:left w:val="none" w:sz="0" w:space="0" w:color="auto"/>
        <w:bottom w:val="none" w:sz="0" w:space="0" w:color="auto"/>
        <w:right w:val="none" w:sz="0" w:space="0" w:color="auto"/>
      </w:divBdr>
    </w:div>
    <w:div w:id="278805124">
      <w:bodyDiv w:val="1"/>
      <w:marLeft w:val="0"/>
      <w:marRight w:val="0"/>
      <w:marTop w:val="0"/>
      <w:marBottom w:val="0"/>
      <w:divBdr>
        <w:top w:val="none" w:sz="0" w:space="0" w:color="auto"/>
        <w:left w:val="none" w:sz="0" w:space="0" w:color="auto"/>
        <w:bottom w:val="none" w:sz="0" w:space="0" w:color="auto"/>
        <w:right w:val="none" w:sz="0" w:space="0" w:color="auto"/>
      </w:divBdr>
      <w:divsChild>
        <w:div w:id="1746759895">
          <w:marLeft w:val="0"/>
          <w:marRight w:val="0"/>
          <w:marTop w:val="0"/>
          <w:marBottom w:val="0"/>
          <w:divBdr>
            <w:top w:val="none" w:sz="0" w:space="0" w:color="auto"/>
            <w:left w:val="none" w:sz="0" w:space="0" w:color="auto"/>
            <w:bottom w:val="none" w:sz="0" w:space="0" w:color="auto"/>
            <w:right w:val="none" w:sz="0" w:space="0" w:color="auto"/>
          </w:divBdr>
          <w:divsChild>
            <w:div w:id="41445856">
              <w:marLeft w:val="0"/>
              <w:marRight w:val="0"/>
              <w:marTop w:val="0"/>
              <w:marBottom w:val="0"/>
              <w:divBdr>
                <w:top w:val="none" w:sz="0" w:space="0" w:color="auto"/>
                <w:left w:val="none" w:sz="0" w:space="0" w:color="auto"/>
                <w:bottom w:val="none" w:sz="0" w:space="0" w:color="auto"/>
                <w:right w:val="none" w:sz="0" w:space="0" w:color="auto"/>
              </w:divBdr>
              <w:divsChild>
                <w:div w:id="528685725">
                  <w:marLeft w:val="0"/>
                  <w:marRight w:val="0"/>
                  <w:marTop w:val="0"/>
                  <w:marBottom w:val="0"/>
                  <w:divBdr>
                    <w:top w:val="none" w:sz="0" w:space="0" w:color="auto"/>
                    <w:left w:val="none" w:sz="0" w:space="0" w:color="auto"/>
                    <w:bottom w:val="none" w:sz="0" w:space="0" w:color="auto"/>
                    <w:right w:val="none" w:sz="0" w:space="0" w:color="auto"/>
                  </w:divBdr>
                </w:div>
              </w:divsChild>
            </w:div>
            <w:div w:id="321355347">
              <w:marLeft w:val="0"/>
              <w:marRight w:val="0"/>
              <w:marTop w:val="0"/>
              <w:marBottom w:val="0"/>
              <w:divBdr>
                <w:top w:val="none" w:sz="0" w:space="0" w:color="auto"/>
                <w:left w:val="none" w:sz="0" w:space="0" w:color="auto"/>
                <w:bottom w:val="none" w:sz="0" w:space="0" w:color="auto"/>
                <w:right w:val="none" w:sz="0" w:space="0" w:color="auto"/>
              </w:divBdr>
            </w:div>
            <w:div w:id="428737900">
              <w:marLeft w:val="0"/>
              <w:marRight w:val="0"/>
              <w:marTop w:val="0"/>
              <w:marBottom w:val="0"/>
              <w:divBdr>
                <w:top w:val="none" w:sz="0" w:space="0" w:color="auto"/>
                <w:left w:val="none" w:sz="0" w:space="0" w:color="auto"/>
                <w:bottom w:val="none" w:sz="0" w:space="0" w:color="auto"/>
                <w:right w:val="none" w:sz="0" w:space="0" w:color="auto"/>
              </w:divBdr>
            </w:div>
            <w:div w:id="927928805">
              <w:marLeft w:val="0"/>
              <w:marRight w:val="0"/>
              <w:marTop w:val="0"/>
              <w:marBottom w:val="0"/>
              <w:divBdr>
                <w:top w:val="none" w:sz="0" w:space="0" w:color="auto"/>
                <w:left w:val="none" w:sz="0" w:space="0" w:color="auto"/>
                <w:bottom w:val="none" w:sz="0" w:space="0" w:color="auto"/>
                <w:right w:val="none" w:sz="0" w:space="0" w:color="auto"/>
              </w:divBdr>
              <w:divsChild>
                <w:div w:id="28200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40148">
      <w:bodyDiv w:val="1"/>
      <w:marLeft w:val="0"/>
      <w:marRight w:val="0"/>
      <w:marTop w:val="0"/>
      <w:marBottom w:val="0"/>
      <w:divBdr>
        <w:top w:val="none" w:sz="0" w:space="0" w:color="auto"/>
        <w:left w:val="none" w:sz="0" w:space="0" w:color="auto"/>
        <w:bottom w:val="none" w:sz="0" w:space="0" w:color="auto"/>
        <w:right w:val="none" w:sz="0" w:space="0" w:color="auto"/>
      </w:divBdr>
    </w:div>
    <w:div w:id="321473720">
      <w:bodyDiv w:val="1"/>
      <w:marLeft w:val="0"/>
      <w:marRight w:val="0"/>
      <w:marTop w:val="0"/>
      <w:marBottom w:val="0"/>
      <w:divBdr>
        <w:top w:val="none" w:sz="0" w:space="0" w:color="auto"/>
        <w:left w:val="none" w:sz="0" w:space="0" w:color="auto"/>
        <w:bottom w:val="none" w:sz="0" w:space="0" w:color="auto"/>
        <w:right w:val="none" w:sz="0" w:space="0" w:color="auto"/>
      </w:divBdr>
    </w:div>
    <w:div w:id="363211843">
      <w:bodyDiv w:val="1"/>
      <w:marLeft w:val="0"/>
      <w:marRight w:val="0"/>
      <w:marTop w:val="0"/>
      <w:marBottom w:val="0"/>
      <w:divBdr>
        <w:top w:val="none" w:sz="0" w:space="0" w:color="auto"/>
        <w:left w:val="none" w:sz="0" w:space="0" w:color="auto"/>
        <w:bottom w:val="none" w:sz="0" w:space="0" w:color="auto"/>
        <w:right w:val="none" w:sz="0" w:space="0" w:color="auto"/>
      </w:divBdr>
    </w:div>
    <w:div w:id="370231658">
      <w:bodyDiv w:val="1"/>
      <w:marLeft w:val="0"/>
      <w:marRight w:val="0"/>
      <w:marTop w:val="0"/>
      <w:marBottom w:val="0"/>
      <w:divBdr>
        <w:top w:val="none" w:sz="0" w:space="0" w:color="auto"/>
        <w:left w:val="none" w:sz="0" w:space="0" w:color="auto"/>
        <w:bottom w:val="none" w:sz="0" w:space="0" w:color="auto"/>
        <w:right w:val="none" w:sz="0" w:space="0" w:color="auto"/>
      </w:divBdr>
    </w:div>
    <w:div w:id="426006427">
      <w:bodyDiv w:val="1"/>
      <w:marLeft w:val="0"/>
      <w:marRight w:val="0"/>
      <w:marTop w:val="0"/>
      <w:marBottom w:val="0"/>
      <w:divBdr>
        <w:top w:val="none" w:sz="0" w:space="0" w:color="auto"/>
        <w:left w:val="none" w:sz="0" w:space="0" w:color="auto"/>
        <w:bottom w:val="none" w:sz="0" w:space="0" w:color="auto"/>
        <w:right w:val="none" w:sz="0" w:space="0" w:color="auto"/>
      </w:divBdr>
    </w:div>
    <w:div w:id="476192286">
      <w:bodyDiv w:val="1"/>
      <w:marLeft w:val="0"/>
      <w:marRight w:val="0"/>
      <w:marTop w:val="0"/>
      <w:marBottom w:val="0"/>
      <w:divBdr>
        <w:top w:val="none" w:sz="0" w:space="0" w:color="auto"/>
        <w:left w:val="none" w:sz="0" w:space="0" w:color="auto"/>
        <w:bottom w:val="none" w:sz="0" w:space="0" w:color="auto"/>
        <w:right w:val="none" w:sz="0" w:space="0" w:color="auto"/>
      </w:divBdr>
    </w:div>
    <w:div w:id="521281175">
      <w:bodyDiv w:val="1"/>
      <w:marLeft w:val="0"/>
      <w:marRight w:val="0"/>
      <w:marTop w:val="0"/>
      <w:marBottom w:val="0"/>
      <w:divBdr>
        <w:top w:val="none" w:sz="0" w:space="0" w:color="auto"/>
        <w:left w:val="none" w:sz="0" w:space="0" w:color="auto"/>
        <w:bottom w:val="none" w:sz="0" w:space="0" w:color="auto"/>
        <w:right w:val="none" w:sz="0" w:space="0" w:color="auto"/>
      </w:divBdr>
    </w:div>
    <w:div w:id="600340744">
      <w:bodyDiv w:val="1"/>
      <w:marLeft w:val="0"/>
      <w:marRight w:val="0"/>
      <w:marTop w:val="0"/>
      <w:marBottom w:val="0"/>
      <w:divBdr>
        <w:top w:val="none" w:sz="0" w:space="0" w:color="auto"/>
        <w:left w:val="none" w:sz="0" w:space="0" w:color="auto"/>
        <w:bottom w:val="none" w:sz="0" w:space="0" w:color="auto"/>
        <w:right w:val="none" w:sz="0" w:space="0" w:color="auto"/>
      </w:divBdr>
    </w:div>
    <w:div w:id="632947187">
      <w:bodyDiv w:val="1"/>
      <w:marLeft w:val="0"/>
      <w:marRight w:val="0"/>
      <w:marTop w:val="0"/>
      <w:marBottom w:val="0"/>
      <w:divBdr>
        <w:top w:val="none" w:sz="0" w:space="0" w:color="auto"/>
        <w:left w:val="none" w:sz="0" w:space="0" w:color="auto"/>
        <w:bottom w:val="none" w:sz="0" w:space="0" w:color="auto"/>
        <w:right w:val="none" w:sz="0" w:space="0" w:color="auto"/>
      </w:divBdr>
    </w:div>
    <w:div w:id="643125595">
      <w:bodyDiv w:val="1"/>
      <w:marLeft w:val="0"/>
      <w:marRight w:val="0"/>
      <w:marTop w:val="0"/>
      <w:marBottom w:val="0"/>
      <w:divBdr>
        <w:top w:val="none" w:sz="0" w:space="0" w:color="auto"/>
        <w:left w:val="none" w:sz="0" w:space="0" w:color="auto"/>
        <w:bottom w:val="none" w:sz="0" w:space="0" w:color="auto"/>
        <w:right w:val="none" w:sz="0" w:space="0" w:color="auto"/>
      </w:divBdr>
    </w:div>
    <w:div w:id="675767981">
      <w:bodyDiv w:val="1"/>
      <w:marLeft w:val="0"/>
      <w:marRight w:val="0"/>
      <w:marTop w:val="0"/>
      <w:marBottom w:val="0"/>
      <w:divBdr>
        <w:top w:val="none" w:sz="0" w:space="0" w:color="auto"/>
        <w:left w:val="none" w:sz="0" w:space="0" w:color="auto"/>
        <w:bottom w:val="none" w:sz="0" w:space="0" w:color="auto"/>
        <w:right w:val="none" w:sz="0" w:space="0" w:color="auto"/>
      </w:divBdr>
    </w:div>
    <w:div w:id="780995209">
      <w:bodyDiv w:val="1"/>
      <w:marLeft w:val="0"/>
      <w:marRight w:val="0"/>
      <w:marTop w:val="0"/>
      <w:marBottom w:val="0"/>
      <w:divBdr>
        <w:top w:val="none" w:sz="0" w:space="0" w:color="auto"/>
        <w:left w:val="none" w:sz="0" w:space="0" w:color="auto"/>
        <w:bottom w:val="none" w:sz="0" w:space="0" w:color="auto"/>
        <w:right w:val="none" w:sz="0" w:space="0" w:color="auto"/>
      </w:divBdr>
    </w:div>
    <w:div w:id="788860357">
      <w:bodyDiv w:val="1"/>
      <w:marLeft w:val="0"/>
      <w:marRight w:val="0"/>
      <w:marTop w:val="0"/>
      <w:marBottom w:val="0"/>
      <w:divBdr>
        <w:top w:val="none" w:sz="0" w:space="0" w:color="auto"/>
        <w:left w:val="none" w:sz="0" w:space="0" w:color="auto"/>
        <w:bottom w:val="none" w:sz="0" w:space="0" w:color="auto"/>
        <w:right w:val="none" w:sz="0" w:space="0" w:color="auto"/>
      </w:divBdr>
    </w:div>
    <w:div w:id="817040522">
      <w:bodyDiv w:val="1"/>
      <w:marLeft w:val="0"/>
      <w:marRight w:val="0"/>
      <w:marTop w:val="0"/>
      <w:marBottom w:val="0"/>
      <w:divBdr>
        <w:top w:val="none" w:sz="0" w:space="0" w:color="auto"/>
        <w:left w:val="none" w:sz="0" w:space="0" w:color="auto"/>
        <w:bottom w:val="none" w:sz="0" w:space="0" w:color="auto"/>
        <w:right w:val="none" w:sz="0" w:space="0" w:color="auto"/>
      </w:divBdr>
    </w:div>
    <w:div w:id="833910272">
      <w:bodyDiv w:val="1"/>
      <w:marLeft w:val="0"/>
      <w:marRight w:val="0"/>
      <w:marTop w:val="0"/>
      <w:marBottom w:val="0"/>
      <w:divBdr>
        <w:top w:val="none" w:sz="0" w:space="0" w:color="auto"/>
        <w:left w:val="none" w:sz="0" w:space="0" w:color="auto"/>
        <w:bottom w:val="none" w:sz="0" w:space="0" w:color="auto"/>
        <w:right w:val="none" w:sz="0" w:space="0" w:color="auto"/>
      </w:divBdr>
    </w:div>
    <w:div w:id="850951944">
      <w:bodyDiv w:val="1"/>
      <w:marLeft w:val="0"/>
      <w:marRight w:val="0"/>
      <w:marTop w:val="0"/>
      <w:marBottom w:val="0"/>
      <w:divBdr>
        <w:top w:val="none" w:sz="0" w:space="0" w:color="auto"/>
        <w:left w:val="none" w:sz="0" w:space="0" w:color="auto"/>
        <w:bottom w:val="none" w:sz="0" w:space="0" w:color="auto"/>
        <w:right w:val="none" w:sz="0" w:space="0" w:color="auto"/>
      </w:divBdr>
    </w:div>
    <w:div w:id="938172484">
      <w:bodyDiv w:val="1"/>
      <w:marLeft w:val="0"/>
      <w:marRight w:val="0"/>
      <w:marTop w:val="0"/>
      <w:marBottom w:val="0"/>
      <w:divBdr>
        <w:top w:val="none" w:sz="0" w:space="0" w:color="auto"/>
        <w:left w:val="none" w:sz="0" w:space="0" w:color="auto"/>
        <w:bottom w:val="none" w:sz="0" w:space="0" w:color="auto"/>
        <w:right w:val="none" w:sz="0" w:space="0" w:color="auto"/>
      </w:divBdr>
    </w:div>
    <w:div w:id="975372901">
      <w:bodyDiv w:val="1"/>
      <w:marLeft w:val="0"/>
      <w:marRight w:val="0"/>
      <w:marTop w:val="0"/>
      <w:marBottom w:val="0"/>
      <w:divBdr>
        <w:top w:val="none" w:sz="0" w:space="0" w:color="auto"/>
        <w:left w:val="none" w:sz="0" w:space="0" w:color="auto"/>
        <w:bottom w:val="none" w:sz="0" w:space="0" w:color="auto"/>
        <w:right w:val="none" w:sz="0" w:space="0" w:color="auto"/>
      </w:divBdr>
    </w:div>
    <w:div w:id="1001012220">
      <w:bodyDiv w:val="1"/>
      <w:marLeft w:val="0"/>
      <w:marRight w:val="0"/>
      <w:marTop w:val="0"/>
      <w:marBottom w:val="0"/>
      <w:divBdr>
        <w:top w:val="none" w:sz="0" w:space="0" w:color="auto"/>
        <w:left w:val="none" w:sz="0" w:space="0" w:color="auto"/>
        <w:bottom w:val="none" w:sz="0" w:space="0" w:color="auto"/>
        <w:right w:val="none" w:sz="0" w:space="0" w:color="auto"/>
      </w:divBdr>
    </w:div>
    <w:div w:id="1072191673">
      <w:bodyDiv w:val="1"/>
      <w:marLeft w:val="0"/>
      <w:marRight w:val="0"/>
      <w:marTop w:val="0"/>
      <w:marBottom w:val="0"/>
      <w:divBdr>
        <w:top w:val="none" w:sz="0" w:space="0" w:color="auto"/>
        <w:left w:val="none" w:sz="0" w:space="0" w:color="auto"/>
        <w:bottom w:val="none" w:sz="0" w:space="0" w:color="auto"/>
        <w:right w:val="none" w:sz="0" w:space="0" w:color="auto"/>
      </w:divBdr>
      <w:divsChild>
        <w:div w:id="1194803430">
          <w:marLeft w:val="0"/>
          <w:marRight w:val="0"/>
          <w:marTop w:val="0"/>
          <w:marBottom w:val="0"/>
          <w:divBdr>
            <w:top w:val="none" w:sz="0" w:space="0" w:color="auto"/>
            <w:left w:val="none" w:sz="0" w:space="0" w:color="auto"/>
            <w:bottom w:val="none" w:sz="0" w:space="0" w:color="auto"/>
            <w:right w:val="none" w:sz="0" w:space="0" w:color="auto"/>
          </w:divBdr>
        </w:div>
        <w:div w:id="1454245653">
          <w:marLeft w:val="0"/>
          <w:marRight w:val="0"/>
          <w:marTop w:val="0"/>
          <w:marBottom w:val="0"/>
          <w:divBdr>
            <w:top w:val="none" w:sz="0" w:space="0" w:color="auto"/>
            <w:left w:val="none" w:sz="0" w:space="0" w:color="auto"/>
            <w:bottom w:val="none" w:sz="0" w:space="0" w:color="auto"/>
            <w:right w:val="none" w:sz="0" w:space="0" w:color="auto"/>
          </w:divBdr>
        </w:div>
      </w:divsChild>
    </w:div>
    <w:div w:id="1144199512">
      <w:bodyDiv w:val="1"/>
      <w:marLeft w:val="0"/>
      <w:marRight w:val="0"/>
      <w:marTop w:val="0"/>
      <w:marBottom w:val="0"/>
      <w:divBdr>
        <w:top w:val="none" w:sz="0" w:space="0" w:color="auto"/>
        <w:left w:val="none" w:sz="0" w:space="0" w:color="auto"/>
        <w:bottom w:val="none" w:sz="0" w:space="0" w:color="auto"/>
        <w:right w:val="none" w:sz="0" w:space="0" w:color="auto"/>
      </w:divBdr>
    </w:div>
    <w:div w:id="1199009214">
      <w:bodyDiv w:val="1"/>
      <w:marLeft w:val="0"/>
      <w:marRight w:val="0"/>
      <w:marTop w:val="0"/>
      <w:marBottom w:val="0"/>
      <w:divBdr>
        <w:top w:val="none" w:sz="0" w:space="0" w:color="auto"/>
        <w:left w:val="none" w:sz="0" w:space="0" w:color="auto"/>
        <w:bottom w:val="none" w:sz="0" w:space="0" w:color="auto"/>
        <w:right w:val="none" w:sz="0" w:space="0" w:color="auto"/>
      </w:divBdr>
    </w:div>
    <w:div w:id="1229222754">
      <w:bodyDiv w:val="1"/>
      <w:marLeft w:val="0"/>
      <w:marRight w:val="0"/>
      <w:marTop w:val="0"/>
      <w:marBottom w:val="0"/>
      <w:divBdr>
        <w:top w:val="none" w:sz="0" w:space="0" w:color="auto"/>
        <w:left w:val="none" w:sz="0" w:space="0" w:color="auto"/>
        <w:bottom w:val="none" w:sz="0" w:space="0" w:color="auto"/>
        <w:right w:val="none" w:sz="0" w:space="0" w:color="auto"/>
      </w:divBdr>
    </w:div>
    <w:div w:id="1294217453">
      <w:bodyDiv w:val="1"/>
      <w:marLeft w:val="0"/>
      <w:marRight w:val="0"/>
      <w:marTop w:val="0"/>
      <w:marBottom w:val="0"/>
      <w:divBdr>
        <w:top w:val="none" w:sz="0" w:space="0" w:color="auto"/>
        <w:left w:val="none" w:sz="0" w:space="0" w:color="auto"/>
        <w:bottom w:val="none" w:sz="0" w:space="0" w:color="auto"/>
        <w:right w:val="none" w:sz="0" w:space="0" w:color="auto"/>
      </w:divBdr>
    </w:div>
    <w:div w:id="1301770701">
      <w:bodyDiv w:val="1"/>
      <w:marLeft w:val="0"/>
      <w:marRight w:val="0"/>
      <w:marTop w:val="0"/>
      <w:marBottom w:val="0"/>
      <w:divBdr>
        <w:top w:val="none" w:sz="0" w:space="0" w:color="auto"/>
        <w:left w:val="none" w:sz="0" w:space="0" w:color="auto"/>
        <w:bottom w:val="none" w:sz="0" w:space="0" w:color="auto"/>
        <w:right w:val="none" w:sz="0" w:space="0" w:color="auto"/>
      </w:divBdr>
    </w:div>
    <w:div w:id="1532842680">
      <w:bodyDiv w:val="1"/>
      <w:marLeft w:val="0"/>
      <w:marRight w:val="0"/>
      <w:marTop w:val="0"/>
      <w:marBottom w:val="0"/>
      <w:divBdr>
        <w:top w:val="none" w:sz="0" w:space="0" w:color="auto"/>
        <w:left w:val="none" w:sz="0" w:space="0" w:color="auto"/>
        <w:bottom w:val="none" w:sz="0" w:space="0" w:color="auto"/>
        <w:right w:val="none" w:sz="0" w:space="0" w:color="auto"/>
      </w:divBdr>
    </w:div>
    <w:div w:id="1546016305">
      <w:bodyDiv w:val="1"/>
      <w:marLeft w:val="0"/>
      <w:marRight w:val="0"/>
      <w:marTop w:val="0"/>
      <w:marBottom w:val="0"/>
      <w:divBdr>
        <w:top w:val="none" w:sz="0" w:space="0" w:color="auto"/>
        <w:left w:val="none" w:sz="0" w:space="0" w:color="auto"/>
        <w:bottom w:val="none" w:sz="0" w:space="0" w:color="auto"/>
        <w:right w:val="none" w:sz="0" w:space="0" w:color="auto"/>
      </w:divBdr>
      <w:divsChild>
        <w:div w:id="1544439548">
          <w:marLeft w:val="0"/>
          <w:marRight w:val="0"/>
          <w:marTop w:val="0"/>
          <w:marBottom w:val="0"/>
          <w:divBdr>
            <w:top w:val="none" w:sz="0" w:space="0" w:color="auto"/>
            <w:left w:val="none" w:sz="0" w:space="0" w:color="auto"/>
            <w:bottom w:val="none" w:sz="0" w:space="0" w:color="auto"/>
            <w:right w:val="none" w:sz="0" w:space="0" w:color="auto"/>
          </w:divBdr>
          <w:divsChild>
            <w:div w:id="309133587">
              <w:marLeft w:val="0"/>
              <w:marRight w:val="0"/>
              <w:marTop w:val="0"/>
              <w:marBottom w:val="0"/>
              <w:divBdr>
                <w:top w:val="none" w:sz="0" w:space="0" w:color="auto"/>
                <w:left w:val="none" w:sz="0" w:space="0" w:color="auto"/>
                <w:bottom w:val="none" w:sz="0" w:space="0" w:color="auto"/>
                <w:right w:val="none" w:sz="0" w:space="0" w:color="auto"/>
              </w:divBdr>
            </w:div>
            <w:div w:id="456610974">
              <w:marLeft w:val="0"/>
              <w:marRight w:val="0"/>
              <w:marTop w:val="0"/>
              <w:marBottom w:val="0"/>
              <w:divBdr>
                <w:top w:val="none" w:sz="0" w:space="0" w:color="auto"/>
                <w:left w:val="none" w:sz="0" w:space="0" w:color="auto"/>
                <w:bottom w:val="none" w:sz="0" w:space="0" w:color="auto"/>
                <w:right w:val="none" w:sz="0" w:space="0" w:color="auto"/>
              </w:divBdr>
              <w:divsChild>
                <w:div w:id="1591885559">
                  <w:marLeft w:val="0"/>
                  <w:marRight w:val="0"/>
                  <w:marTop w:val="0"/>
                  <w:marBottom w:val="0"/>
                  <w:divBdr>
                    <w:top w:val="none" w:sz="0" w:space="0" w:color="auto"/>
                    <w:left w:val="none" w:sz="0" w:space="0" w:color="auto"/>
                    <w:bottom w:val="none" w:sz="0" w:space="0" w:color="auto"/>
                    <w:right w:val="none" w:sz="0" w:space="0" w:color="auto"/>
                  </w:divBdr>
                </w:div>
              </w:divsChild>
            </w:div>
            <w:div w:id="825051737">
              <w:marLeft w:val="0"/>
              <w:marRight w:val="0"/>
              <w:marTop w:val="0"/>
              <w:marBottom w:val="0"/>
              <w:divBdr>
                <w:top w:val="none" w:sz="0" w:space="0" w:color="auto"/>
                <w:left w:val="none" w:sz="0" w:space="0" w:color="auto"/>
                <w:bottom w:val="none" w:sz="0" w:space="0" w:color="auto"/>
                <w:right w:val="none" w:sz="0" w:space="0" w:color="auto"/>
              </w:divBdr>
              <w:divsChild>
                <w:div w:id="483742000">
                  <w:marLeft w:val="0"/>
                  <w:marRight w:val="0"/>
                  <w:marTop w:val="0"/>
                  <w:marBottom w:val="0"/>
                  <w:divBdr>
                    <w:top w:val="none" w:sz="0" w:space="0" w:color="auto"/>
                    <w:left w:val="none" w:sz="0" w:space="0" w:color="auto"/>
                    <w:bottom w:val="none" w:sz="0" w:space="0" w:color="auto"/>
                    <w:right w:val="none" w:sz="0" w:space="0" w:color="auto"/>
                  </w:divBdr>
                </w:div>
              </w:divsChild>
            </w:div>
            <w:div w:id="14881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444832">
      <w:bodyDiv w:val="1"/>
      <w:marLeft w:val="0"/>
      <w:marRight w:val="0"/>
      <w:marTop w:val="0"/>
      <w:marBottom w:val="0"/>
      <w:divBdr>
        <w:top w:val="none" w:sz="0" w:space="0" w:color="auto"/>
        <w:left w:val="none" w:sz="0" w:space="0" w:color="auto"/>
        <w:bottom w:val="none" w:sz="0" w:space="0" w:color="auto"/>
        <w:right w:val="none" w:sz="0" w:space="0" w:color="auto"/>
      </w:divBdr>
      <w:divsChild>
        <w:div w:id="865408484">
          <w:marLeft w:val="0"/>
          <w:marRight w:val="0"/>
          <w:marTop w:val="0"/>
          <w:marBottom w:val="0"/>
          <w:divBdr>
            <w:top w:val="none" w:sz="0" w:space="0" w:color="auto"/>
            <w:left w:val="none" w:sz="0" w:space="0" w:color="auto"/>
            <w:bottom w:val="none" w:sz="0" w:space="0" w:color="auto"/>
            <w:right w:val="none" w:sz="0" w:space="0" w:color="auto"/>
          </w:divBdr>
          <w:divsChild>
            <w:div w:id="339939060">
              <w:marLeft w:val="0"/>
              <w:marRight w:val="0"/>
              <w:marTop w:val="0"/>
              <w:marBottom w:val="0"/>
              <w:divBdr>
                <w:top w:val="none" w:sz="0" w:space="0" w:color="auto"/>
                <w:left w:val="none" w:sz="0" w:space="0" w:color="auto"/>
                <w:bottom w:val="none" w:sz="0" w:space="0" w:color="auto"/>
                <w:right w:val="none" w:sz="0" w:space="0" w:color="auto"/>
              </w:divBdr>
              <w:divsChild>
                <w:div w:id="822434402">
                  <w:marLeft w:val="0"/>
                  <w:marRight w:val="0"/>
                  <w:marTop w:val="0"/>
                  <w:marBottom w:val="0"/>
                  <w:divBdr>
                    <w:top w:val="none" w:sz="0" w:space="0" w:color="auto"/>
                    <w:left w:val="none" w:sz="0" w:space="0" w:color="auto"/>
                    <w:bottom w:val="none" w:sz="0" w:space="0" w:color="auto"/>
                    <w:right w:val="none" w:sz="0" w:space="0" w:color="auto"/>
                  </w:divBdr>
                </w:div>
              </w:divsChild>
            </w:div>
            <w:div w:id="1102339475">
              <w:marLeft w:val="0"/>
              <w:marRight w:val="0"/>
              <w:marTop w:val="0"/>
              <w:marBottom w:val="0"/>
              <w:divBdr>
                <w:top w:val="none" w:sz="0" w:space="0" w:color="auto"/>
                <w:left w:val="none" w:sz="0" w:space="0" w:color="auto"/>
                <w:bottom w:val="none" w:sz="0" w:space="0" w:color="auto"/>
                <w:right w:val="none" w:sz="0" w:space="0" w:color="auto"/>
              </w:divBdr>
              <w:divsChild>
                <w:div w:id="164319666">
                  <w:marLeft w:val="0"/>
                  <w:marRight w:val="0"/>
                  <w:marTop w:val="0"/>
                  <w:marBottom w:val="0"/>
                  <w:divBdr>
                    <w:top w:val="none" w:sz="0" w:space="0" w:color="auto"/>
                    <w:left w:val="none" w:sz="0" w:space="0" w:color="auto"/>
                    <w:bottom w:val="none" w:sz="0" w:space="0" w:color="auto"/>
                    <w:right w:val="none" w:sz="0" w:space="0" w:color="auto"/>
                  </w:divBdr>
                </w:div>
              </w:divsChild>
            </w:div>
            <w:div w:id="1180970289">
              <w:marLeft w:val="0"/>
              <w:marRight w:val="0"/>
              <w:marTop w:val="0"/>
              <w:marBottom w:val="0"/>
              <w:divBdr>
                <w:top w:val="none" w:sz="0" w:space="0" w:color="auto"/>
                <w:left w:val="none" w:sz="0" w:space="0" w:color="auto"/>
                <w:bottom w:val="none" w:sz="0" w:space="0" w:color="auto"/>
                <w:right w:val="none" w:sz="0" w:space="0" w:color="auto"/>
              </w:divBdr>
            </w:div>
            <w:div w:id="19268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3732">
      <w:bodyDiv w:val="1"/>
      <w:marLeft w:val="0"/>
      <w:marRight w:val="0"/>
      <w:marTop w:val="0"/>
      <w:marBottom w:val="0"/>
      <w:divBdr>
        <w:top w:val="none" w:sz="0" w:space="0" w:color="auto"/>
        <w:left w:val="none" w:sz="0" w:space="0" w:color="auto"/>
        <w:bottom w:val="none" w:sz="0" w:space="0" w:color="auto"/>
        <w:right w:val="none" w:sz="0" w:space="0" w:color="auto"/>
      </w:divBdr>
      <w:divsChild>
        <w:div w:id="929119325">
          <w:marLeft w:val="0"/>
          <w:marRight w:val="0"/>
          <w:marTop w:val="0"/>
          <w:marBottom w:val="0"/>
          <w:divBdr>
            <w:top w:val="none" w:sz="0" w:space="0" w:color="auto"/>
            <w:left w:val="none" w:sz="0" w:space="0" w:color="auto"/>
            <w:bottom w:val="none" w:sz="0" w:space="0" w:color="auto"/>
            <w:right w:val="none" w:sz="0" w:space="0" w:color="auto"/>
          </w:divBdr>
        </w:div>
      </w:divsChild>
    </w:div>
    <w:div w:id="1637031305">
      <w:bodyDiv w:val="1"/>
      <w:marLeft w:val="0"/>
      <w:marRight w:val="0"/>
      <w:marTop w:val="0"/>
      <w:marBottom w:val="0"/>
      <w:divBdr>
        <w:top w:val="none" w:sz="0" w:space="0" w:color="auto"/>
        <w:left w:val="none" w:sz="0" w:space="0" w:color="auto"/>
        <w:bottom w:val="none" w:sz="0" w:space="0" w:color="auto"/>
        <w:right w:val="none" w:sz="0" w:space="0" w:color="auto"/>
      </w:divBdr>
      <w:divsChild>
        <w:div w:id="877357906">
          <w:marLeft w:val="0"/>
          <w:marRight w:val="0"/>
          <w:marTop w:val="0"/>
          <w:marBottom w:val="0"/>
          <w:divBdr>
            <w:top w:val="none" w:sz="0" w:space="0" w:color="auto"/>
            <w:left w:val="none" w:sz="0" w:space="0" w:color="auto"/>
            <w:bottom w:val="none" w:sz="0" w:space="0" w:color="auto"/>
            <w:right w:val="none" w:sz="0" w:space="0" w:color="auto"/>
          </w:divBdr>
        </w:div>
      </w:divsChild>
    </w:div>
    <w:div w:id="1638611298">
      <w:bodyDiv w:val="1"/>
      <w:marLeft w:val="0"/>
      <w:marRight w:val="0"/>
      <w:marTop w:val="0"/>
      <w:marBottom w:val="0"/>
      <w:divBdr>
        <w:top w:val="none" w:sz="0" w:space="0" w:color="auto"/>
        <w:left w:val="none" w:sz="0" w:space="0" w:color="auto"/>
        <w:bottom w:val="none" w:sz="0" w:space="0" w:color="auto"/>
        <w:right w:val="none" w:sz="0" w:space="0" w:color="auto"/>
      </w:divBdr>
    </w:div>
    <w:div w:id="1694574240">
      <w:bodyDiv w:val="1"/>
      <w:marLeft w:val="0"/>
      <w:marRight w:val="0"/>
      <w:marTop w:val="0"/>
      <w:marBottom w:val="0"/>
      <w:divBdr>
        <w:top w:val="none" w:sz="0" w:space="0" w:color="auto"/>
        <w:left w:val="none" w:sz="0" w:space="0" w:color="auto"/>
        <w:bottom w:val="none" w:sz="0" w:space="0" w:color="auto"/>
        <w:right w:val="none" w:sz="0" w:space="0" w:color="auto"/>
      </w:divBdr>
    </w:div>
    <w:div w:id="1754549407">
      <w:bodyDiv w:val="1"/>
      <w:marLeft w:val="0"/>
      <w:marRight w:val="0"/>
      <w:marTop w:val="0"/>
      <w:marBottom w:val="0"/>
      <w:divBdr>
        <w:top w:val="none" w:sz="0" w:space="0" w:color="auto"/>
        <w:left w:val="none" w:sz="0" w:space="0" w:color="auto"/>
        <w:bottom w:val="none" w:sz="0" w:space="0" w:color="auto"/>
        <w:right w:val="none" w:sz="0" w:space="0" w:color="auto"/>
      </w:divBdr>
      <w:divsChild>
        <w:div w:id="1678773402">
          <w:marLeft w:val="0"/>
          <w:marRight w:val="0"/>
          <w:marTop w:val="0"/>
          <w:marBottom w:val="0"/>
          <w:divBdr>
            <w:top w:val="none" w:sz="0" w:space="0" w:color="auto"/>
            <w:left w:val="none" w:sz="0" w:space="0" w:color="auto"/>
            <w:bottom w:val="none" w:sz="0" w:space="0" w:color="auto"/>
            <w:right w:val="none" w:sz="0" w:space="0" w:color="auto"/>
          </w:divBdr>
        </w:div>
      </w:divsChild>
    </w:div>
    <w:div w:id="1810897469">
      <w:bodyDiv w:val="1"/>
      <w:marLeft w:val="0"/>
      <w:marRight w:val="0"/>
      <w:marTop w:val="0"/>
      <w:marBottom w:val="0"/>
      <w:divBdr>
        <w:top w:val="none" w:sz="0" w:space="0" w:color="auto"/>
        <w:left w:val="none" w:sz="0" w:space="0" w:color="auto"/>
        <w:bottom w:val="none" w:sz="0" w:space="0" w:color="auto"/>
        <w:right w:val="none" w:sz="0" w:space="0" w:color="auto"/>
      </w:divBdr>
    </w:div>
    <w:div w:id="1865820054">
      <w:bodyDiv w:val="1"/>
      <w:marLeft w:val="0"/>
      <w:marRight w:val="0"/>
      <w:marTop w:val="0"/>
      <w:marBottom w:val="0"/>
      <w:divBdr>
        <w:top w:val="none" w:sz="0" w:space="0" w:color="auto"/>
        <w:left w:val="none" w:sz="0" w:space="0" w:color="auto"/>
        <w:bottom w:val="none" w:sz="0" w:space="0" w:color="auto"/>
        <w:right w:val="none" w:sz="0" w:space="0" w:color="auto"/>
      </w:divBdr>
    </w:div>
    <w:div w:id="1918704306">
      <w:bodyDiv w:val="1"/>
      <w:marLeft w:val="0"/>
      <w:marRight w:val="0"/>
      <w:marTop w:val="0"/>
      <w:marBottom w:val="0"/>
      <w:divBdr>
        <w:top w:val="none" w:sz="0" w:space="0" w:color="auto"/>
        <w:left w:val="none" w:sz="0" w:space="0" w:color="auto"/>
        <w:bottom w:val="none" w:sz="0" w:space="0" w:color="auto"/>
        <w:right w:val="none" w:sz="0" w:space="0" w:color="auto"/>
      </w:divBdr>
    </w:div>
    <w:div w:id="1978099011">
      <w:bodyDiv w:val="1"/>
      <w:marLeft w:val="0"/>
      <w:marRight w:val="0"/>
      <w:marTop w:val="0"/>
      <w:marBottom w:val="0"/>
      <w:divBdr>
        <w:top w:val="none" w:sz="0" w:space="0" w:color="auto"/>
        <w:left w:val="none" w:sz="0" w:space="0" w:color="auto"/>
        <w:bottom w:val="none" w:sz="0" w:space="0" w:color="auto"/>
        <w:right w:val="none" w:sz="0" w:space="0" w:color="auto"/>
      </w:divBdr>
    </w:div>
    <w:div w:id="1991246692">
      <w:bodyDiv w:val="1"/>
      <w:marLeft w:val="0"/>
      <w:marRight w:val="0"/>
      <w:marTop w:val="0"/>
      <w:marBottom w:val="0"/>
      <w:divBdr>
        <w:top w:val="none" w:sz="0" w:space="0" w:color="auto"/>
        <w:left w:val="none" w:sz="0" w:space="0" w:color="auto"/>
        <w:bottom w:val="none" w:sz="0" w:space="0" w:color="auto"/>
        <w:right w:val="none" w:sz="0" w:space="0" w:color="auto"/>
      </w:divBdr>
      <w:divsChild>
        <w:div w:id="2009212570">
          <w:marLeft w:val="0"/>
          <w:marRight w:val="0"/>
          <w:marTop w:val="0"/>
          <w:marBottom w:val="0"/>
          <w:divBdr>
            <w:top w:val="none" w:sz="0" w:space="0" w:color="auto"/>
            <w:left w:val="none" w:sz="0" w:space="0" w:color="auto"/>
            <w:bottom w:val="none" w:sz="0" w:space="0" w:color="auto"/>
            <w:right w:val="none" w:sz="0" w:space="0" w:color="auto"/>
          </w:divBdr>
          <w:divsChild>
            <w:div w:id="52699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91486">
      <w:bodyDiv w:val="1"/>
      <w:marLeft w:val="0"/>
      <w:marRight w:val="0"/>
      <w:marTop w:val="0"/>
      <w:marBottom w:val="0"/>
      <w:divBdr>
        <w:top w:val="none" w:sz="0" w:space="0" w:color="auto"/>
        <w:left w:val="none" w:sz="0" w:space="0" w:color="auto"/>
        <w:bottom w:val="none" w:sz="0" w:space="0" w:color="auto"/>
        <w:right w:val="none" w:sz="0" w:space="0" w:color="auto"/>
      </w:divBdr>
    </w:div>
    <w:div w:id="2020159363">
      <w:bodyDiv w:val="1"/>
      <w:marLeft w:val="0"/>
      <w:marRight w:val="0"/>
      <w:marTop w:val="0"/>
      <w:marBottom w:val="0"/>
      <w:divBdr>
        <w:top w:val="none" w:sz="0" w:space="0" w:color="auto"/>
        <w:left w:val="none" w:sz="0" w:space="0" w:color="auto"/>
        <w:bottom w:val="none" w:sz="0" w:space="0" w:color="auto"/>
        <w:right w:val="none" w:sz="0" w:space="0" w:color="auto"/>
      </w:divBdr>
    </w:div>
    <w:div w:id="2027904242">
      <w:bodyDiv w:val="1"/>
      <w:marLeft w:val="0"/>
      <w:marRight w:val="0"/>
      <w:marTop w:val="0"/>
      <w:marBottom w:val="0"/>
      <w:divBdr>
        <w:top w:val="none" w:sz="0" w:space="0" w:color="auto"/>
        <w:left w:val="none" w:sz="0" w:space="0" w:color="auto"/>
        <w:bottom w:val="none" w:sz="0" w:space="0" w:color="auto"/>
        <w:right w:val="none" w:sz="0" w:space="0" w:color="auto"/>
      </w:divBdr>
    </w:div>
    <w:div w:id="2087415261">
      <w:bodyDiv w:val="1"/>
      <w:marLeft w:val="0"/>
      <w:marRight w:val="0"/>
      <w:marTop w:val="0"/>
      <w:marBottom w:val="0"/>
      <w:divBdr>
        <w:top w:val="none" w:sz="0" w:space="0" w:color="auto"/>
        <w:left w:val="none" w:sz="0" w:space="0" w:color="auto"/>
        <w:bottom w:val="none" w:sz="0" w:space="0" w:color="auto"/>
        <w:right w:val="none" w:sz="0" w:space="0" w:color="auto"/>
      </w:divBdr>
    </w:div>
    <w:div w:id="2127196153">
      <w:bodyDiv w:val="1"/>
      <w:marLeft w:val="0"/>
      <w:marRight w:val="0"/>
      <w:marTop w:val="0"/>
      <w:marBottom w:val="0"/>
      <w:divBdr>
        <w:top w:val="none" w:sz="0" w:space="0" w:color="auto"/>
        <w:left w:val="none" w:sz="0" w:space="0" w:color="auto"/>
        <w:bottom w:val="none" w:sz="0" w:space="0" w:color="auto"/>
        <w:right w:val="none" w:sz="0" w:space="0" w:color="auto"/>
      </w:divBdr>
      <w:divsChild>
        <w:div w:id="1105272856">
          <w:marLeft w:val="0"/>
          <w:marRight w:val="0"/>
          <w:marTop w:val="0"/>
          <w:marBottom w:val="0"/>
          <w:divBdr>
            <w:top w:val="none" w:sz="0" w:space="0" w:color="auto"/>
            <w:left w:val="none" w:sz="0" w:space="0" w:color="auto"/>
            <w:bottom w:val="none" w:sz="0" w:space="0" w:color="auto"/>
            <w:right w:val="none" w:sz="0" w:space="0" w:color="auto"/>
          </w:divBdr>
        </w:div>
        <w:div w:id="1121387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pidmaps.org/" TargetMode="External"/><Relationship Id="rId13" Type="http://schemas.openxmlformats.org/officeDocument/2006/relationships/hyperlink" Target="http://www.ncbi.nlm.nih.gov/pubmed?term=%22M%C3%BCller-Navarra%20D%22%5BAuthor%5D" TargetMode="Externa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http://www.ncbi.nlm.nih.gov/pubmed?term=%22Kattner%20G%22%5BAuthor%5D"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22St%20John%20M%22%5BAuthor%5D"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searchgate.net/researcher/74071510_S_E_Hartman" TargetMode="External"/><Relationship Id="rId23" Type="http://schemas.openxmlformats.org/officeDocument/2006/relationships/footer" Target="footer2.xml"/><Relationship Id="rId10" Type="http://schemas.openxmlformats.org/officeDocument/2006/relationships/hyperlink" Target="http://www.lipidmaps.org/"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lipidmaps.org/" TargetMode="External"/><Relationship Id="rId14" Type="http://schemas.openxmlformats.org/officeDocument/2006/relationships/hyperlink" Target="http://www.ncbi.nlm.nih.gov/pubmed?term=%22Hagen%20W%22%5BAuthor%5D" TargetMode="External"/><Relationship Id="rId22"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00B70-032E-4882-8F19-B13AFCE1D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30</Pages>
  <Words>8554</Words>
  <Characters>48760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Free fatty acids, tri-, di- and monoglyceride cycling across North Atlantic depths</vt:lpstr>
    </vt:vector>
  </TitlesOfParts>
  <Company>IRB</Company>
  <LinksUpToDate>false</LinksUpToDate>
  <CharactersWithSpaces>57200</CharactersWithSpaces>
  <SharedDoc>false</SharedDoc>
  <HLinks>
    <vt:vector size="48" baseType="variant">
      <vt:variant>
        <vt:i4>786544</vt:i4>
      </vt:variant>
      <vt:variant>
        <vt:i4>21</vt:i4>
      </vt:variant>
      <vt:variant>
        <vt:i4>0</vt:i4>
      </vt:variant>
      <vt:variant>
        <vt:i4>5</vt:i4>
      </vt:variant>
      <vt:variant>
        <vt:lpwstr>https://www.researchgate.net/researcher/74071510_S_E_Hartman</vt:lpwstr>
      </vt:variant>
      <vt:variant>
        <vt:lpwstr/>
      </vt:variant>
      <vt:variant>
        <vt:i4>3276917</vt:i4>
      </vt:variant>
      <vt:variant>
        <vt:i4>18</vt:i4>
      </vt:variant>
      <vt:variant>
        <vt:i4>0</vt:i4>
      </vt:variant>
      <vt:variant>
        <vt:i4>5</vt:i4>
      </vt:variant>
      <vt:variant>
        <vt:lpwstr>http://www.ncbi.nlm.nih.gov/pubmed?term=%22Hagen%20W%22%5BAuthor%5D</vt:lpwstr>
      </vt:variant>
      <vt:variant>
        <vt:lpwstr/>
      </vt:variant>
      <vt:variant>
        <vt:i4>1900627</vt:i4>
      </vt:variant>
      <vt:variant>
        <vt:i4>15</vt:i4>
      </vt:variant>
      <vt:variant>
        <vt:i4>0</vt:i4>
      </vt:variant>
      <vt:variant>
        <vt:i4>5</vt:i4>
      </vt:variant>
      <vt:variant>
        <vt:lpwstr>http://www.ncbi.nlm.nih.gov/pubmed?term=%22M%C3%BCller-Navarra%20D%22%5BAuthor%5D</vt:lpwstr>
      </vt:variant>
      <vt:variant>
        <vt:lpwstr/>
      </vt:variant>
      <vt:variant>
        <vt:i4>4194305</vt:i4>
      </vt:variant>
      <vt:variant>
        <vt:i4>12</vt:i4>
      </vt:variant>
      <vt:variant>
        <vt:i4>0</vt:i4>
      </vt:variant>
      <vt:variant>
        <vt:i4>5</vt:i4>
      </vt:variant>
      <vt:variant>
        <vt:lpwstr>http://www.ncbi.nlm.nih.gov/pubmed?term=%22Kattner%20G%22%5BAuthor%5D</vt:lpwstr>
      </vt:variant>
      <vt:variant>
        <vt:lpwstr/>
      </vt:variant>
      <vt:variant>
        <vt:i4>3014709</vt:i4>
      </vt:variant>
      <vt:variant>
        <vt:i4>9</vt:i4>
      </vt:variant>
      <vt:variant>
        <vt:i4>0</vt:i4>
      </vt:variant>
      <vt:variant>
        <vt:i4>5</vt:i4>
      </vt:variant>
      <vt:variant>
        <vt:lpwstr>http://www.ncbi.nlm.nih.gov/pubmed?term=%22St%20John%20M%22%5BAuthor%5D</vt:lpwstr>
      </vt:variant>
      <vt:variant>
        <vt:lpwstr/>
      </vt:variant>
      <vt:variant>
        <vt:i4>4784145</vt:i4>
      </vt:variant>
      <vt:variant>
        <vt:i4>6</vt:i4>
      </vt:variant>
      <vt:variant>
        <vt:i4>0</vt:i4>
      </vt:variant>
      <vt:variant>
        <vt:i4>5</vt:i4>
      </vt:variant>
      <vt:variant>
        <vt:lpwstr>http://www.lipidmaps.org/</vt:lpwstr>
      </vt:variant>
      <vt:variant>
        <vt:lpwstr/>
      </vt:variant>
      <vt:variant>
        <vt:i4>4784145</vt:i4>
      </vt:variant>
      <vt:variant>
        <vt:i4>3</vt:i4>
      </vt:variant>
      <vt:variant>
        <vt:i4>0</vt:i4>
      </vt:variant>
      <vt:variant>
        <vt:i4>5</vt:i4>
      </vt:variant>
      <vt:variant>
        <vt:lpwstr>http://www.lipidmaps.org/</vt:lpwstr>
      </vt:variant>
      <vt:variant>
        <vt:lpwstr/>
      </vt:variant>
      <vt:variant>
        <vt:i4>4784145</vt:i4>
      </vt:variant>
      <vt:variant>
        <vt:i4>0</vt:i4>
      </vt:variant>
      <vt:variant>
        <vt:i4>0</vt:i4>
      </vt:variant>
      <vt:variant>
        <vt:i4>5</vt:i4>
      </vt:variant>
      <vt:variant>
        <vt:lpwstr>http://www.lipidmaps.org/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fatty acids, tri-, di- and monoglyceride cycling across North Atlantic depths</dc:title>
  <dc:creator>blazenka</dc:creator>
  <cp:lastModifiedBy>Windows User</cp:lastModifiedBy>
  <cp:revision>3</cp:revision>
  <cp:lastPrinted>2016-08-30T08:33:00Z</cp:lastPrinted>
  <dcterms:created xsi:type="dcterms:W3CDTF">2016-11-03T10:22:00Z</dcterms:created>
  <dcterms:modified xsi:type="dcterms:W3CDTF">2018-05-03T16:37:00Z</dcterms:modified>
</cp:coreProperties>
</file>